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  <w:lang w:val="sk-SK"/>
        </w:rPr>
      </w:pP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Vyhlásenie žiadateľa o minimálnu pomoc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podľa</w:t>
      </w:r>
    </w:p>
    <w:p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>nariadenia Komisie (EÚ) č. 1408/2013 z 18. decembra 2013 o uplatňovaní článkov 107 a 108 Zmluvy o fungovaní Európskej únie na pomoc </w:t>
      </w:r>
      <w:r>
        <w:rPr>
          <w:rFonts w:ascii="Arial" w:hAnsi="Arial" w:cs="Arial"/>
          <w:b/>
          <w:i/>
          <w:sz w:val="20"/>
          <w:lang w:val="sk-SK"/>
        </w:rPr>
        <w:t>de minimis</w:t>
      </w:r>
      <w:r>
        <w:rPr>
          <w:rFonts w:ascii="Arial" w:hAnsi="Arial" w:cs="Arial"/>
          <w:b/>
          <w:sz w:val="20"/>
          <w:lang w:val="sk-SK"/>
        </w:rPr>
        <w:t xml:space="preserve"> v sektore poľnohospodárstva v platnom znení</w:t>
      </w:r>
    </w:p>
    <w:p>
      <w:pPr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t>Žiadateľ:</w:t>
      </w:r>
    </w:p>
    <w:p>
      <w:pPr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napr. A.01 - Pestovanie plodín a chov zvierat, poľovníctvo a služby s tým súvisiace</w:t>
            </w: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>
            <w:pPr>
              <w:adjustRightInd w:val="0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>
            <w:pPr>
              <w:adjustRightInd w:val="0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lang w:val="sk-SK"/>
              </w:rPr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adjustRightInd w:val="0"/>
        <w:rPr>
          <w:rFonts w:ascii="Arial" w:hAnsi="Arial" w:cs="Arial"/>
          <w:b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ako účtovné obdobie (fiškálny rok)</w:t>
      </w:r>
      <w:r>
        <w:rPr>
          <w:rFonts w:ascii="Arial" w:hAnsi="Arial" w:cs="Arial"/>
          <w:sz w:val="20"/>
          <w:vertAlign w:val="superscript"/>
          <w:lang w:val="sk-SK"/>
        </w:rPr>
        <w:footnoteReference w:id="3"/>
      </w:r>
      <w:r>
        <w:rPr>
          <w:rFonts w:ascii="Arial" w:hAnsi="Arial" w:cs="Arial"/>
          <w:sz w:val="20"/>
          <w:lang w:val="sk-SK"/>
        </w:rPr>
        <w:t xml:space="preserve"> používa</w:t>
      </w:r>
    </w:p>
    <w:p>
      <w:pPr>
        <w:adjustRightInd w:val="0"/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kalendárny rok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hospodársky rok </w:t>
      </w:r>
      <w:r>
        <w:rPr>
          <w:rFonts w:ascii="Arial" w:hAnsi="Arial" w:cs="Arial"/>
          <w:bCs/>
          <w:sz w:val="20"/>
          <w:lang w:val="sk-SK"/>
        </w:rPr>
        <w:t>(začiatok ……………………., koniec ……………………).</w:t>
      </w: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i/>
          <w:sz w:val="20"/>
          <w:lang w:val="sk-SK"/>
        </w:rPr>
        <w:t xml:space="preserve">V prípade, že v priebehu </w:t>
      </w:r>
      <w:r>
        <w:rPr>
          <w:rFonts w:ascii="Arial" w:hAnsi="Arial" w:cs="Arial"/>
          <w:i/>
          <w:sz w:val="20"/>
          <w:u w:val="single"/>
          <w:lang w:val="sk-SK"/>
        </w:rPr>
        <w:t>predchádzajúcich dvoch účtovných období</w:t>
      </w:r>
      <w:r>
        <w:rPr>
          <w:rFonts w:ascii="Arial" w:hAnsi="Arial" w:cs="Arial"/>
          <w:i/>
          <w:sz w:val="20"/>
          <w:lang w:val="sk-SK"/>
        </w:rPr>
        <w:t xml:space="preserve"> prišlo k zmene z kalendárneho roka na hospodársky alebo opačne, uveďte túto skutočnosť vypísaním účtovných období, ktoré boli použité (napr. 1.4.2015 – 31.3.2016; 1.4.2016 – 31.12.2016):</w:t>
      </w:r>
    </w:p>
    <w:p>
      <w:pPr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>
      <w:pPr>
        <w:adjustRightInd w:val="0"/>
        <w:rPr>
          <w:rFonts w:ascii="Arial" w:hAnsi="Arial" w:cs="Arial"/>
          <w:b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/>
          <w:bCs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 v prebiehajúcom fiškálnom roku (</w:t>
      </w:r>
      <w:r>
        <w:rPr>
          <w:rFonts w:ascii="Arial" w:hAnsi="Arial" w:cs="Arial"/>
          <w:bCs/>
          <w:i/>
          <w:sz w:val="20"/>
          <w:lang w:val="sk-SK"/>
        </w:rPr>
        <w:t>rok n</w:t>
      </w:r>
      <w:r>
        <w:rPr>
          <w:rFonts w:ascii="Arial" w:hAnsi="Arial" w:cs="Arial"/>
          <w:bCs/>
          <w:i/>
          <w:sz w:val="20"/>
          <w:vertAlign w:val="superscript"/>
          <w:lang w:val="sk-SK"/>
        </w:rPr>
        <w:footnoteReference w:id="4"/>
      </w:r>
      <w:r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>
        <w:rPr>
          <w:rFonts w:ascii="Arial" w:hAnsi="Arial" w:cs="Arial"/>
          <w:b/>
          <w:sz w:val="20"/>
          <w:lang w:val="sk-SK"/>
        </w:rPr>
        <w:t>nebola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nasledovná minimálna pomoc: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lastRenderedPageBreak/>
              <w:t xml:space="preserve"> 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adjustRightInd w:val="0"/>
        <w:ind w:left="426"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Podniky</w:t>
      </w:r>
      <w:r>
        <w:rPr>
          <w:rFonts w:ascii="Arial" w:hAnsi="Arial" w:cs="Arial"/>
          <w:sz w:val="20"/>
          <w:vertAlign w:val="superscript"/>
          <w:lang w:val="sk-SK"/>
        </w:rPr>
        <w:footnoteReference w:id="7"/>
      </w:r>
      <w:r>
        <w:rPr>
          <w:rFonts w:ascii="Arial" w:hAnsi="Arial" w:cs="Arial"/>
          <w:sz w:val="20"/>
          <w:lang w:val="sk-SK"/>
        </w:rPr>
        <w:t>, ktoré so žiadateľom tvoria jediný podnik</w:t>
      </w:r>
      <w:r>
        <w:rPr>
          <w:rFonts w:ascii="Arial" w:hAnsi="Arial" w:cs="Arial"/>
          <w:sz w:val="20"/>
          <w:vertAlign w:val="superscript"/>
          <w:lang w:val="sk-SK"/>
        </w:rPr>
        <w:footnoteReference w:id="8"/>
      </w:r>
    </w:p>
    <w:p>
      <w:pPr>
        <w:adjustRightInd w:val="0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>
            <w:pPr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>
            <w:pPr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>
            <w:pPr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Subjekty vykonávajúce hospodársku činnosť, medzi ktorými sú typy vzťahov uvedené v písm. a) až d) predchádzajúceho odseku prostredníctvom jedného alebo viacerých iných subjektov vykonávajúcich hospodársku činnosť, sa takisto považujú za jediný podnik.</w:t>
            </w:r>
          </w:p>
        </w:tc>
      </w:tr>
    </w:tbl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ind w:left="720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vo vyššie uvedenom zmysle</w:t>
      </w: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netvorí</w:t>
      </w:r>
      <w:r>
        <w:rPr>
          <w:rFonts w:ascii="Arial" w:hAnsi="Arial" w:cs="Arial"/>
          <w:sz w:val="20"/>
          <w:lang w:val="sk-SK"/>
        </w:rPr>
        <w:t xml:space="preserve">  s iným podnikom jediný podnik,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tvorí</w:t>
      </w:r>
      <w:r>
        <w:rPr>
          <w:rFonts w:ascii="Arial" w:hAnsi="Arial" w:cs="Arial"/>
          <w:sz w:val="20"/>
          <w:lang w:val="sk-SK"/>
        </w:rPr>
        <w:t xml:space="preserve"> jediný podnik s nasledujúcimi podnikom/ podnikmi: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</w:p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sz w:val="20"/>
          <w:lang w:val="sk-SK"/>
        </w:rPr>
        <w:t>Poniku</w:t>
      </w:r>
      <w:proofErr w:type="spellEnd"/>
      <w:r>
        <w:rPr>
          <w:rFonts w:ascii="Arial" w:hAnsi="Arial" w:cs="Arial"/>
          <w:sz w:val="20"/>
          <w:lang w:val="sk-SK"/>
        </w:rPr>
        <w:t>/-</w:t>
      </w:r>
      <w:proofErr w:type="spellStart"/>
      <w:r>
        <w:rPr>
          <w:rFonts w:ascii="Arial" w:hAnsi="Arial" w:cs="Arial"/>
          <w:sz w:val="20"/>
          <w:lang w:val="sk-SK"/>
        </w:rPr>
        <w:t>om</w:t>
      </w:r>
      <w:proofErr w:type="spellEnd"/>
      <w:r>
        <w:rPr>
          <w:rFonts w:ascii="Arial" w:hAnsi="Arial" w:cs="Arial"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sz w:val="20"/>
          <w:lang w:val="sk-SK"/>
        </w:rPr>
        <w:t>ým</w:t>
      </w:r>
      <w:proofErr w:type="spellEnd"/>
      <w:r>
        <w:rPr>
          <w:rFonts w:ascii="Arial" w:hAnsi="Arial" w:cs="Arial"/>
          <w:sz w:val="20"/>
          <w:lang w:val="sk-SK"/>
        </w:rPr>
        <w:t xml:space="preserve"> v tabuľke č. 2:</w:t>
      </w: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nebola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>
      <w:pPr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prebiehajúceho  a predchádzajúcich dvoch fiškálnych rokov </w:t>
            </w:r>
          </w:p>
        </w:tc>
      </w:tr>
      <w:tr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rPr>
          <w:trHeight w:val="20"/>
        </w:trPr>
        <w:tc>
          <w:tcPr>
            <w:tcW w:w="74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djustRightInd w:val="0"/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prebiehajúcom a dvoch predchádzajúcich fiškálnych rokoch:</w:t>
      </w: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splynutím</w:t>
      </w:r>
      <w:r>
        <w:rPr>
          <w:rFonts w:ascii="Arial" w:hAnsi="Arial" w:cs="Arial"/>
          <w:bCs/>
          <w:sz w:val="20"/>
          <w:lang w:val="sk-SK"/>
        </w:rPr>
        <w:t xml:space="preserve"> podnikov alebo </w:t>
      </w:r>
      <w:r>
        <w:rPr>
          <w:rFonts w:ascii="Arial" w:hAnsi="Arial" w:cs="Arial"/>
          <w:b/>
          <w:bCs/>
          <w:sz w:val="20"/>
          <w:lang w:val="sk-SK"/>
        </w:rPr>
        <w:t>zlúčením</w:t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splynutím</w:t>
      </w:r>
      <w:r>
        <w:rPr>
          <w:rFonts w:ascii="Arial" w:hAnsi="Arial" w:cs="Arial"/>
          <w:bCs/>
          <w:sz w:val="20"/>
          <w:vertAlign w:val="superscript"/>
          <w:lang w:val="sk-SK"/>
        </w:rPr>
        <w:footnoteReference w:id="10"/>
      </w:r>
      <w:r>
        <w:rPr>
          <w:rFonts w:ascii="Arial" w:hAnsi="Arial" w:cs="Arial"/>
          <w:bCs/>
          <w:sz w:val="20"/>
          <w:lang w:val="sk-SK"/>
        </w:rPr>
        <w:t xml:space="preserve"> podnikov uvedených v tabuľke č. 4,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zlúčením</w:t>
      </w:r>
      <w:r>
        <w:rPr>
          <w:rFonts w:ascii="Arial" w:hAnsi="Arial" w:cs="Arial"/>
          <w:sz w:val="20"/>
          <w:vertAlign w:val="superscript"/>
          <w:lang w:val="sk-SK"/>
        </w:rPr>
        <w:t>9</w:t>
      </w:r>
      <w:r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prevzal imanie </w:t>
      </w:r>
      <w:r>
        <w:rPr>
          <w:rFonts w:ascii="Arial" w:hAnsi="Arial" w:cs="Arial"/>
          <w:bCs/>
          <w:sz w:val="20"/>
          <w:lang w:val="sk-SK"/>
        </w:rPr>
        <w:t>podniku/-ov uvedených v tabuľke č. 4: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221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221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bCs/>
          <w:sz w:val="20"/>
          <w:lang w:val="sk-SK"/>
        </w:rPr>
        <w:t>ým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v tabuľke č. 4: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>
        <w:rPr>
          <w:rFonts w:ascii="Arial" w:hAnsi="Arial" w:cs="Arial"/>
          <w:bCs/>
          <w:sz w:val="20"/>
          <w:lang w:val="sk-SK"/>
        </w:rPr>
        <w:t>poskytnutá minimálna pomoc,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bola </w:t>
      </w:r>
      <w:r>
        <w:rPr>
          <w:rFonts w:ascii="Arial" w:hAnsi="Arial" w:cs="Arial"/>
          <w:bCs/>
          <w:sz w:val="20"/>
          <w:lang w:val="sk-SK"/>
        </w:rPr>
        <w:t xml:space="preserve">poskytnutá minimálna pomoc: 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lastRenderedPageBreak/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>
        <w:tc>
          <w:tcPr>
            <w:tcW w:w="68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 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poskytnutej minimálnej pomoci v eurách počas prebiehajúcom  a predchádzajúcich dvoch fiškálnych rokov </w:t>
            </w:r>
          </w:p>
        </w:tc>
      </w:tr>
      <w:tr>
        <w:tc>
          <w:tcPr>
            <w:tcW w:w="682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682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adjustRightInd w:val="0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 prebiehajúcom a dvoch predchádzajúcich fiškálnych rokoch:</w:t>
      </w:r>
    </w:p>
    <w:p>
      <w:pPr>
        <w:adjustRightInd w:val="0"/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nevznikol </w:t>
      </w:r>
      <w:r>
        <w:rPr>
          <w:rFonts w:ascii="Arial" w:hAnsi="Arial" w:cs="Arial"/>
          <w:bCs/>
          <w:sz w:val="20"/>
          <w:lang w:val="sk-SK"/>
        </w:rPr>
        <w:t>rozdelením</w:t>
      </w:r>
      <w:r>
        <w:rPr>
          <w:rFonts w:ascii="Arial" w:hAnsi="Arial" w:cs="Arial"/>
          <w:bCs/>
          <w:sz w:val="20"/>
          <w:vertAlign w:val="superscript"/>
          <w:lang w:val="sk-SK"/>
        </w:rPr>
        <w:footnoteReference w:id="11"/>
      </w:r>
      <w:r>
        <w:rPr>
          <w:rFonts w:ascii="Arial" w:hAnsi="Arial" w:cs="Arial"/>
          <w:bCs/>
          <w:sz w:val="20"/>
          <w:lang w:val="sk-SK"/>
        </w:rPr>
        <w:t xml:space="preserve"> podniku,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vznikol </w:t>
      </w:r>
      <w:r>
        <w:rPr>
          <w:rFonts w:ascii="Arial" w:hAnsi="Arial" w:cs="Arial"/>
          <w:bCs/>
          <w:sz w:val="20"/>
          <w:lang w:val="sk-SK"/>
        </w:rPr>
        <w:t>rozdelením nižšie uvedeného podniku: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>
        <w:tc>
          <w:tcPr>
            <w:tcW w:w="1860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860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a prevzal jeho činnosti, na ktoré bola v minulosti minimálna pomoc použitá</w:t>
      </w:r>
      <w:r>
        <w:rPr>
          <w:rFonts w:ascii="Arial" w:hAnsi="Arial" w:cs="Arial"/>
          <w:bCs/>
          <w:sz w:val="20"/>
          <w:vertAlign w:val="superscript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>. Podniku (žiadateľovi) bola v sledovanom období poskytnutá pomoc:</w:t>
      </w:r>
    </w:p>
    <w:p>
      <w:pPr>
        <w:rPr>
          <w:rFonts w:ascii="Arial" w:hAnsi="Arial" w:cs="Arial"/>
          <w:bCs/>
          <w:sz w:val="20"/>
          <w:lang w:val="sk-SK"/>
        </w:rPr>
      </w:pPr>
    </w:p>
    <w:p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>
        <w:tc>
          <w:tcPr>
            <w:tcW w:w="1028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poskytnutia </w:t>
            </w:r>
          </w:p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Poskytovateľ</w:t>
            </w:r>
          </w:p>
        </w:tc>
        <w:tc>
          <w:tcPr>
            <w:tcW w:w="1223" w:type="pct"/>
            <w:vAlign w:val="center"/>
          </w:tcPr>
          <w:p>
            <w:pPr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>
        <w:tc>
          <w:tcPr>
            <w:tcW w:w="1028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028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>
        <w:tc>
          <w:tcPr>
            <w:tcW w:w="1028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>
            <w:pPr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>
      <w:pPr>
        <w:adjustRightInd w:val="0"/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adjustRightInd w:val="0"/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žiadateľ vyhlasuje, že:</w:t>
      </w:r>
    </w:p>
    <w:p>
      <w:pPr>
        <w:adjustRightInd w:val="0"/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 ani nespĺňa kritériá domácich právnych predpisov na to, aby sa stal predmetom kolektívneho konkurzného konania na návrh svojich veriteľov,</w:t>
      </w:r>
    </w:p>
    <w:p>
      <w:pPr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adjustRightInd w:val="0"/>
        <w:rPr>
          <w:rFonts w:ascii="Arial" w:hAnsi="Arial" w:cs="Arial"/>
          <w:sz w:val="20"/>
          <w:lang w:val="sk-SK"/>
        </w:rPr>
      </w:pPr>
    </w:p>
    <w:p>
      <w:pPr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žiadny z podnikov, ktoré s ním tvoria jediný podnik:</w:t>
      </w:r>
    </w:p>
    <w:p>
      <w:pPr>
        <w:adjustRightInd w:val="0"/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</w:t>
      </w:r>
      <w:r>
        <w:rPr>
          <w:rFonts w:ascii="Arial" w:hAnsi="Arial" w:cs="Arial"/>
          <w:bCs/>
          <w:sz w:val="20"/>
          <w:lang w:val="sk-SK"/>
        </w:rPr>
        <w:t>predmetom kolektívneho konkurzného konania ani  nespĺňajú kritériá domácich právnych predpisov na to, aby sa stal predmetom kolektívneho konkurzného konania na návrh svojich veriteľov,</w:t>
      </w:r>
    </w:p>
    <w:p>
      <w:pPr>
        <w:ind w:left="340" w:hanging="34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</w:t>
      </w:r>
      <w:r>
        <w:rPr>
          <w:rFonts w:ascii="Arial" w:hAnsi="Arial" w:cs="Arial"/>
          <w:bCs/>
          <w:sz w:val="20"/>
          <w:lang w:val="sk-SK"/>
        </w:rPr>
        <w:t xml:space="preserve"> predmetom kolektívneho konkurzného konania a spĺňa kritériá domácich právnych predpisov na to, aby sa stal predmetom kolektívneho konkurzného konania na návrh svojich veriteľov,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Cs/>
          <w:sz w:val="20"/>
          <w:lang w:val="sk-SK"/>
        </w:rPr>
      </w:r>
      <w:r>
        <w:rPr>
          <w:rFonts w:ascii="Arial" w:hAnsi="Arial" w:cs="Arial"/>
          <w:bCs/>
          <w:sz w:val="20"/>
          <w:lang w:val="sk-SK"/>
        </w:rPr>
        <w:fldChar w:fldCharType="separate"/>
      </w:r>
      <w:r>
        <w:rPr>
          <w:rFonts w:ascii="Arial" w:hAnsi="Arial" w:cs="Arial"/>
          <w:bCs/>
          <w:sz w:val="20"/>
          <w:lang w:val="sk-SK"/>
        </w:rPr>
        <w:fldChar w:fldCharType="end"/>
      </w:r>
      <w:r>
        <w:rPr>
          <w:rFonts w:ascii="Arial" w:hAnsi="Arial" w:cs="Arial"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>
      <w:pPr>
        <w:numPr>
          <w:ilvl w:val="0"/>
          <w:numId w:val="3"/>
        </w:numPr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Žiadateľ vyhlasuje, že: </w:t>
      </w:r>
    </w:p>
    <w:p>
      <w:pPr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>
      <w:pPr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 nie je  </w:t>
      </w:r>
      <w:r>
        <w:rPr>
          <w:rFonts w:ascii="Arial" w:hAnsi="Arial" w:cs="Arial"/>
          <w:sz w:val="20"/>
          <w:lang w:val="sk-SK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nie je  </w:t>
      </w:r>
      <w:r>
        <w:rPr>
          <w:rFonts w:ascii="Arial" w:hAnsi="Arial" w:cs="Arial"/>
          <w:sz w:val="20"/>
          <w:lang w:val="sk-SK"/>
        </w:rPr>
        <w:t>voči žiadnemu z podnikov,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,</w:t>
      </w:r>
    </w:p>
    <w:p>
      <w:pPr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 xml:space="preserve"> niektorému z podnikov, ktoré s ním tvoria jediný podnik,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>
        <w:rPr>
          <w:rFonts w:ascii="Arial" w:hAnsi="Arial" w:cs="Arial"/>
          <w:sz w:val="20"/>
          <w:lang w:val="sk-SK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</w:p>
    <w:p>
      <w:pPr>
        <w:numPr>
          <w:ilvl w:val="0"/>
          <w:numId w:val="3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že:</w:t>
      </w:r>
      <w:r>
        <w:rPr>
          <w:rFonts w:ascii="Arial" w:hAnsi="Arial" w:cs="Arial"/>
          <w:sz w:val="20"/>
          <w:vertAlign w:val="superscript"/>
          <w:lang w:val="sk-SK"/>
        </w:rPr>
        <w:footnoteReference w:id="13"/>
      </w:r>
    </w:p>
    <w:p>
      <w:pPr>
        <w:rPr>
          <w:b/>
          <w:sz w:val="20"/>
          <w:lang w:val="sk-SK"/>
        </w:rPr>
      </w:pPr>
    </w:p>
    <w:p>
      <w:pPr>
        <w:numPr>
          <w:ilvl w:val="0"/>
          <w:numId w:val="9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Fonts w:ascii="Arial" w:hAnsi="Arial" w:cs="Arial"/>
          <w:sz w:val="20"/>
          <w:vertAlign w:val="superscript"/>
          <w:lang w:val="sk-SK"/>
        </w:rPr>
        <w:footnoteReference w:id="14"/>
      </w:r>
      <w:r>
        <w:rPr>
          <w:rFonts w:ascii="Arial" w:hAnsi="Arial" w:cs="Arial"/>
          <w:sz w:val="20"/>
          <w:lang w:val="sk-SK"/>
        </w:rPr>
        <w:t xml:space="preserve"> a zároveň:</w:t>
      </w:r>
    </w:p>
    <w:p>
      <w:pPr>
        <w:ind w:left="426" w:hanging="426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5"/>
        </w:numPr>
        <w:ind w:left="709" w:hanging="142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 xml:space="preserve">bude/nebude </w:t>
      </w:r>
      <w:r>
        <w:rPr>
          <w:rFonts w:ascii="Arial" w:hAnsi="Arial" w:cs="Arial"/>
          <w:sz w:val="20"/>
          <w:lang w:val="sk-SK"/>
        </w:rPr>
        <w:t>stanovená na základe ceny alebo množstva výrobkov uvedených na trh,</w:t>
      </w:r>
    </w:p>
    <w:p>
      <w:pPr>
        <w:ind w:left="709" w:hanging="142"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5"/>
        </w:numPr>
        <w:ind w:left="709" w:hanging="142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súvisiacimi s vývoznou činnosťou,</w:t>
      </w:r>
    </w:p>
    <w:p>
      <w:pPr>
        <w:ind w:left="709" w:hanging="142"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5"/>
        </w:numPr>
        <w:ind w:left="709" w:hanging="142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pomoc </w:t>
      </w:r>
      <w:r>
        <w:rPr>
          <w:rFonts w:ascii="Arial" w:hAnsi="Arial" w:cs="Arial"/>
          <w:b/>
          <w:sz w:val="20"/>
          <w:lang w:val="sk-SK"/>
        </w:rPr>
        <w:t>je/nie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je</w:t>
      </w:r>
      <w:r>
        <w:rPr>
          <w:rFonts w:ascii="Arial" w:hAnsi="Arial" w:cs="Arial"/>
          <w:sz w:val="20"/>
          <w:lang w:val="sk-SK"/>
        </w:rPr>
        <w:t xml:space="preserve"> podmienená uprednostňovaním používania domáceho tovaru pred dovážaným;</w:t>
      </w:r>
    </w:p>
    <w:p>
      <w:pPr>
        <w:ind w:left="426" w:hanging="426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9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prvovýrobe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vertAlign w:val="superscript"/>
          <w:lang w:val="sk-SK"/>
        </w:rPr>
        <w:footnoteReference w:id="15"/>
      </w:r>
      <w:r>
        <w:rPr>
          <w:rFonts w:ascii="Arial" w:hAnsi="Arial" w:cs="Arial"/>
          <w:sz w:val="20"/>
          <w:lang w:val="sk-SK"/>
        </w:rPr>
        <w:t xml:space="preserve">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činnosťou;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9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jednom alebo vo viacerých zo sektorov alebo </w:t>
      </w:r>
      <w:r>
        <w:rPr>
          <w:rFonts w:ascii="Arial" w:hAnsi="Arial" w:cs="Arial"/>
          <w:b/>
          <w:sz w:val="20"/>
          <w:lang w:val="sk-SK"/>
        </w:rPr>
        <w:t>vykonáva/nevykonáva</w:t>
      </w:r>
      <w:r>
        <w:rPr>
          <w:rFonts w:ascii="Arial" w:hAnsi="Arial" w:cs="Arial"/>
          <w:sz w:val="20"/>
          <w:lang w:val="sk-SK"/>
        </w:rPr>
        <w:t xml:space="preserve"> iné činnosti, ktoré patria do pôsobnosti nariadenia č. 1407/2013 a pomoc </w:t>
      </w:r>
      <w:r>
        <w:rPr>
          <w:rFonts w:ascii="Arial" w:hAnsi="Arial" w:cs="Arial"/>
          <w:b/>
          <w:sz w:val="20"/>
          <w:lang w:val="sk-SK"/>
        </w:rPr>
        <w:t>bude/nebude</w:t>
      </w:r>
      <w:r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ind w:left="426" w:hanging="426"/>
        <w:rPr>
          <w:rFonts w:ascii="Arial" w:hAnsi="Arial" w:cs="Arial"/>
          <w:sz w:val="20"/>
          <w:lang w:val="sk-SK"/>
        </w:rPr>
      </w:pPr>
    </w:p>
    <w:p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Ak žiadateľ pôsobí okrem prvovýroby poľnohospodárskych výrobkov aj v niektorom z odvetví uvedených v písm. b) a c), vyhlasuje, že v prípade ak mu bude poskytnutá minimálna pomoc na poľnohospodársku prvovýrobu: </w:t>
      </w:r>
    </w:p>
    <w:p>
      <w:pPr>
        <w:rPr>
          <w:rFonts w:ascii="Arial" w:hAnsi="Arial" w:cs="Arial"/>
          <w:sz w:val="20"/>
          <w:lang w:val="sk-SK"/>
        </w:rPr>
      </w:pP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(napr. analytická evidencia),</w:t>
      </w:r>
    </w:p>
    <w:p>
      <w:pPr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nemá </w:t>
      </w:r>
      <w:r>
        <w:rPr>
          <w:rFonts w:ascii="Arial" w:hAnsi="Arial" w:cs="Arial"/>
          <w:bCs/>
          <w:sz w:val="20"/>
          <w:lang w:val="sk-SK"/>
        </w:rPr>
        <w:t>zabezpečené oddelené sledovanie činností / nákladov (napr. analytická evidencia).</w:t>
      </w:r>
    </w:p>
    <w:p>
      <w:pPr>
        <w:contextualSpacing/>
        <w:rPr>
          <w:rFonts w:ascii="Arial" w:hAnsi="Arial" w:cs="Arial"/>
          <w:sz w:val="20"/>
          <w:lang w:val="sk-SK"/>
        </w:rPr>
      </w:pPr>
    </w:p>
    <w:p>
      <w:pPr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>
      <w:pPr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nežiada</w:t>
      </w:r>
      <w:r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pomoci,</w:t>
      </w:r>
    </w:p>
    <w:p>
      <w:pPr>
        <w:ind w:left="710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>
        <w:rPr>
          <w:rFonts w:ascii="Arial" w:hAnsi="Arial" w:cs="Arial"/>
          <w:b/>
          <w:bCs/>
          <w:sz w:val="20"/>
          <w:lang w:val="sk-SK"/>
        </w:rPr>
      </w:r>
      <w:r>
        <w:rPr>
          <w:rFonts w:ascii="Arial" w:hAnsi="Arial" w:cs="Arial"/>
          <w:b/>
          <w:bCs/>
          <w:sz w:val="20"/>
          <w:lang w:val="sk-SK"/>
        </w:rPr>
        <w:fldChar w:fldCharType="separate"/>
      </w:r>
      <w:r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>
        <w:rPr>
          <w:rFonts w:ascii="Arial" w:hAnsi="Arial" w:cs="Arial"/>
          <w:sz w:val="20"/>
          <w:lang w:val="sk-SK"/>
        </w:rPr>
        <w:t>o inú minimálnu pomoc od iného, resp. toho istého poskytovateľa minimálnej pomoci:</w:t>
      </w: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</w:p>
    <w:p>
      <w:pPr>
        <w:ind w:left="710"/>
        <w:rPr>
          <w:rFonts w:ascii="Arial" w:hAnsi="Arial" w:cs="Arial"/>
          <w:sz w:val="20"/>
          <w:lang w:val="sk-SK"/>
        </w:rPr>
      </w:pPr>
      <w:bookmarkStart w:id="0" w:name="_GoBack"/>
      <w:bookmarkEnd w:id="0"/>
    </w:p>
    <w:p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>
        <w:tc>
          <w:tcPr>
            <w:tcW w:w="2687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>
        <w:tc>
          <w:tcPr>
            <w:tcW w:w="2687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>
      <w:pPr>
        <w:ind w:left="426"/>
        <w:contextualSpacing/>
        <w:rPr>
          <w:rFonts w:ascii="Arial" w:hAnsi="Arial" w:cs="Arial"/>
          <w:sz w:val="20"/>
          <w:lang w:val="sk-SK"/>
        </w:rPr>
      </w:pPr>
    </w:p>
    <w:p>
      <w:pPr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3"/>
        </w:numPr>
        <w:ind w:left="426" w:hanging="426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>
      <w:pPr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0"/>
        </w:numPr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potrebné, aby boli vyplnené všetky body vyhlásenia;</w:t>
      </w:r>
    </w:p>
    <w:p>
      <w:pPr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0"/>
        </w:numPr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pravdivé a sú poskytované dobrovoľne;</w:t>
      </w:r>
    </w:p>
    <w:p>
      <w:pPr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0"/>
        </w:numPr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numPr>
          <w:ilvl w:val="0"/>
          <w:numId w:val="10"/>
        </w:numPr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Fonts w:ascii="Arial" w:hAnsi="Arial" w:cs="Arial"/>
          <w:sz w:val="20"/>
          <w:vertAlign w:val="superscript"/>
          <w:lang w:val="sk-SK"/>
        </w:rPr>
        <w:footnoteReference w:id="16"/>
      </w:r>
      <w:r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ind w:left="720"/>
        <w:contextualSpacing/>
        <w:rPr>
          <w:rFonts w:ascii="Arial" w:hAnsi="Arial" w:cs="Arial"/>
          <w:sz w:val="20"/>
          <w:lang w:val="sk-SK"/>
        </w:rPr>
      </w:pPr>
    </w:p>
    <w:p>
      <w:pPr>
        <w:tabs>
          <w:tab w:val="left" w:pos="2445"/>
        </w:tabs>
        <w:ind w:left="709" w:firstLine="2"/>
        <w:contextualSpacing/>
        <w:rPr>
          <w:rFonts w:ascii="Arial" w:hAnsi="Arial" w:cs="Arial"/>
          <w:sz w:val="20"/>
          <w:lang w:val="sk-SK"/>
        </w:rPr>
      </w:pPr>
    </w:p>
    <w:p>
      <w:pPr>
        <w:ind w:left="284"/>
        <w:contextualSpacing/>
        <w:rPr>
          <w:rFonts w:ascii="Arial" w:hAnsi="Arial" w:cs="Arial"/>
          <w:sz w:val="20"/>
          <w:lang w:val="sk-SK"/>
        </w:rPr>
      </w:pPr>
    </w:p>
    <w:p>
      <w:pPr>
        <w:ind w:left="284"/>
        <w:contextualSpacing/>
        <w:rPr>
          <w:rFonts w:ascii="Arial" w:hAnsi="Arial" w:cs="Arial"/>
          <w:sz w:val="20"/>
          <w:lang w:val="sk-SK"/>
        </w:rPr>
      </w:pPr>
    </w:p>
    <w:p>
      <w:pPr>
        <w:ind w:left="284"/>
        <w:contextualSpacing/>
        <w:rPr>
          <w:rFonts w:ascii="Arial" w:hAnsi="Arial" w:cs="Arial"/>
          <w:sz w:val="20"/>
          <w:lang w:val="sk-SK"/>
        </w:rPr>
      </w:pPr>
    </w:p>
    <w:p>
      <w:pPr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contextualSpacing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  <w:t xml:space="preserve">                                Podpis žiadateľa</w:t>
      </w:r>
    </w:p>
    <w:p>
      <w:pPr>
        <w:adjustRightInd w:val="0"/>
        <w:jc w:val="center"/>
        <w:rPr>
          <w:i/>
          <w:iCs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>
        <w:rPr>
          <w:b/>
          <w:sz w:val="20"/>
          <w:lang w:val="sk-SK"/>
        </w:rPr>
        <w:tab/>
      </w:r>
    </w:p>
    <w:p>
      <w:pPr>
        <w:rPr>
          <w:lang w:val="sk-SK"/>
        </w:rPr>
      </w:pPr>
    </w:p>
    <w:p>
      <w:pPr>
        <w:rPr>
          <w:lang w:val="sk-SK"/>
        </w:rPr>
      </w:pPr>
    </w:p>
    <w:p>
      <w:pPr>
        <w:autoSpaceDE w:val="0"/>
        <w:autoSpaceDN w:val="0"/>
        <w:jc w:val="center"/>
        <w:rPr>
          <w:lang w:val="sk-SK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23" w:right="1134" w:bottom="567" w:left="1134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pBdr>
        <w:top w:val="single" w:sz="4" w:space="1" w:color="auto"/>
      </w:pBdr>
      <w:jc w:val="center"/>
      <w:rPr>
        <w:bCs/>
        <w:i/>
        <w:sz w:val="20"/>
      </w:rPr>
    </w:pPr>
    <w:r>
      <w:rPr>
        <w:bCs/>
        <w:i/>
        <w:sz w:val="20"/>
      </w:rPr>
      <w:t xml:space="preserve">Národný projekt </w:t>
    </w:r>
    <w:r>
      <w:rPr>
        <w:bCs/>
        <w:i/>
        <w:sz w:val="20"/>
        <w:lang w:val="sk-SK"/>
      </w:rPr>
      <w:t>„</w:t>
    </w:r>
    <w:r>
      <w:rPr>
        <w:bCs/>
        <w:i/>
        <w:sz w:val="20"/>
      </w:rPr>
      <w:t>Finančné stimuly pre zamestnanosť "</w:t>
    </w:r>
  </w:p>
  <w:p>
    <w:pPr>
      <w:pStyle w:val="Pta"/>
      <w:pBdr>
        <w:top w:val="single" w:sz="4" w:space="1" w:color="auto"/>
      </w:pBdr>
      <w:jc w:val="center"/>
      <w:rPr>
        <w:bCs/>
        <w:i/>
        <w:sz w:val="20"/>
        <w:lang w:val="sk-SK"/>
      </w:rPr>
    </w:pPr>
    <w:r>
      <w:rPr>
        <w:bCs/>
        <w:i/>
        <w:sz w:val="20"/>
      </w:rPr>
      <w:t>sa realizuje vďaka podpore z fondu</w:t>
    </w:r>
    <w:r>
      <w:rPr>
        <w:bCs/>
        <w:i/>
        <w:sz w:val="20"/>
        <w:lang w:val="sk-SK"/>
      </w:rPr>
      <w:t xml:space="preserve"> ESF</w:t>
    </w:r>
    <w:r>
      <w:rPr>
        <w:bCs/>
        <w:i/>
        <w:sz w:val="20"/>
      </w:rPr>
      <w:t>+ v rámci Programu Slovensko</w:t>
    </w:r>
    <w:r>
      <w:rPr>
        <w:bCs/>
        <w:i/>
        <w:sz w:val="20"/>
        <w:lang w:val="sk-SK"/>
      </w:rPr>
      <w:t xml:space="preserve"> 2021 - 2027</w:t>
    </w:r>
  </w:p>
  <w:p>
    <w:pPr>
      <w:tabs>
        <w:tab w:val="left" w:pos="1275"/>
        <w:tab w:val="center" w:pos="4607"/>
      </w:tabs>
      <w:jc w:val="center"/>
      <w:rPr>
        <w:i/>
        <w:sz w:val="20"/>
        <w:lang w:val="sk-SK"/>
      </w:rPr>
    </w:pPr>
    <w:hyperlink r:id="rId1" w:history="1">
      <w:r>
        <w:rPr>
          <w:rStyle w:val="Hypertextovprepojenie"/>
          <w:i/>
          <w:sz w:val="20"/>
        </w:rPr>
        <w:t>www.employment.gov.sk</w:t>
      </w:r>
    </w:hyperlink>
    <w:r>
      <w:rPr>
        <w:i/>
        <w:color w:val="1F497D"/>
        <w:sz w:val="20"/>
      </w:rPr>
      <w:t xml:space="preserve">, </w:t>
    </w:r>
    <w:hyperlink r:id="rId2" w:history="1">
      <w:r>
        <w:rPr>
          <w:rStyle w:val="Hypertextovprepojenie"/>
          <w:i/>
          <w:sz w:val="20"/>
        </w:rPr>
        <w:t>www.esf.gov.sk</w:t>
      </w:r>
    </w:hyperlink>
    <w:r>
      <w:rPr>
        <w:sz w:val="20"/>
        <w:lang w:val="sk-SK"/>
      </w:rPr>
      <w:t xml:space="preserve">                                                                                                                                        </w:t>
    </w:r>
    <w:r>
      <w:rPr>
        <w:sz w:val="20"/>
      </w:rPr>
      <w:tab/>
    </w:r>
    <w:r>
      <w:rPr>
        <w:i/>
        <w:sz w:val="20"/>
        <w:lang w:val="sk-SK"/>
      </w:rPr>
      <w:t xml:space="preserve">                                                                                                                                      Strana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PAGE  \* Arabic  \* MERGEFORMAT</w:instrText>
    </w:r>
    <w:r>
      <w:rPr>
        <w:b/>
        <w:bCs/>
        <w:i/>
        <w:sz w:val="20"/>
        <w:lang w:val="sk-SK"/>
      </w:rPr>
      <w:fldChar w:fldCharType="separate"/>
    </w:r>
    <w:r>
      <w:rPr>
        <w:b/>
        <w:bCs/>
        <w:i/>
        <w:noProof/>
        <w:sz w:val="20"/>
        <w:lang w:val="sk-SK"/>
      </w:rPr>
      <w:t>4</w:t>
    </w:r>
    <w:r>
      <w:rPr>
        <w:b/>
        <w:bCs/>
        <w:i/>
        <w:sz w:val="20"/>
        <w:lang w:val="sk-SK"/>
      </w:rPr>
      <w:fldChar w:fldCharType="end"/>
    </w:r>
    <w:r>
      <w:rPr>
        <w:i/>
        <w:sz w:val="20"/>
        <w:lang w:val="sk-SK"/>
      </w:rPr>
      <w:t xml:space="preserve"> z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NUMPAGES  \* Arabic  \* MERGEFORMAT</w:instrText>
    </w:r>
    <w:r>
      <w:rPr>
        <w:b/>
        <w:bCs/>
        <w:i/>
        <w:sz w:val="20"/>
        <w:lang w:val="sk-SK"/>
      </w:rPr>
      <w:fldChar w:fldCharType="separate"/>
    </w:r>
    <w:r>
      <w:rPr>
        <w:b/>
        <w:bCs/>
        <w:i/>
        <w:noProof/>
        <w:sz w:val="20"/>
        <w:lang w:val="sk-SK"/>
      </w:rPr>
      <w:t>6</w:t>
    </w:r>
    <w:r>
      <w:rPr>
        <w:b/>
        <w:bCs/>
        <w:i/>
        <w:sz w:val="20"/>
        <w:lang w:val="sk-SK"/>
      </w:rPr>
      <w:fldChar w:fldCharType="end"/>
    </w:r>
  </w:p>
  <w:p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b/>
        <w:i/>
        <w:sz w:val="20"/>
        <w:lang w:val="sk-SK"/>
      </w:rPr>
    </w:pPr>
    <w:r>
      <w:rPr>
        <w:rFonts w:ascii="Arial" w:hAnsi="Arial" w:cs="Arial"/>
        <w:sz w:val="16"/>
        <w:szCs w:val="16"/>
        <w:lang w:val="sk-SK"/>
      </w:rPr>
      <w:t>*</w:t>
    </w:r>
    <w:r>
      <w:rPr>
        <w:b/>
        <w:i/>
        <w:sz w:val="20"/>
        <w:lang w:val="sk-SK"/>
      </w:rPr>
      <w:t xml:space="preserve"> </w:t>
    </w:r>
    <w:r>
      <w:rPr>
        <w:b/>
        <w:i/>
        <w:sz w:val="16"/>
        <w:szCs w:val="16"/>
        <w:lang w:val="sk-SK"/>
      </w:rPr>
      <w:t>platí pre podnikateľské subjekty, resp. subjekty, ktoré nie sú podnikateľskými subjektmi, ale v rámci svojej</w:t>
    </w:r>
    <w:r>
      <w:rPr>
        <w:b/>
        <w:i/>
        <w:sz w:val="20"/>
        <w:lang w:val="sk-SK"/>
      </w:rPr>
      <w:t xml:space="preserve">   </w:t>
    </w:r>
  </w:p>
  <w:p>
    <w:pPr>
      <w:rPr>
        <w:b/>
        <w:i/>
        <w:sz w:val="16"/>
        <w:szCs w:val="16"/>
        <w:lang w:val="sk-SK"/>
      </w:rPr>
    </w:pPr>
    <w:r>
      <w:rPr>
        <w:b/>
        <w:i/>
        <w:sz w:val="20"/>
        <w:lang w:val="sk-SK"/>
      </w:rPr>
      <w:t xml:space="preserve">  </w:t>
    </w:r>
    <w:r>
      <w:rPr>
        <w:b/>
        <w:i/>
        <w:sz w:val="16"/>
        <w:szCs w:val="16"/>
        <w:lang w:val="sk-SK"/>
      </w:rPr>
      <w:t>činnosti vykonávajú aj hospodársku činnosť</w:t>
    </w:r>
  </w:p>
  <w:p>
    <w:pPr>
      <w:rPr>
        <w:b/>
        <w:i/>
        <w:sz w:val="16"/>
        <w:szCs w:val="16"/>
        <w:lang w:val="sk-SK"/>
      </w:rPr>
    </w:pPr>
  </w:p>
  <w:p>
    <w:pPr>
      <w:pStyle w:val="Pta"/>
      <w:pBdr>
        <w:top w:val="single" w:sz="4" w:space="1" w:color="auto"/>
      </w:pBdr>
      <w:jc w:val="center"/>
      <w:rPr>
        <w:bCs/>
        <w:i/>
        <w:sz w:val="20"/>
      </w:rPr>
    </w:pPr>
    <w:r>
      <w:rPr>
        <w:bCs/>
        <w:i/>
        <w:sz w:val="20"/>
      </w:rPr>
      <w:t xml:space="preserve">Národný projekt </w:t>
    </w:r>
    <w:r>
      <w:rPr>
        <w:bCs/>
        <w:i/>
        <w:sz w:val="20"/>
        <w:lang w:val="sk-SK"/>
      </w:rPr>
      <w:t>„</w:t>
    </w:r>
    <w:r>
      <w:rPr>
        <w:bCs/>
        <w:i/>
        <w:sz w:val="20"/>
      </w:rPr>
      <w:t>Finančné stimuly pre zamestnanosť"</w:t>
    </w:r>
  </w:p>
  <w:p>
    <w:pPr>
      <w:pStyle w:val="Pta"/>
      <w:pBdr>
        <w:top w:val="single" w:sz="4" w:space="1" w:color="auto"/>
      </w:pBdr>
      <w:jc w:val="center"/>
      <w:rPr>
        <w:bCs/>
        <w:i/>
        <w:sz w:val="20"/>
        <w:lang w:val="sk-SK"/>
      </w:rPr>
    </w:pPr>
    <w:r>
      <w:rPr>
        <w:bCs/>
        <w:i/>
        <w:sz w:val="20"/>
      </w:rPr>
      <w:t>sa realizuje vďaka podpore z</w:t>
    </w:r>
    <w:r>
      <w:rPr>
        <w:bCs/>
        <w:i/>
        <w:sz w:val="20"/>
        <w:lang w:val="sk-SK"/>
      </w:rPr>
      <w:t xml:space="preserve"> </w:t>
    </w:r>
    <w:r>
      <w:rPr>
        <w:bCs/>
        <w:i/>
        <w:sz w:val="20"/>
      </w:rPr>
      <w:t>fondu</w:t>
    </w:r>
    <w:r>
      <w:rPr>
        <w:bCs/>
        <w:i/>
        <w:sz w:val="20"/>
        <w:lang w:val="sk-SK"/>
      </w:rPr>
      <w:t xml:space="preserve"> ESF</w:t>
    </w:r>
    <w:r>
      <w:rPr>
        <w:bCs/>
        <w:i/>
        <w:sz w:val="20"/>
      </w:rPr>
      <w:t>+ v rámci Programu Slovensko</w:t>
    </w:r>
    <w:r>
      <w:rPr>
        <w:bCs/>
        <w:i/>
        <w:sz w:val="20"/>
        <w:lang w:val="sk-SK"/>
      </w:rPr>
      <w:t xml:space="preserve"> 2021 - 2027</w:t>
    </w:r>
  </w:p>
  <w:p>
    <w:pPr>
      <w:tabs>
        <w:tab w:val="left" w:pos="1275"/>
        <w:tab w:val="center" w:pos="4607"/>
      </w:tabs>
      <w:jc w:val="center"/>
      <w:rPr>
        <w:sz w:val="20"/>
      </w:rPr>
    </w:pPr>
    <w:hyperlink r:id="rId1" w:history="1">
      <w:r>
        <w:rPr>
          <w:rStyle w:val="Hypertextovprepojenie"/>
          <w:i/>
          <w:sz w:val="20"/>
        </w:rPr>
        <w:t>www.employment.gov.sk</w:t>
      </w:r>
    </w:hyperlink>
    <w:r>
      <w:rPr>
        <w:i/>
        <w:color w:val="1F497D"/>
        <w:sz w:val="20"/>
      </w:rPr>
      <w:t xml:space="preserve">, </w:t>
    </w:r>
    <w:hyperlink r:id="rId2" w:history="1">
      <w:r>
        <w:rPr>
          <w:rStyle w:val="Hypertextovprepojenie"/>
          <w:i/>
          <w:sz w:val="20"/>
        </w:rPr>
        <w:t>www.esf.gov.sk</w:t>
      </w:r>
    </w:hyperlink>
  </w:p>
  <w:p>
    <w:pPr>
      <w:pStyle w:val="Pta"/>
      <w:tabs>
        <w:tab w:val="clear" w:pos="4536"/>
        <w:tab w:val="clear" w:pos="9072"/>
        <w:tab w:val="left" w:pos="7245"/>
      </w:tabs>
      <w:rPr>
        <w:i/>
        <w:sz w:val="20"/>
        <w:lang w:val="sk-SK"/>
      </w:rPr>
    </w:pPr>
    <w:r>
      <w:rPr>
        <w:i/>
        <w:lang w:val="sk-SK"/>
      </w:rPr>
      <w:t xml:space="preserve">                                                                                                                                               </w:t>
    </w:r>
    <w:r>
      <w:rPr>
        <w:i/>
        <w:sz w:val="20"/>
        <w:lang w:val="sk-SK"/>
      </w:rPr>
      <w:t xml:space="preserve">Strana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PAGE  \* Arabic  \* MERGEFORMAT</w:instrText>
    </w:r>
    <w:r>
      <w:rPr>
        <w:b/>
        <w:bCs/>
        <w:i/>
        <w:sz w:val="20"/>
        <w:lang w:val="sk-SK"/>
      </w:rPr>
      <w:fldChar w:fldCharType="separate"/>
    </w:r>
    <w:r>
      <w:rPr>
        <w:b/>
        <w:bCs/>
        <w:i/>
        <w:noProof/>
        <w:sz w:val="20"/>
        <w:lang w:val="sk-SK"/>
      </w:rPr>
      <w:t>1</w:t>
    </w:r>
    <w:r>
      <w:rPr>
        <w:b/>
        <w:bCs/>
        <w:i/>
        <w:sz w:val="20"/>
        <w:lang w:val="sk-SK"/>
      </w:rPr>
      <w:fldChar w:fldCharType="end"/>
    </w:r>
    <w:r>
      <w:rPr>
        <w:i/>
        <w:sz w:val="20"/>
        <w:lang w:val="sk-SK"/>
      </w:rPr>
      <w:t xml:space="preserve"> z </w:t>
    </w:r>
    <w:r>
      <w:rPr>
        <w:b/>
        <w:bCs/>
        <w:i/>
        <w:sz w:val="20"/>
        <w:lang w:val="sk-SK"/>
      </w:rPr>
      <w:fldChar w:fldCharType="begin"/>
    </w:r>
    <w:r>
      <w:rPr>
        <w:b/>
        <w:bCs/>
        <w:i/>
        <w:sz w:val="20"/>
        <w:lang w:val="sk-SK"/>
      </w:rPr>
      <w:instrText>NUMPAGES  \* Arabic  \* MERGEFORMAT</w:instrText>
    </w:r>
    <w:r>
      <w:rPr>
        <w:b/>
        <w:bCs/>
        <w:i/>
        <w:sz w:val="20"/>
        <w:lang w:val="sk-SK"/>
      </w:rPr>
      <w:fldChar w:fldCharType="separate"/>
    </w:r>
    <w:r>
      <w:rPr>
        <w:b/>
        <w:bCs/>
        <w:i/>
        <w:noProof/>
        <w:sz w:val="20"/>
        <w:lang w:val="sk-SK"/>
      </w:rPr>
      <w:t>6</w:t>
    </w:r>
    <w:r>
      <w:rPr>
        <w:b/>
        <w:bCs/>
        <w:i/>
        <w:sz w:val="20"/>
        <w:lang w:val="sk-SK"/>
      </w:rPr>
      <w:fldChar w:fldCharType="end"/>
    </w:r>
  </w:p>
  <w:p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zmluvy.</w:t>
      </w:r>
    </w:p>
  </w:footnote>
  <w:footnote w:id="3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3 ods. 3 – 5 zákona č. 431/2002 Z. z. o účtovníctve v znení neskorších predpisov</w:t>
      </w:r>
    </w:p>
  </w:footnote>
  <w:footnote w:id="4">
    <w:p>
      <w:pPr>
        <w:pStyle w:val="Textpoznmkypodiarou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Doplniť konkrétny rok</w:t>
      </w:r>
    </w:p>
  </w:footnote>
  <w:footnote w:id="5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Deň, keď nadobudol účinok právny úkon, na základe ktorého sa pomoc poskytla príjemcovi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(napr. deň nadobudnutia účinnosti zmluvy o poskytnutí dotácie; deň podpísania úverovej zmluvy), a to bez ohľadu na dátum vyplatenia pomoci podniku.</w:t>
      </w:r>
    </w:p>
  </w:footnote>
  <w:footnote w:id="6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Nariadenie Komisie (EÚ) </w:t>
      </w:r>
      <w:r>
        <w:rPr>
          <w:rFonts w:ascii="Arial" w:hAnsi="Arial" w:cs="Arial"/>
          <w:b/>
          <w:sz w:val="14"/>
          <w:szCs w:val="14"/>
        </w:rPr>
        <w:t>č. 1407/2013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 v platnom znení.</w:t>
      </w:r>
    </w:p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Nariadenie Komisie (EÚ) </w:t>
      </w:r>
      <w:r>
        <w:rPr>
          <w:rFonts w:ascii="Arial" w:hAnsi="Arial" w:cs="Arial"/>
          <w:b/>
          <w:sz w:val="14"/>
          <w:szCs w:val="14"/>
        </w:rPr>
        <w:t>č. 1408/2013</w:t>
      </w:r>
      <w:r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minimis v sektore poľnohospodárstva v platnom znení.</w:t>
      </w:r>
    </w:p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Nariadenie Komisie (EÚ) </w:t>
      </w:r>
      <w:r>
        <w:rPr>
          <w:rFonts w:ascii="Arial" w:hAnsi="Arial" w:cs="Arial"/>
          <w:b/>
          <w:sz w:val="14"/>
          <w:szCs w:val="14"/>
        </w:rPr>
        <w:t>č. 717/2014</w:t>
      </w:r>
      <w:r>
        <w:rPr>
          <w:rFonts w:ascii="Arial" w:hAnsi="Arial" w:cs="Arial"/>
          <w:sz w:val="14"/>
          <w:szCs w:val="14"/>
        </w:rPr>
        <w:t xml:space="preserve"> z 27. júna 2014 o uplatňovaní článkov 107 a 108 Zmluvy o fungovaní Európskej únie na pomoc de minimis v sektore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 v platnom znení.</w:t>
      </w:r>
    </w:p>
    <w:p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Nariadenie Komisie (EÚ) č. </w:t>
      </w:r>
      <w:r>
        <w:rPr>
          <w:rFonts w:ascii="Arial" w:hAnsi="Arial" w:cs="Arial"/>
          <w:b/>
          <w:sz w:val="14"/>
          <w:szCs w:val="14"/>
        </w:rPr>
        <w:t>360/2012</w:t>
      </w:r>
      <w:r>
        <w:rPr>
          <w:rFonts w:ascii="Arial" w:hAnsi="Arial" w:cs="Arial"/>
          <w:sz w:val="14"/>
          <w:szCs w:val="14"/>
        </w:rPr>
        <w:t xml:space="preserve"> z 25. apríla 2012 o uplatňovaní článkov 107 a 108 Zmluvy o fungovaní Európskej únie na pomoc de minimis v prospech podnikov poskytujúcich služby všeobecného hospodárskeho záujmu v platnom znení.</w:t>
      </w:r>
    </w:p>
  </w:footnote>
  <w:footnote w:id="7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8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Bližšie informácie o jedinom podniku nájdete v Metodickom usmernení koordinátora štátnej pomoci č. 1/2015 z 1. apríla 2015 JEDINÝ PODNIK, dostupnom na webovom sídle http://www.statnapomoc.sk/wp-content/uploads/2015/08/Jediny-podnik.pdf</w:t>
      </w:r>
    </w:p>
  </w:footnote>
  <w:footnote w:id="9">
    <w:p>
      <w:pPr>
        <w:pStyle w:val="Textpoznmkypodiarou"/>
        <w:rPr>
          <w:rFonts w:ascii="Arial" w:hAnsi="Arial" w:cs="Arial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10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69 ods. 3 zákona č. 513/1991 Zb. Obchodný zákonník v znení neskorších predpisov. </w:t>
      </w:r>
    </w:p>
  </w:footnote>
  <w:footnote w:id="11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§ 69 ods. 4 zákona č. 513/1991 Zb. Obchodný zákonník v znení neskorších predpisov.</w:t>
      </w:r>
    </w:p>
  </w:footnote>
  <w:footnote w:id="12">
    <w:p>
      <w:pPr>
        <w:pStyle w:val="Textpoznmkypodiarou"/>
        <w:ind w:left="142" w:hanging="142"/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Pokiaľ by na základe prevzatých činností nebolo možné skôr poskytnutú minimálnu pomoc rozdeliť, rozdelí sa pomoc pomerným spôsobom na základe účtovnej hodnoty vlastného kapitálu nových podnikov k dátumu účinnosti rozdelenia (v súlade s  čl. 3 ods. 9 nariadení1407/2013, 1408/2013 a 717/2014).</w:t>
      </w:r>
    </w:p>
  </w:footnote>
  <w:footnote w:id="13">
    <w:p>
      <w:pPr>
        <w:pStyle w:val="Textpoznmkypodiarou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Nehodiace sa prečiarknite.</w:t>
      </w:r>
    </w:p>
  </w:footnote>
  <w:footnote w:id="14">
    <w:p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Poľnohospodárske výrobky sú výrobky vymenované v prílohe 1 k Zmluvy o fungovaní EÚ s výnimkou produktov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, na ktoré sa vzťahuje nariadenie </w:t>
      </w:r>
      <w:r>
        <w:rPr>
          <w:rStyle w:val="Siln"/>
          <w:rFonts w:ascii="Arial" w:hAnsi="Arial" w:cs="Arial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>
        <w:rPr>
          <w:rStyle w:val="Siln"/>
          <w:rFonts w:ascii="Arial" w:hAnsi="Arial" w:cs="Arial"/>
          <w:sz w:val="14"/>
          <w:szCs w:val="14"/>
        </w:rPr>
        <w:t>akvakultúry</w:t>
      </w:r>
      <w:proofErr w:type="spellEnd"/>
      <w:r>
        <w:rPr>
          <w:rStyle w:val="Siln"/>
          <w:rFonts w:ascii="Arial" w:hAnsi="Arial" w:cs="Arial"/>
          <w:sz w:val="14"/>
          <w:szCs w:val="14"/>
        </w:rPr>
        <w:t>, ktorým sa menia nariadenia Rady (ES) č. 1184/2006 a (ES) č. 1224/2009 a zrušuje nariadenie Rady (ES) č. 104/2000.</w:t>
      </w:r>
    </w:p>
  </w:footnote>
  <w:footnote w:id="15">
    <w:p>
      <w:pPr>
        <w:pStyle w:val="Textpoznmkypodiarou"/>
        <w:ind w:left="142" w:hanging="142"/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Nariadenie Komisie (EÚ) </w:t>
      </w:r>
      <w:r>
        <w:rPr>
          <w:rFonts w:ascii="Arial" w:hAnsi="Arial" w:cs="Arial"/>
          <w:b/>
          <w:sz w:val="14"/>
          <w:szCs w:val="14"/>
        </w:rPr>
        <w:t>č. 717/2014</w:t>
      </w:r>
      <w:r>
        <w:rPr>
          <w:rFonts w:ascii="Arial" w:hAnsi="Arial" w:cs="Arial"/>
          <w:sz w:val="14"/>
          <w:szCs w:val="14"/>
        </w:rPr>
        <w:t xml:space="preserve"> z 27. júna 2014 o uplatňovaní článkov 107 a 108 Zmluvy o fungovaní Európskej únie na pomoc de minimis v sektore rybolovu a </w:t>
      </w:r>
      <w:proofErr w:type="spellStart"/>
      <w:r>
        <w:rPr>
          <w:rFonts w:ascii="Arial" w:hAnsi="Arial" w:cs="Arial"/>
          <w:sz w:val="14"/>
          <w:szCs w:val="14"/>
        </w:rPr>
        <w:t>akvakultúry</w:t>
      </w:r>
      <w:proofErr w:type="spellEnd"/>
      <w:r>
        <w:rPr>
          <w:rFonts w:ascii="Arial" w:hAnsi="Arial" w:cs="Arial"/>
          <w:sz w:val="14"/>
          <w:szCs w:val="14"/>
        </w:rPr>
        <w:t xml:space="preserve"> v platnom znení.</w:t>
      </w:r>
    </w:p>
  </w:footnote>
  <w:footnote w:id="16">
    <w:p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>
        <w:rPr>
          <w:rStyle w:val="Odkaznapoznmkupodiarou"/>
          <w:rFonts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rPr>
        <w:noProof/>
        <w:lang w:val="sk-SK" w:eastAsia="sk-SK"/>
      </w:rPr>
    </w:pPr>
  </w:p>
  <w:p>
    <w:pPr>
      <w:pStyle w:val="Hlavika"/>
      <w:rPr>
        <w:b/>
        <w:sz w:val="16"/>
        <w:szCs w:val="16"/>
        <w:lang w:val="sk-SK"/>
      </w:rPr>
    </w:pPr>
    <w:r>
      <w:rPr>
        <w:b/>
        <w:sz w:val="16"/>
        <w:szCs w:val="16"/>
      </w:rPr>
      <w:tab/>
    </w:r>
    <w:r>
      <w:rPr>
        <w:b/>
        <w:sz w:val="16"/>
        <w:szCs w:val="16"/>
        <w:lang w:val="sk-SK"/>
      </w:rPr>
      <w:t xml:space="preserve">        </w:t>
    </w:r>
  </w:p>
  <w:p>
    <w:pPr>
      <w:pStyle w:val="Hlavika"/>
      <w:rPr>
        <w:b/>
        <w:color w:val="FF0000"/>
      </w:rPr>
    </w:pPr>
    <w:r>
      <w:rPr>
        <w:b/>
        <w:sz w:val="16"/>
        <w:szCs w:val="16"/>
        <w:lang w:val="sk-SK"/>
      </w:rPr>
      <w:t xml:space="preserve">                                     </w:t>
    </w:r>
    <w:r>
      <w:rPr>
        <w:b/>
        <w:sz w:val="16"/>
        <w:szCs w:val="16"/>
        <w:lang w:val="sk-SK"/>
      </w:rPr>
      <w:tab/>
    </w:r>
    <w:r>
      <w:rPr>
        <w:b/>
        <w:sz w:val="16"/>
        <w:szCs w:val="16"/>
        <w:lang w:val="sk-SK"/>
      </w:rPr>
      <w:tab/>
    </w:r>
    <w:r>
      <w:rPr>
        <w:b/>
        <w:color w:val="FF0000"/>
      </w:rPr>
      <w:t xml:space="preserve"> </w:t>
    </w:r>
  </w:p>
  <w:p>
    <w:pPr>
      <w:pStyle w:val="Hlavika"/>
      <w:tabs>
        <w:tab w:val="clear" w:pos="4536"/>
        <w:tab w:val="clear" w:pos="9072"/>
        <w:tab w:val="left" w:pos="1575"/>
      </w:tabs>
      <w:rPr>
        <w:b/>
        <w:sz w:val="16"/>
        <w:szCs w:val="16"/>
      </w:rPr>
    </w:pPr>
    <w:r>
      <w:rPr>
        <w:b/>
        <w:color w:val="FF0000"/>
      </w:rPr>
      <w:t xml:space="preserve">       </w:t>
    </w:r>
    <w:r>
      <w:rPr>
        <w:b/>
        <w:color w:val="FF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left"/>
      <w:rPr>
        <w:noProof/>
        <w:sz w:val="20"/>
        <w:lang w:val="sk-SK"/>
      </w:rPr>
    </w:pPr>
    <w:r>
      <w:rPr>
        <w:noProof/>
        <w:lang w:val="sk-SK"/>
      </w:rPr>
      <w:t xml:space="preserve">                                                                                                                                          </w:t>
    </w:r>
  </w:p>
  <w:p>
    <w:pPr>
      <w:pStyle w:val="Hlavika"/>
      <w:jc w:val="right"/>
      <w:rPr>
        <w:noProof/>
        <w:sz w:val="20"/>
        <w:lang w:val="sk-SK"/>
      </w:rPr>
    </w:pPr>
    <w:r>
      <w:rPr>
        <w:i/>
        <w:sz w:val="20"/>
      </w:rPr>
      <w:t>Príloha</w:t>
    </w:r>
    <w:r>
      <w:rPr>
        <w:i/>
        <w:sz w:val="20"/>
        <w:lang w:val="sk-SK"/>
      </w:rPr>
      <w:t xml:space="preserve"> č.4</w:t>
    </w:r>
  </w:p>
  <w:p>
    <w:pPr>
      <w:pStyle w:val="Hlavika"/>
      <w:jc w:val="left"/>
      <w:rPr>
        <w:noProof/>
        <w:lang w:val="sk-SK"/>
      </w:rPr>
    </w:pPr>
    <w:r>
      <w:rPr>
        <w:noProof/>
        <w:lang w:val="sk-SK"/>
      </w:rPr>
      <w:t xml:space="preserve">                            </w:t>
    </w:r>
    <w:r>
      <w:rPr>
        <w:noProof/>
        <w:lang w:val="sk-SK" w:eastAsia="sk-SK"/>
      </w:rPr>
      <w:drawing>
        <wp:inline distT="0" distB="0" distL="0" distR="0">
          <wp:extent cx="5334000" cy="590550"/>
          <wp:effectExtent l="0" t="0" r="0" b="0"/>
          <wp:docPr id="6" name="Obrázok 6" descr="cid:image005.png@01DA9AE6.8E3B0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9AE6.8E3B0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/>
      </w:rPr>
      <w:t xml:space="preserve">                                   </w:t>
    </w:r>
    <w:r>
      <w:rPr>
        <w:b/>
        <w:color w:val="FF000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,E,S"/>
    <w:link w:val="Char2"/>
    <w:uiPriority w:val="99"/>
    <w:qFormat/>
    <w:rPr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pPr>
      <w:ind w:left="720"/>
      <w:contextualSpacing/>
    </w:pPr>
  </w:style>
  <w:style w:type="table" w:styleId="Mriekatabuky">
    <w:name w:val="Table Grid"/>
    <w:basedOn w:val="Normlnatabuka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Pr>
      <w:sz w:val="20"/>
      <w:lang w:val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link w:val="Textpoznmkypodi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character" w:styleId="Siln">
    <w:name w:val="Strong"/>
    <w:basedOn w:val="Predvolenpsmoodseku"/>
    <w:uiPriority w:val="22"/>
    <w:qFormat/>
    <w:rPr>
      <w:b/>
      <w:bCs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Pr>
      <w:rFonts w:ascii="Times New Roman" w:eastAsia="Times New Roman" w:hAnsi="Times New Roman"/>
      <w:sz w:val="24"/>
      <w:lang w:val="cs-CZ" w:eastAsia="cs-CZ"/>
    </w:rPr>
  </w:style>
  <w:style w:type="paragraph" w:customStyle="1" w:styleId="Char2">
    <w:name w:val="Char2"/>
    <w:basedOn w:val="Normlny"/>
    <w:link w:val="Odkaznapoznmkupodiarou"/>
    <w:uiPriority w:val="99"/>
    <w:pPr>
      <w:spacing w:after="160" w:line="240" w:lineRule="exact"/>
      <w:jc w:val="left"/>
    </w:pPr>
    <w:rPr>
      <w:rFonts w:ascii="Calibri" w:eastAsia="Calibri" w:hAnsi="Calibri"/>
      <w:sz w:val="20"/>
      <w:vertAlign w:val="superscript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9AE6.8E3B0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9D99B-33AF-4109-A5F7-5AAB2D27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10412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Vajdová Kamila</cp:lastModifiedBy>
  <cp:revision>49</cp:revision>
  <cp:lastPrinted>2017-06-21T10:13:00Z</cp:lastPrinted>
  <dcterms:created xsi:type="dcterms:W3CDTF">2022-08-15T08:03:00Z</dcterms:created>
  <dcterms:modified xsi:type="dcterms:W3CDTF">2024-08-05T13:02:00Z</dcterms:modified>
</cp:coreProperties>
</file>