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A9" w:rsidRPr="00C04ECD" w:rsidRDefault="00A171A9" w:rsidP="00382425">
      <w:pPr>
        <w:jc w:val="center"/>
        <w:rPr>
          <w:rFonts w:asciiTheme="minorHAnsi" w:hAnsiTheme="minorHAnsi" w:cstheme="minorHAnsi"/>
          <w:b/>
          <w:caps/>
        </w:rPr>
      </w:pPr>
      <w:r w:rsidRPr="00C04ECD">
        <w:rPr>
          <w:rFonts w:asciiTheme="minorHAnsi" w:hAnsiTheme="minorHAnsi" w:cstheme="minorHAnsi"/>
          <w:b/>
          <w:caps/>
        </w:rPr>
        <w:t xml:space="preserve">Vyhlásenie žiadateľa </w:t>
      </w:r>
      <w:r w:rsidR="00247E05" w:rsidRPr="00C04ECD">
        <w:rPr>
          <w:rFonts w:asciiTheme="minorHAnsi" w:hAnsiTheme="minorHAnsi" w:cstheme="minorHAnsi"/>
          <w:b/>
          <w:caps/>
        </w:rPr>
        <w:t xml:space="preserve">k </w:t>
      </w:r>
      <w:r w:rsidRPr="00C04ECD">
        <w:rPr>
          <w:rFonts w:asciiTheme="minorHAnsi" w:hAnsiTheme="minorHAnsi" w:cstheme="minorHAnsi"/>
          <w:b/>
          <w:caps/>
        </w:rPr>
        <w:t>poskytnut</w:t>
      </w:r>
      <w:r w:rsidR="00247E05" w:rsidRPr="00C04ECD">
        <w:rPr>
          <w:rFonts w:asciiTheme="minorHAnsi" w:hAnsiTheme="minorHAnsi" w:cstheme="minorHAnsi"/>
          <w:b/>
          <w:caps/>
        </w:rPr>
        <w:t>iu</w:t>
      </w:r>
      <w:r w:rsidRPr="00C04ECD">
        <w:rPr>
          <w:rFonts w:asciiTheme="minorHAnsi" w:hAnsiTheme="minorHAnsi" w:cstheme="minorHAnsi"/>
          <w:b/>
          <w:caps/>
        </w:rPr>
        <w:t xml:space="preserve"> </w:t>
      </w:r>
      <w:r w:rsidR="00CB4616" w:rsidRPr="00C04ECD">
        <w:rPr>
          <w:rFonts w:asciiTheme="minorHAnsi" w:hAnsiTheme="minorHAnsi" w:cstheme="minorHAnsi"/>
          <w:b/>
          <w:caps/>
        </w:rPr>
        <w:t>štátnej pomoci</w:t>
      </w:r>
      <w:r w:rsidRPr="00C04ECD">
        <w:rPr>
          <w:rFonts w:asciiTheme="minorHAnsi" w:hAnsiTheme="minorHAnsi" w:cstheme="minorHAnsi"/>
          <w:b/>
          <w:caps/>
        </w:rPr>
        <w:t xml:space="preserve"> </w:t>
      </w:r>
    </w:p>
    <w:p w:rsidR="00EB57C6" w:rsidRDefault="00A171A9" w:rsidP="00382425">
      <w:pPr>
        <w:spacing w:before="120"/>
        <w:jc w:val="center"/>
        <w:rPr>
          <w:rFonts w:asciiTheme="minorHAnsi" w:hAnsiTheme="minorHAnsi" w:cstheme="minorHAnsi"/>
          <w:sz w:val="22"/>
          <w:szCs w:val="22"/>
        </w:rPr>
      </w:pPr>
      <w:r w:rsidRPr="00EB57C6">
        <w:rPr>
          <w:rFonts w:asciiTheme="minorHAnsi" w:hAnsiTheme="minorHAnsi" w:cstheme="minorHAnsi"/>
          <w:sz w:val="22"/>
          <w:szCs w:val="22"/>
        </w:rPr>
        <w:t xml:space="preserve">podľa nariadenia Komisie (EÚ) č. </w:t>
      </w:r>
      <w:r w:rsidR="00CB4616" w:rsidRPr="00EB57C6">
        <w:rPr>
          <w:rFonts w:asciiTheme="minorHAnsi" w:hAnsiTheme="minorHAnsi" w:cstheme="minorHAnsi"/>
          <w:sz w:val="22"/>
          <w:szCs w:val="22"/>
        </w:rPr>
        <w:t>651/2014</w:t>
      </w:r>
      <w:r w:rsidRPr="00EB57C6">
        <w:rPr>
          <w:rFonts w:asciiTheme="minorHAnsi" w:hAnsiTheme="minorHAnsi" w:cstheme="minorHAnsi"/>
          <w:sz w:val="22"/>
          <w:szCs w:val="22"/>
        </w:rPr>
        <w:t xml:space="preserve"> o </w:t>
      </w:r>
      <w:r w:rsidR="00CB4616" w:rsidRPr="00EB57C6">
        <w:rPr>
          <w:rFonts w:asciiTheme="minorHAnsi" w:hAnsiTheme="minorHAnsi" w:cstheme="minorHAnsi"/>
          <w:sz w:val="22"/>
          <w:szCs w:val="22"/>
        </w:rPr>
        <w:t xml:space="preserve">vyhlásení určitých kategórií pomoci za zlučiteľné </w:t>
      </w:r>
      <w:r w:rsidR="007A7AFD">
        <w:rPr>
          <w:rFonts w:asciiTheme="minorHAnsi" w:hAnsiTheme="minorHAnsi" w:cstheme="minorHAnsi"/>
          <w:sz w:val="22"/>
          <w:szCs w:val="22"/>
        </w:rPr>
        <w:t xml:space="preserve">                      </w:t>
      </w:r>
      <w:r w:rsidR="00CB4616" w:rsidRPr="00EB57C6">
        <w:rPr>
          <w:rFonts w:asciiTheme="minorHAnsi" w:hAnsiTheme="minorHAnsi" w:cstheme="minorHAnsi"/>
          <w:sz w:val="22"/>
          <w:szCs w:val="22"/>
        </w:rPr>
        <w:t>s vnútorným trhom podľa článkov 107 a 108 zmluvy</w:t>
      </w:r>
      <w:r w:rsidR="00524AD5">
        <w:rPr>
          <w:rFonts w:asciiTheme="minorHAnsi" w:hAnsiTheme="minorHAnsi" w:cstheme="minorHAnsi"/>
          <w:sz w:val="22"/>
          <w:szCs w:val="22"/>
        </w:rPr>
        <w:t xml:space="preserve"> </w:t>
      </w:r>
      <w:hyperlink r:id="rId8" w:history="1">
        <w:r w:rsidR="00524AD5" w:rsidRPr="00524AD5">
          <w:rPr>
            <w:rStyle w:val="Hypertextovprepojenie"/>
            <w:rFonts w:asciiTheme="minorHAnsi" w:hAnsiTheme="minorHAnsi" w:cstheme="minorHAnsi"/>
            <w:sz w:val="22"/>
            <w:szCs w:val="22"/>
          </w:rPr>
          <w:t>tu</w:t>
        </w:r>
      </w:hyperlink>
      <w:r w:rsidR="00EB57C6">
        <w:rPr>
          <w:rFonts w:asciiTheme="minorHAnsi" w:hAnsiTheme="minorHAnsi" w:cstheme="minorHAnsi"/>
          <w:sz w:val="22"/>
          <w:szCs w:val="22"/>
        </w:rPr>
        <w:t xml:space="preserve"> </w:t>
      </w:r>
    </w:p>
    <w:p w:rsidR="00A171A9" w:rsidRPr="00EB57C6" w:rsidRDefault="00EB57C6" w:rsidP="00382425">
      <w:pPr>
        <w:jc w:val="center"/>
        <w:rPr>
          <w:rFonts w:asciiTheme="minorHAnsi" w:hAnsiTheme="minorHAnsi" w:cstheme="minorHAnsi"/>
          <w:sz w:val="22"/>
          <w:szCs w:val="22"/>
        </w:rPr>
      </w:pPr>
      <w:r>
        <w:rPr>
          <w:rFonts w:asciiTheme="minorHAnsi" w:hAnsiTheme="minorHAnsi" w:cstheme="minorHAnsi"/>
          <w:sz w:val="22"/>
          <w:szCs w:val="22"/>
        </w:rPr>
        <w:t>a</w:t>
      </w:r>
    </w:p>
    <w:p w:rsidR="00EB57C6" w:rsidRDefault="00EB57C6" w:rsidP="00382425">
      <w:pPr>
        <w:adjustRightInd w:val="0"/>
        <w:jc w:val="center"/>
        <w:rPr>
          <w:rFonts w:asciiTheme="minorHAnsi" w:hAnsiTheme="minorHAnsi" w:cstheme="minorHAnsi"/>
          <w:bCs/>
          <w:sz w:val="22"/>
          <w:szCs w:val="22"/>
        </w:rPr>
      </w:pPr>
      <w:r>
        <w:rPr>
          <w:rFonts w:asciiTheme="minorHAnsi" w:hAnsiTheme="minorHAnsi" w:cstheme="minorHAnsi"/>
          <w:bCs/>
          <w:sz w:val="22"/>
          <w:szCs w:val="22"/>
        </w:rPr>
        <w:t>Oznámenia</w:t>
      </w:r>
      <w:r w:rsidRPr="00EB57C6">
        <w:rPr>
          <w:rFonts w:asciiTheme="minorHAnsi" w:hAnsiTheme="minorHAnsi" w:cstheme="minorHAnsi"/>
          <w:bCs/>
          <w:sz w:val="22"/>
          <w:szCs w:val="22"/>
        </w:rPr>
        <w:t xml:space="preserve"> Komisie - Usmernenia o štátnej pomoci na záchranu a reštrukturalizáciu nefinančných podnikov v ťažkostiach (2014/C 249/01</w:t>
      </w:r>
      <w:r w:rsidR="000112FF">
        <w:rPr>
          <w:rFonts w:asciiTheme="minorHAnsi" w:hAnsiTheme="minorHAnsi" w:cstheme="minorHAnsi"/>
          <w:bCs/>
          <w:sz w:val="22"/>
          <w:szCs w:val="22"/>
        </w:rPr>
        <w:t>)</w:t>
      </w:r>
      <w:r w:rsidR="00524AD5">
        <w:rPr>
          <w:rFonts w:asciiTheme="minorHAnsi" w:hAnsiTheme="minorHAnsi" w:cstheme="minorHAnsi"/>
          <w:bCs/>
          <w:sz w:val="22"/>
          <w:szCs w:val="22"/>
        </w:rPr>
        <w:t xml:space="preserve"> </w:t>
      </w:r>
      <w:hyperlink r:id="rId9" w:history="1">
        <w:r w:rsidR="00524AD5" w:rsidRPr="00524AD5">
          <w:rPr>
            <w:rStyle w:val="Hypertextovprepojenie"/>
            <w:rFonts w:asciiTheme="minorHAnsi" w:hAnsiTheme="minorHAnsi" w:cstheme="minorHAnsi"/>
            <w:bCs/>
            <w:sz w:val="22"/>
            <w:szCs w:val="22"/>
          </w:rPr>
          <w:t>tu</w:t>
        </w:r>
      </w:hyperlink>
    </w:p>
    <w:p w:rsidR="00A171A9" w:rsidRPr="00EB57C6" w:rsidRDefault="00CB4616" w:rsidP="00382425">
      <w:pPr>
        <w:adjustRightInd w:val="0"/>
        <w:jc w:val="center"/>
        <w:rPr>
          <w:rFonts w:asciiTheme="minorHAnsi" w:hAnsiTheme="minorHAnsi" w:cstheme="minorHAnsi"/>
          <w:bCs/>
          <w:sz w:val="22"/>
          <w:szCs w:val="22"/>
        </w:rPr>
      </w:pPr>
      <w:r w:rsidRPr="00EB57C6">
        <w:rPr>
          <w:rFonts w:asciiTheme="minorHAnsi" w:hAnsiTheme="minorHAnsi" w:cstheme="minorHAnsi"/>
          <w:bCs/>
          <w:sz w:val="22"/>
          <w:szCs w:val="22"/>
        </w:rPr>
        <w:t>a</w:t>
      </w:r>
    </w:p>
    <w:p w:rsidR="00CB4616" w:rsidRDefault="001C6941" w:rsidP="00382425">
      <w:pPr>
        <w:adjustRightInd w:val="0"/>
        <w:jc w:val="center"/>
        <w:rPr>
          <w:rFonts w:asciiTheme="minorHAnsi" w:hAnsiTheme="minorHAnsi" w:cstheme="minorHAnsi"/>
          <w:bCs/>
          <w:sz w:val="22"/>
          <w:szCs w:val="22"/>
        </w:rPr>
      </w:pPr>
      <w:r w:rsidRPr="00EB57C6">
        <w:rPr>
          <w:rFonts w:asciiTheme="minorHAnsi" w:hAnsiTheme="minorHAnsi" w:cstheme="minorHAnsi"/>
          <w:bCs/>
          <w:sz w:val="22"/>
          <w:szCs w:val="22"/>
        </w:rPr>
        <w:t>S</w:t>
      </w:r>
      <w:r w:rsidR="00CB4616" w:rsidRPr="00EB57C6">
        <w:rPr>
          <w:rFonts w:asciiTheme="minorHAnsi" w:hAnsiTheme="minorHAnsi" w:cstheme="minorHAnsi"/>
          <w:bCs/>
          <w:sz w:val="22"/>
          <w:szCs w:val="22"/>
        </w:rPr>
        <w:t>chémy pomoci na podporu vzdelávania a pomoci na prijímanie do zamestnania a zamestnávanie znevýhodnených zamestnancov a zamestnancov so zdravotným postihnutím</w:t>
      </w:r>
      <w:r w:rsidR="003D0C71" w:rsidRPr="00EB57C6">
        <w:rPr>
          <w:rFonts w:asciiTheme="minorHAnsi" w:hAnsiTheme="minorHAnsi" w:cstheme="minorHAnsi"/>
          <w:bCs/>
          <w:sz w:val="22"/>
          <w:szCs w:val="22"/>
        </w:rPr>
        <w:t xml:space="preserve"> v </w:t>
      </w:r>
      <w:r w:rsidR="00D4686D">
        <w:rPr>
          <w:rFonts w:asciiTheme="minorHAnsi" w:hAnsiTheme="minorHAnsi" w:cstheme="minorHAnsi"/>
          <w:bCs/>
          <w:sz w:val="22"/>
          <w:szCs w:val="22"/>
        </w:rPr>
        <w:t>aktuálnom</w:t>
      </w:r>
      <w:r w:rsidR="003D0C71" w:rsidRPr="00EB57C6">
        <w:rPr>
          <w:rFonts w:asciiTheme="minorHAnsi" w:hAnsiTheme="minorHAnsi" w:cstheme="minorHAnsi"/>
          <w:bCs/>
          <w:sz w:val="22"/>
          <w:szCs w:val="22"/>
        </w:rPr>
        <w:t xml:space="preserve"> znení</w:t>
      </w:r>
      <w:r w:rsidR="00524AD5">
        <w:rPr>
          <w:rFonts w:asciiTheme="minorHAnsi" w:hAnsiTheme="minorHAnsi" w:cstheme="minorHAnsi"/>
          <w:bCs/>
          <w:sz w:val="22"/>
          <w:szCs w:val="22"/>
        </w:rPr>
        <w:t xml:space="preserve"> </w:t>
      </w:r>
      <w:hyperlink r:id="rId10" w:history="1">
        <w:r w:rsidR="00F10159" w:rsidRPr="00F10159">
          <w:rPr>
            <w:rStyle w:val="Hypertextovprepojenie"/>
            <w:rFonts w:asciiTheme="minorHAnsi" w:hAnsiTheme="minorHAnsi" w:cstheme="minorHAnsi"/>
            <w:bCs/>
            <w:sz w:val="22"/>
            <w:szCs w:val="22"/>
          </w:rPr>
          <w:t>tu</w:t>
        </w:r>
      </w:hyperlink>
    </w:p>
    <w:p w:rsidR="00382425" w:rsidRPr="00EB57C6" w:rsidRDefault="00382425" w:rsidP="00382425">
      <w:pPr>
        <w:adjustRightInd w:val="0"/>
        <w:jc w:val="center"/>
        <w:rPr>
          <w:rFonts w:asciiTheme="minorHAnsi" w:hAnsiTheme="minorHAnsi" w:cstheme="minorHAnsi"/>
          <w:bCs/>
          <w:sz w:val="22"/>
          <w:szCs w:val="22"/>
        </w:rPr>
      </w:pPr>
      <w:r>
        <w:rPr>
          <w:rFonts w:asciiTheme="minorHAnsi" w:hAnsiTheme="minorHAnsi" w:cstheme="minorHAnsi"/>
          <w:bCs/>
          <w:sz w:val="22"/>
          <w:szCs w:val="22"/>
        </w:rPr>
        <w:t>a</w:t>
      </w:r>
    </w:p>
    <w:p w:rsidR="00A171A9" w:rsidRPr="00382425" w:rsidRDefault="0012298F" w:rsidP="00EF6541">
      <w:pPr>
        <w:adjustRightInd w:val="0"/>
        <w:jc w:val="center"/>
        <w:rPr>
          <w:rFonts w:asciiTheme="minorHAnsi" w:hAnsiTheme="minorHAnsi" w:cstheme="minorHAnsi"/>
          <w:bCs/>
          <w:sz w:val="22"/>
          <w:szCs w:val="22"/>
        </w:rPr>
      </w:pPr>
      <w:r>
        <w:rPr>
          <w:rFonts w:asciiTheme="minorHAnsi" w:hAnsiTheme="minorHAnsi" w:cstheme="minorHAnsi"/>
          <w:bCs/>
          <w:sz w:val="22"/>
          <w:szCs w:val="22"/>
        </w:rPr>
        <w:t>M</w:t>
      </w:r>
      <w:r w:rsidR="00EF6541">
        <w:rPr>
          <w:rFonts w:asciiTheme="minorHAnsi" w:hAnsiTheme="minorHAnsi" w:cstheme="minorHAnsi"/>
          <w:bCs/>
          <w:sz w:val="22"/>
          <w:szCs w:val="22"/>
        </w:rPr>
        <w:t>etodického</w:t>
      </w:r>
      <w:r w:rsidR="00382425" w:rsidRPr="00382425">
        <w:rPr>
          <w:rFonts w:asciiTheme="minorHAnsi" w:hAnsiTheme="minorHAnsi" w:cstheme="minorHAnsi"/>
          <w:bCs/>
          <w:sz w:val="22"/>
          <w:szCs w:val="22"/>
        </w:rPr>
        <w:t xml:space="preserve"> dokument</w:t>
      </w:r>
      <w:r w:rsidR="00EF6541">
        <w:rPr>
          <w:rFonts w:asciiTheme="minorHAnsi" w:hAnsiTheme="minorHAnsi" w:cstheme="minorHAnsi"/>
          <w:bCs/>
          <w:sz w:val="22"/>
          <w:szCs w:val="22"/>
        </w:rPr>
        <w:t>u</w:t>
      </w:r>
      <w:r w:rsidR="00382425" w:rsidRPr="00382425">
        <w:rPr>
          <w:rFonts w:asciiTheme="minorHAnsi" w:hAnsiTheme="minorHAnsi" w:cstheme="minorHAnsi"/>
          <w:bCs/>
          <w:sz w:val="22"/>
          <w:szCs w:val="22"/>
        </w:rPr>
        <w:t xml:space="preserve"> riadiaceho orgánu pre Program Slovensko 2021 – 2027 č. 12</w:t>
      </w:r>
      <w:r>
        <w:t xml:space="preserve"> </w:t>
      </w:r>
      <w:hyperlink r:id="rId11" w:history="1">
        <w:r w:rsidRPr="00F46804">
          <w:rPr>
            <w:rStyle w:val="Hypertextovprepojenie"/>
          </w:rPr>
          <w:t>tu.</w:t>
        </w:r>
      </w:hyperlink>
    </w:p>
    <w:p w:rsidR="006E6E67" w:rsidRPr="00EB57C6" w:rsidRDefault="006E6E67" w:rsidP="00382425">
      <w:pPr>
        <w:adjustRightInd w:val="0"/>
        <w:rPr>
          <w:rFonts w:asciiTheme="minorHAnsi" w:hAnsiTheme="minorHAnsi" w:cstheme="minorHAnsi"/>
          <w:b/>
          <w:bCs/>
          <w:sz w:val="22"/>
          <w:szCs w:val="22"/>
        </w:rPr>
      </w:pPr>
    </w:p>
    <w:p w:rsidR="00A171A9" w:rsidRPr="00EB57C6" w:rsidRDefault="005F52CF" w:rsidP="00382425">
      <w:pPr>
        <w:adjustRightInd w:val="0"/>
        <w:spacing w:after="120"/>
        <w:rPr>
          <w:rFonts w:asciiTheme="minorHAnsi" w:hAnsiTheme="minorHAnsi" w:cstheme="minorHAnsi"/>
          <w:b/>
          <w:bCs/>
          <w:sz w:val="22"/>
          <w:szCs w:val="22"/>
        </w:rPr>
      </w:pPr>
      <w:r w:rsidRPr="00EB57C6">
        <w:rPr>
          <w:rFonts w:asciiTheme="minorHAnsi" w:hAnsiTheme="minorHAnsi" w:cstheme="minorHAnsi"/>
          <w:b/>
          <w:bCs/>
          <w:sz w:val="22"/>
          <w:szCs w:val="22"/>
        </w:rPr>
        <w:t>Žiadateľ</w:t>
      </w:r>
      <w:r w:rsidR="001C6941" w:rsidRPr="00EB57C6">
        <w:rPr>
          <w:rFonts w:asciiTheme="minorHAnsi" w:hAnsiTheme="minorHAnsi" w:cstheme="minorHAnsi"/>
          <w:b/>
          <w:bCs/>
          <w:sz w:val="22"/>
          <w:szCs w:val="22"/>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6276"/>
      </w:tblGrid>
      <w:tr w:rsidR="00A171A9" w:rsidRPr="00EB57C6" w:rsidTr="00EF6541">
        <w:trPr>
          <w:trHeight w:val="327"/>
        </w:trPr>
        <w:tc>
          <w:tcPr>
            <w:tcW w:w="1696" w:type="pct"/>
            <w:tcMar>
              <w:top w:w="28" w:type="dxa"/>
              <w:left w:w="28" w:type="dxa"/>
              <w:bottom w:w="28" w:type="dxa"/>
              <w:right w:w="28" w:type="dxa"/>
            </w:tcMar>
            <w:vAlign w:val="center"/>
          </w:tcPr>
          <w:p w:rsidR="00A171A9" w:rsidRPr="00EB57C6" w:rsidRDefault="001C6941" w:rsidP="00382425">
            <w:pPr>
              <w:adjustRightInd w:val="0"/>
              <w:rPr>
                <w:rFonts w:asciiTheme="minorHAnsi" w:hAnsiTheme="minorHAnsi" w:cstheme="minorHAnsi"/>
                <w:b/>
                <w:sz w:val="22"/>
                <w:szCs w:val="22"/>
              </w:rPr>
            </w:pPr>
            <w:r w:rsidRPr="00EB57C6">
              <w:rPr>
                <w:rFonts w:asciiTheme="minorHAnsi" w:hAnsiTheme="minorHAnsi" w:cstheme="minorHAnsi"/>
                <w:b/>
                <w:bCs/>
                <w:sz w:val="22"/>
                <w:szCs w:val="22"/>
              </w:rPr>
              <w:t>Názov/obchodné meno</w:t>
            </w:r>
            <w:r w:rsidR="00A171A9" w:rsidRPr="00EB57C6">
              <w:rPr>
                <w:rFonts w:asciiTheme="minorHAnsi" w:hAnsiTheme="minorHAnsi" w:cstheme="minorHAnsi"/>
                <w:b/>
                <w:bCs/>
                <w:sz w:val="22"/>
                <w:szCs w:val="22"/>
              </w:rPr>
              <w:t>/meno a</w:t>
            </w:r>
            <w:r w:rsidR="0061689D" w:rsidRPr="00EB57C6">
              <w:rPr>
                <w:rFonts w:asciiTheme="minorHAnsi" w:hAnsiTheme="minorHAnsi" w:cstheme="minorHAnsi"/>
                <w:b/>
                <w:bCs/>
                <w:sz w:val="22"/>
                <w:szCs w:val="22"/>
              </w:rPr>
              <w:t> </w:t>
            </w:r>
            <w:r w:rsidR="00A171A9" w:rsidRPr="00EB57C6">
              <w:rPr>
                <w:rFonts w:asciiTheme="minorHAnsi" w:hAnsiTheme="minorHAnsi" w:cstheme="minorHAnsi"/>
                <w:b/>
                <w:bCs/>
                <w:sz w:val="22"/>
                <w:szCs w:val="22"/>
              </w:rPr>
              <w:t>priezvisko</w:t>
            </w:r>
            <w:r w:rsidR="0061689D" w:rsidRPr="00EB57C6">
              <w:rPr>
                <w:rFonts w:asciiTheme="minorHAnsi" w:hAnsiTheme="minorHAnsi" w:cstheme="minorHAnsi"/>
                <w:b/>
                <w:bCs/>
                <w:sz w:val="22"/>
                <w:szCs w:val="22"/>
              </w:rPr>
              <w:t>:</w:t>
            </w:r>
          </w:p>
        </w:tc>
        <w:tc>
          <w:tcPr>
            <w:tcW w:w="3304" w:type="pct"/>
            <w:tcMar>
              <w:top w:w="28" w:type="dxa"/>
              <w:left w:w="28" w:type="dxa"/>
              <w:bottom w:w="28" w:type="dxa"/>
              <w:right w:w="28" w:type="dxa"/>
            </w:tcMar>
            <w:vAlign w:val="center"/>
          </w:tcPr>
          <w:p w:rsidR="00A171A9" w:rsidRPr="00EB57C6" w:rsidRDefault="00A171A9" w:rsidP="00382425">
            <w:pPr>
              <w:adjustRightInd w:val="0"/>
              <w:rPr>
                <w:rFonts w:asciiTheme="minorHAnsi" w:hAnsiTheme="minorHAnsi" w:cstheme="minorHAnsi"/>
                <w:b/>
                <w:sz w:val="22"/>
                <w:szCs w:val="22"/>
              </w:rPr>
            </w:pPr>
          </w:p>
        </w:tc>
      </w:tr>
      <w:tr w:rsidR="00A171A9" w:rsidRPr="00EB57C6" w:rsidTr="00EF6541">
        <w:trPr>
          <w:trHeight w:val="291"/>
        </w:trPr>
        <w:tc>
          <w:tcPr>
            <w:tcW w:w="1696" w:type="pct"/>
            <w:tcMar>
              <w:top w:w="28" w:type="dxa"/>
              <w:left w:w="28" w:type="dxa"/>
              <w:bottom w:w="28" w:type="dxa"/>
              <w:right w:w="28" w:type="dxa"/>
            </w:tcMar>
            <w:vAlign w:val="center"/>
          </w:tcPr>
          <w:p w:rsidR="00A171A9" w:rsidRPr="00EB57C6" w:rsidRDefault="0061689D" w:rsidP="00382425">
            <w:pPr>
              <w:adjustRightInd w:val="0"/>
              <w:rPr>
                <w:rFonts w:asciiTheme="minorHAnsi" w:hAnsiTheme="minorHAnsi" w:cstheme="minorHAnsi"/>
                <w:b/>
                <w:sz w:val="22"/>
                <w:szCs w:val="22"/>
              </w:rPr>
            </w:pPr>
            <w:r w:rsidRPr="00EB57C6">
              <w:rPr>
                <w:rFonts w:asciiTheme="minorHAnsi" w:hAnsiTheme="minorHAnsi" w:cstheme="minorHAnsi"/>
                <w:b/>
                <w:sz w:val="22"/>
                <w:szCs w:val="22"/>
              </w:rPr>
              <w:t xml:space="preserve">Sídlo/bydlisko </w:t>
            </w:r>
            <w:r w:rsidRPr="00EB57C6">
              <w:rPr>
                <w:rFonts w:asciiTheme="minorHAnsi" w:hAnsiTheme="minorHAnsi" w:cstheme="minorHAnsi"/>
                <w:sz w:val="22"/>
                <w:szCs w:val="22"/>
              </w:rPr>
              <w:t>(a</w:t>
            </w:r>
            <w:r w:rsidR="00A171A9" w:rsidRPr="00EB57C6">
              <w:rPr>
                <w:rFonts w:asciiTheme="minorHAnsi" w:hAnsiTheme="minorHAnsi" w:cstheme="minorHAnsi"/>
                <w:sz w:val="22"/>
                <w:szCs w:val="22"/>
              </w:rPr>
              <w:t>dresa</w:t>
            </w:r>
            <w:r w:rsidRPr="00EB57C6">
              <w:rPr>
                <w:rFonts w:asciiTheme="minorHAnsi" w:hAnsiTheme="minorHAnsi" w:cstheme="minorHAnsi"/>
                <w:sz w:val="22"/>
                <w:szCs w:val="22"/>
              </w:rPr>
              <w:t>):</w:t>
            </w:r>
          </w:p>
        </w:tc>
        <w:tc>
          <w:tcPr>
            <w:tcW w:w="3304" w:type="pct"/>
            <w:tcMar>
              <w:top w:w="28" w:type="dxa"/>
              <w:left w:w="28" w:type="dxa"/>
              <w:bottom w:w="28" w:type="dxa"/>
              <w:right w:w="28" w:type="dxa"/>
            </w:tcMar>
            <w:vAlign w:val="center"/>
          </w:tcPr>
          <w:p w:rsidR="00A171A9" w:rsidRPr="00EB57C6" w:rsidRDefault="00A171A9" w:rsidP="00382425">
            <w:pPr>
              <w:adjustRightInd w:val="0"/>
              <w:rPr>
                <w:rFonts w:asciiTheme="minorHAnsi" w:hAnsiTheme="minorHAnsi" w:cstheme="minorHAnsi"/>
                <w:b/>
                <w:sz w:val="22"/>
                <w:szCs w:val="22"/>
              </w:rPr>
            </w:pPr>
          </w:p>
        </w:tc>
      </w:tr>
      <w:tr w:rsidR="00A171A9" w:rsidRPr="00EB57C6" w:rsidTr="00EF6541">
        <w:trPr>
          <w:trHeight w:val="259"/>
        </w:trPr>
        <w:tc>
          <w:tcPr>
            <w:tcW w:w="1696" w:type="pct"/>
            <w:tcMar>
              <w:top w:w="28" w:type="dxa"/>
              <w:left w:w="28" w:type="dxa"/>
              <w:bottom w:w="28" w:type="dxa"/>
              <w:right w:w="28" w:type="dxa"/>
            </w:tcMar>
            <w:vAlign w:val="center"/>
          </w:tcPr>
          <w:p w:rsidR="00A171A9" w:rsidRPr="00EB57C6" w:rsidRDefault="00A171A9" w:rsidP="00382425">
            <w:pPr>
              <w:adjustRightInd w:val="0"/>
              <w:rPr>
                <w:rFonts w:asciiTheme="minorHAnsi" w:hAnsiTheme="minorHAnsi" w:cstheme="minorHAnsi"/>
                <w:b/>
                <w:sz w:val="22"/>
                <w:szCs w:val="22"/>
              </w:rPr>
            </w:pPr>
            <w:r w:rsidRPr="00EB57C6">
              <w:rPr>
                <w:rFonts w:asciiTheme="minorHAnsi" w:hAnsiTheme="minorHAnsi" w:cstheme="minorHAnsi"/>
                <w:b/>
                <w:bCs/>
                <w:sz w:val="22"/>
                <w:szCs w:val="22"/>
              </w:rPr>
              <w:t>IČO</w:t>
            </w:r>
            <w:r w:rsidR="0061689D" w:rsidRPr="00EB57C6">
              <w:rPr>
                <w:rFonts w:asciiTheme="minorHAnsi" w:hAnsiTheme="minorHAnsi" w:cstheme="minorHAnsi"/>
                <w:b/>
                <w:bCs/>
                <w:sz w:val="22"/>
                <w:szCs w:val="22"/>
              </w:rPr>
              <w:t>:</w:t>
            </w:r>
          </w:p>
        </w:tc>
        <w:tc>
          <w:tcPr>
            <w:tcW w:w="3304" w:type="pct"/>
            <w:tcMar>
              <w:top w:w="28" w:type="dxa"/>
              <w:left w:w="28" w:type="dxa"/>
              <w:bottom w:w="28" w:type="dxa"/>
              <w:right w:w="28" w:type="dxa"/>
            </w:tcMar>
            <w:vAlign w:val="center"/>
          </w:tcPr>
          <w:p w:rsidR="00A171A9" w:rsidRPr="00EB57C6" w:rsidRDefault="00A171A9" w:rsidP="00382425">
            <w:pPr>
              <w:adjustRightInd w:val="0"/>
              <w:rPr>
                <w:rFonts w:asciiTheme="minorHAnsi" w:hAnsiTheme="minorHAnsi" w:cstheme="minorHAnsi"/>
                <w:b/>
                <w:sz w:val="22"/>
                <w:szCs w:val="22"/>
              </w:rPr>
            </w:pPr>
          </w:p>
        </w:tc>
      </w:tr>
      <w:tr w:rsidR="001C6941" w:rsidRPr="00EB57C6" w:rsidTr="00EF6541">
        <w:trPr>
          <w:trHeight w:val="259"/>
        </w:trPr>
        <w:tc>
          <w:tcPr>
            <w:tcW w:w="1696" w:type="pct"/>
            <w:tcMar>
              <w:top w:w="28" w:type="dxa"/>
              <w:left w:w="28" w:type="dxa"/>
              <w:bottom w:w="28" w:type="dxa"/>
              <w:right w:w="28" w:type="dxa"/>
            </w:tcMar>
            <w:vAlign w:val="center"/>
          </w:tcPr>
          <w:p w:rsidR="001C6941" w:rsidRPr="00EB57C6" w:rsidRDefault="001C6941" w:rsidP="00382425">
            <w:pPr>
              <w:adjustRightInd w:val="0"/>
              <w:rPr>
                <w:rFonts w:asciiTheme="minorHAnsi" w:hAnsiTheme="minorHAnsi" w:cstheme="minorHAnsi"/>
                <w:b/>
                <w:bCs/>
                <w:sz w:val="22"/>
                <w:szCs w:val="22"/>
              </w:rPr>
            </w:pPr>
            <w:r w:rsidRPr="00EB57C6">
              <w:rPr>
                <w:rFonts w:asciiTheme="minorHAnsi" w:hAnsiTheme="minorHAnsi" w:cstheme="minorHAnsi"/>
                <w:b/>
                <w:sz w:val="22"/>
                <w:szCs w:val="22"/>
              </w:rPr>
              <w:t>Štatistická klasifikácia ekonomickej činnosti (SK NACE Rev. 2)</w:t>
            </w:r>
            <w:r w:rsidRPr="00EB57C6">
              <w:rPr>
                <w:rFonts w:asciiTheme="minorHAnsi" w:hAnsiTheme="minorHAnsi" w:cstheme="minorHAnsi"/>
                <w:sz w:val="22"/>
                <w:szCs w:val="22"/>
              </w:rPr>
              <w:t xml:space="preserve"> – kód aj s pomenovaním činnosti</w:t>
            </w:r>
          </w:p>
        </w:tc>
        <w:tc>
          <w:tcPr>
            <w:tcW w:w="3304" w:type="pct"/>
            <w:tcMar>
              <w:top w:w="28" w:type="dxa"/>
              <w:left w:w="28" w:type="dxa"/>
              <w:bottom w:w="28" w:type="dxa"/>
              <w:right w:w="28" w:type="dxa"/>
            </w:tcMar>
            <w:vAlign w:val="center"/>
          </w:tcPr>
          <w:p w:rsidR="001C6941" w:rsidRPr="00EB57C6" w:rsidRDefault="001C6941" w:rsidP="00382425">
            <w:pPr>
              <w:adjustRightInd w:val="0"/>
              <w:rPr>
                <w:rFonts w:asciiTheme="minorHAnsi" w:hAnsiTheme="minorHAnsi" w:cstheme="minorHAnsi"/>
                <w:b/>
                <w:sz w:val="22"/>
                <w:szCs w:val="22"/>
              </w:rPr>
            </w:pPr>
          </w:p>
        </w:tc>
      </w:tr>
      <w:tr w:rsidR="001C6941" w:rsidRPr="00EB57C6" w:rsidTr="00EF6541">
        <w:trPr>
          <w:trHeight w:val="259"/>
        </w:trPr>
        <w:tc>
          <w:tcPr>
            <w:tcW w:w="1696" w:type="pct"/>
            <w:tcMar>
              <w:top w:w="28" w:type="dxa"/>
              <w:left w:w="28" w:type="dxa"/>
              <w:bottom w:w="28" w:type="dxa"/>
              <w:right w:w="28" w:type="dxa"/>
            </w:tcMar>
            <w:vAlign w:val="center"/>
          </w:tcPr>
          <w:p w:rsidR="001C6941" w:rsidRPr="00EB57C6" w:rsidRDefault="0061689D" w:rsidP="00382425">
            <w:pPr>
              <w:adjustRightInd w:val="0"/>
              <w:rPr>
                <w:rFonts w:asciiTheme="minorHAnsi" w:hAnsiTheme="minorHAnsi" w:cstheme="minorHAnsi"/>
                <w:b/>
                <w:bCs/>
                <w:sz w:val="22"/>
                <w:szCs w:val="22"/>
              </w:rPr>
            </w:pPr>
            <w:r w:rsidRPr="00EB57C6">
              <w:rPr>
                <w:rFonts w:asciiTheme="minorHAnsi" w:hAnsiTheme="minorHAnsi" w:cstheme="minorHAnsi"/>
                <w:sz w:val="22"/>
                <w:szCs w:val="22"/>
              </w:rPr>
              <w:t>*</w:t>
            </w:r>
            <w:r w:rsidR="001C6941" w:rsidRPr="00EB57C6">
              <w:rPr>
                <w:rFonts w:asciiTheme="minorHAnsi" w:hAnsiTheme="minorHAnsi" w:cstheme="minorHAnsi"/>
                <w:b/>
                <w:sz w:val="22"/>
                <w:szCs w:val="22"/>
              </w:rPr>
              <w:t>Veľkosť podniku v čase podania žiadosti</w:t>
            </w:r>
            <w:r w:rsidRPr="00EB57C6">
              <w:rPr>
                <w:rFonts w:asciiTheme="minorHAnsi" w:hAnsiTheme="minorHAnsi" w:cstheme="minorHAnsi"/>
                <w:b/>
                <w:sz w:val="22"/>
                <w:szCs w:val="22"/>
              </w:rPr>
              <w:t xml:space="preserve"> </w:t>
            </w:r>
            <w:r w:rsidRPr="00EB57C6">
              <w:rPr>
                <w:rFonts w:asciiTheme="minorHAnsi" w:hAnsiTheme="minorHAnsi" w:cstheme="minorHAnsi"/>
                <w:sz w:val="22"/>
                <w:szCs w:val="22"/>
              </w:rPr>
              <w:t>(zaškrtnúť príslušné políčko):</w:t>
            </w:r>
          </w:p>
        </w:tc>
        <w:tc>
          <w:tcPr>
            <w:tcW w:w="3304" w:type="pct"/>
            <w:tcMar>
              <w:top w:w="28" w:type="dxa"/>
              <w:left w:w="28" w:type="dxa"/>
              <w:bottom w:w="28" w:type="dxa"/>
              <w:right w:w="28" w:type="dxa"/>
            </w:tcMar>
            <w:vAlign w:val="center"/>
          </w:tcPr>
          <w:p w:rsidR="001C6941" w:rsidRPr="00EB57C6" w:rsidRDefault="004413F2" w:rsidP="00382425">
            <w:pPr>
              <w:adjustRightInd w:val="0"/>
              <w:spacing w:before="120"/>
              <w:ind w:left="425" w:hanging="425"/>
              <w:jc w:val="both"/>
              <w:rPr>
                <w:rFonts w:asciiTheme="minorHAnsi" w:hAnsiTheme="minorHAnsi" w:cstheme="minorHAnsi"/>
                <w:b/>
                <w:bCs/>
                <w:sz w:val="22"/>
                <w:szCs w:val="22"/>
              </w:rPr>
            </w:pPr>
            <w:r w:rsidRPr="00EB57C6">
              <w:rPr>
                <w:rFonts w:asciiTheme="minorHAnsi" w:hAnsiTheme="minorHAnsi" w:cstheme="minorHAnsi"/>
                <w:b/>
                <w:bCs/>
                <w:sz w:val="22"/>
                <w:szCs w:val="22"/>
              </w:rPr>
              <w:t xml:space="preserve">   </w:t>
            </w:r>
            <w:sdt>
              <w:sdtPr>
                <w:rPr>
                  <w:rFonts w:asciiTheme="minorHAnsi" w:hAnsiTheme="minorHAnsi" w:cstheme="minorHAnsi"/>
                  <w:b/>
                  <w:bCs/>
                  <w:sz w:val="22"/>
                  <w:szCs w:val="22"/>
                </w:rPr>
                <w:id w:val="1526287426"/>
                <w14:checkbox>
                  <w14:checked w14:val="0"/>
                  <w14:checkedState w14:val="2612" w14:font="MS Gothic"/>
                  <w14:uncheckedState w14:val="2610" w14:font="MS Gothic"/>
                </w14:checkbox>
              </w:sdtPr>
              <w:sdtEndPr/>
              <w:sdtContent>
                <w:r w:rsidR="00C04ECD">
                  <w:rPr>
                    <w:rFonts w:ascii="MS Gothic" w:eastAsia="MS Gothic" w:hAnsi="MS Gothic" w:cstheme="minorHAnsi" w:hint="eastAsia"/>
                    <w:b/>
                    <w:bCs/>
                    <w:sz w:val="22"/>
                    <w:szCs w:val="22"/>
                  </w:rPr>
                  <w:t>☐</w:t>
                </w:r>
              </w:sdtContent>
            </w:sdt>
            <w:r w:rsidRPr="00EB57C6">
              <w:rPr>
                <w:rFonts w:asciiTheme="minorHAnsi" w:hAnsiTheme="minorHAnsi" w:cstheme="minorHAnsi"/>
                <w:b/>
                <w:bCs/>
                <w:sz w:val="22"/>
                <w:szCs w:val="22"/>
              </w:rPr>
              <w:t xml:space="preserve">  </w:t>
            </w:r>
            <w:r w:rsidR="001C6941" w:rsidRPr="00EB57C6">
              <w:rPr>
                <w:rFonts w:asciiTheme="minorHAnsi" w:hAnsiTheme="minorHAnsi" w:cstheme="minorHAnsi"/>
                <w:b/>
                <w:bCs/>
                <w:sz w:val="22"/>
                <w:szCs w:val="22"/>
              </w:rPr>
              <w:t xml:space="preserve">veľký podnik </w:t>
            </w:r>
          </w:p>
          <w:p w:rsidR="002E4988" w:rsidRPr="00EB57C6" w:rsidRDefault="004413F2" w:rsidP="00382425">
            <w:pPr>
              <w:adjustRightInd w:val="0"/>
              <w:spacing w:before="120"/>
              <w:rPr>
                <w:rFonts w:asciiTheme="minorHAnsi" w:hAnsiTheme="minorHAnsi" w:cstheme="minorHAnsi"/>
                <w:b/>
                <w:sz w:val="22"/>
                <w:szCs w:val="22"/>
              </w:rPr>
            </w:pPr>
            <w:r w:rsidRPr="00EB57C6">
              <w:rPr>
                <w:rFonts w:asciiTheme="minorHAnsi" w:hAnsiTheme="minorHAnsi" w:cstheme="minorHAnsi"/>
                <w:b/>
                <w:bCs/>
                <w:sz w:val="22"/>
                <w:szCs w:val="22"/>
              </w:rPr>
              <w:t xml:space="preserve">   </w:t>
            </w:r>
            <w:r w:rsidR="00D02F6E" w:rsidRPr="00EB57C6">
              <w:rPr>
                <w:rFonts w:asciiTheme="minorHAnsi" w:hAnsiTheme="minorHAnsi" w:cstheme="minorHAnsi"/>
                <w:b/>
                <w:bCs/>
                <w:sz w:val="22"/>
                <w:szCs w:val="22"/>
              </w:rPr>
              <w:t>MSP</w:t>
            </w:r>
          </w:p>
          <w:p w:rsidR="001C6941" w:rsidRPr="00EB57C6" w:rsidRDefault="00D02F6E" w:rsidP="00382425">
            <w:pPr>
              <w:adjustRightInd w:val="0"/>
              <w:spacing w:before="120"/>
              <w:rPr>
                <w:rFonts w:asciiTheme="minorHAnsi" w:hAnsiTheme="minorHAnsi" w:cstheme="minorHAnsi"/>
                <w:b/>
                <w:sz w:val="22"/>
                <w:szCs w:val="22"/>
              </w:rPr>
            </w:pPr>
            <w:r w:rsidRPr="00EB57C6">
              <w:rPr>
                <w:rFonts w:asciiTheme="minorHAnsi" w:hAnsiTheme="minorHAnsi" w:cstheme="minorHAnsi"/>
                <w:b/>
                <w:bCs/>
                <w:sz w:val="22"/>
                <w:szCs w:val="22"/>
              </w:rPr>
              <w:t xml:space="preserve">         </w:t>
            </w:r>
            <w:sdt>
              <w:sdtPr>
                <w:rPr>
                  <w:rFonts w:asciiTheme="minorHAnsi" w:hAnsiTheme="minorHAnsi" w:cstheme="minorHAnsi"/>
                  <w:b/>
                  <w:bCs/>
                  <w:sz w:val="22"/>
                  <w:szCs w:val="22"/>
                </w:rPr>
                <w:id w:val="451062284"/>
                <w14:checkbox>
                  <w14:checked w14:val="0"/>
                  <w14:checkedState w14:val="2612" w14:font="MS Gothic"/>
                  <w14:uncheckedState w14:val="2610" w14:font="MS Gothic"/>
                </w14:checkbox>
              </w:sdtPr>
              <w:sdtEndPr/>
              <w:sdtContent>
                <w:r w:rsidR="00C04ECD">
                  <w:rPr>
                    <w:rFonts w:ascii="MS Gothic" w:eastAsia="MS Gothic" w:hAnsi="MS Gothic" w:cstheme="minorHAnsi" w:hint="eastAsia"/>
                    <w:b/>
                    <w:bCs/>
                    <w:sz w:val="22"/>
                    <w:szCs w:val="22"/>
                  </w:rPr>
                  <w:t>☐</w:t>
                </w:r>
              </w:sdtContent>
            </w:sdt>
            <w:r w:rsidRPr="00EB57C6">
              <w:rPr>
                <w:rFonts w:asciiTheme="minorHAnsi" w:hAnsiTheme="minorHAnsi" w:cstheme="minorHAnsi"/>
                <w:b/>
                <w:bCs/>
                <w:sz w:val="22"/>
                <w:szCs w:val="22"/>
              </w:rPr>
              <w:t xml:space="preserve">  </w:t>
            </w:r>
            <w:r w:rsidR="001C6941" w:rsidRPr="00EB57C6">
              <w:rPr>
                <w:rFonts w:asciiTheme="minorHAnsi" w:hAnsiTheme="minorHAnsi" w:cstheme="minorHAnsi"/>
                <w:b/>
                <w:bCs/>
                <w:sz w:val="22"/>
                <w:szCs w:val="22"/>
              </w:rPr>
              <w:t>mikropodnik</w:t>
            </w:r>
          </w:p>
          <w:p w:rsidR="001C6941" w:rsidRPr="00EB57C6" w:rsidRDefault="00D02F6E" w:rsidP="00382425">
            <w:pPr>
              <w:adjustRightInd w:val="0"/>
              <w:spacing w:before="80"/>
              <w:rPr>
                <w:rFonts w:asciiTheme="minorHAnsi" w:hAnsiTheme="minorHAnsi" w:cstheme="minorHAnsi"/>
                <w:b/>
                <w:bCs/>
                <w:sz w:val="22"/>
                <w:szCs w:val="22"/>
              </w:rPr>
            </w:pPr>
            <w:r w:rsidRPr="00EB57C6">
              <w:rPr>
                <w:rFonts w:asciiTheme="minorHAnsi" w:hAnsiTheme="minorHAnsi" w:cstheme="minorHAnsi"/>
                <w:b/>
                <w:bCs/>
                <w:sz w:val="22"/>
                <w:szCs w:val="22"/>
              </w:rPr>
              <w:t xml:space="preserve">         </w:t>
            </w:r>
            <w:sdt>
              <w:sdtPr>
                <w:rPr>
                  <w:rFonts w:asciiTheme="minorHAnsi" w:hAnsiTheme="minorHAnsi" w:cstheme="minorHAnsi"/>
                  <w:b/>
                  <w:bCs/>
                  <w:sz w:val="22"/>
                  <w:szCs w:val="22"/>
                </w:rPr>
                <w:id w:val="-34352514"/>
                <w14:checkbox>
                  <w14:checked w14:val="0"/>
                  <w14:checkedState w14:val="2612" w14:font="MS Gothic"/>
                  <w14:uncheckedState w14:val="2610" w14:font="MS Gothic"/>
                </w14:checkbox>
              </w:sdtPr>
              <w:sdtEndPr/>
              <w:sdtContent>
                <w:r w:rsidR="00C04ECD">
                  <w:rPr>
                    <w:rFonts w:ascii="MS Gothic" w:eastAsia="MS Gothic" w:hAnsi="MS Gothic" w:cstheme="minorHAnsi" w:hint="eastAsia"/>
                    <w:b/>
                    <w:bCs/>
                    <w:sz w:val="22"/>
                    <w:szCs w:val="22"/>
                  </w:rPr>
                  <w:t>☐</w:t>
                </w:r>
              </w:sdtContent>
            </w:sdt>
            <w:r w:rsidRPr="00EB57C6">
              <w:rPr>
                <w:rFonts w:asciiTheme="minorHAnsi" w:hAnsiTheme="minorHAnsi" w:cstheme="minorHAnsi"/>
                <w:b/>
                <w:bCs/>
                <w:sz w:val="22"/>
                <w:szCs w:val="22"/>
              </w:rPr>
              <w:t xml:space="preserve">  </w:t>
            </w:r>
            <w:r w:rsidR="001C6941" w:rsidRPr="00EB57C6">
              <w:rPr>
                <w:rFonts w:asciiTheme="minorHAnsi" w:hAnsiTheme="minorHAnsi" w:cstheme="minorHAnsi"/>
                <w:b/>
                <w:bCs/>
                <w:sz w:val="22"/>
                <w:szCs w:val="22"/>
              </w:rPr>
              <w:t>malý podnik</w:t>
            </w:r>
          </w:p>
          <w:p w:rsidR="001C6941" w:rsidRPr="00EB57C6" w:rsidRDefault="00D02F6E" w:rsidP="00382425">
            <w:pPr>
              <w:adjustRightInd w:val="0"/>
              <w:spacing w:before="80"/>
              <w:jc w:val="both"/>
              <w:rPr>
                <w:rFonts w:asciiTheme="minorHAnsi" w:hAnsiTheme="minorHAnsi" w:cstheme="minorHAnsi"/>
                <w:sz w:val="22"/>
                <w:szCs w:val="22"/>
              </w:rPr>
            </w:pPr>
            <w:r w:rsidRPr="00EB57C6">
              <w:rPr>
                <w:rFonts w:asciiTheme="minorHAnsi" w:hAnsiTheme="minorHAnsi" w:cstheme="minorHAnsi"/>
                <w:b/>
                <w:bCs/>
                <w:sz w:val="22"/>
                <w:szCs w:val="22"/>
              </w:rPr>
              <w:t xml:space="preserve">         </w:t>
            </w:r>
            <w:sdt>
              <w:sdtPr>
                <w:rPr>
                  <w:rFonts w:asciiTheme="minorHAnsi" w:hAnsiTheme="minorHAnsi" w:cstheme="minorHAnsi"/>
                  <w:b/>
                  <w:bCs/>
                  <w:sz w:val="22"/>
                  <w:szCs w:val="22"/>
                </w:rPr>
                <w:id w:val="-1550444018"/>
                <w14:checkbox>
                  <w14:checked w14:val="0"/>
                  <w14:checkedState w14:val="2612" w14:font="MS Gothic"/>
                  <w14:uncheckedState w14:val="2610" w14:font="MS Gothic"/>
                </w14:checkbox>
              </w:sdtPr>
              <w:sdtEndPr/>
              <w:sdtContent>
                <w:r w:rsidR="00C04ECD">
                  <w:rPr>
                    <w:rFonts w:ascii="MS Gothic" w:eastAsia="MS Gothic" w:hAnsi="MS Gothic" w:cstheme="minorHAnsi" w:hint="eastAsia"/>
                    <w:b/>
                    <w:bCs/>
                    <w:sz w:val="22"/>
                    <w:szCs w:val="22"/>
                  </w:rPr>
                  <w:t>☐</w:t>
                </w:r>
              </w:sdtContent>
            </w:sdt>
            <w:r w:rsidRPr="00EB57C6">
              <w:rPr>
                <w:rFonts w:asciiTheme="minorHAnsi" w:hAnsiTheme="minorHAnsi" w:cstheme="minorHAnsi"/>
                <w:b/>
                <w:bCs/>
                <w:sz w:val="22"/>
                <w:szCs w:val="22"/>
              </w:rPr>
              <w:t xml:space="preserve"> </w:t>
            </w:r>
            <w:r w:rsidR="004413F2" w:rsidRPr="00EB57C6">
              <w:rPr>
                <w:rFonts w:asciiTheme="minorHAnsi" w:hAnsiTheme="minorHAnsi" w:cstheme="minorHAnsi"/>
                <w:b/>
                <w:bCs/>
                <w:sz w:val="22"/>
                <w:szCs w:val="22"/>
              </w:rPr>
              <w:t>stredný podnik</w:t>
            </w:r>
          </w:p>
          <w:p w:rsidR="001C6941" w:rsidRPr="00EB57C6" w:rsidRDefault="001C6941" w:rsidP="00382425">
            <w:pPr>
              <w:adjustRightInd w:val="0"/>
              <w:rPr>
                <w:rFonts w:asciiTheme="minorHAnsi" w:hAnsiTheme="minorHAnsi" w:cstheme="minorHAnsi"/>
                <w:b/>
                <w:sz w:val="22"/>
                <w:szCs w:val="22"/>
              </w:rPr>
            </w:pPr>
          </w:p>
        </w:tc>
      </w:tr>
    </w:tbl>
    <w:p w:rsidR="00A171A9" w:rsidRPr="00EB57C6" w:rsidRDefault="00CE43D4" w:rsidP="00382425">
      <w:pPr>
        <w:ind w:left="142" w:hanging="142"/>
        <w:jc w:val="both"/>
        <w:rPr>
          <w:rFonts w:asciiTheme="minorHAnsi" w:hAnsiTheme="minorHAnsi" w:cstheme="minorHAnsi"/>
          <w:bCs/>
          <w:i/>
          <w:sz w:val="22"/>
          <w:szCs w:val="22"/>
        </w:rPr>
      </w:pPr>
      <w:r>
        <w:rPr>
          <w:rFonts w:asciiTheme="minorHAnsi" w:hAnsiTheme="minorHAnsi" w:cstheme="minorHAnsi"/>
          <w:i/>
          <w:sz w:val="22"/>
          <w:szCs w:val="22"/>
        </w:rPr>
        <w:t>*Príloha č. I n</w:t>
      </w:r>
      <w:r w:rsidR="001C6941" w:rsidRPr="00EB57C6">
        <w:rPr>
          <w:rFonts w:asciiTheme="minorHAnsi" w:hAnsiTheme="minorHAnsi" w:cstheme="minorHAnsi"/>
          <w:i/>
          <w:sz w:val="22"/>
          <w:szCs w:val="22"/>
        </w:rPr>
        <w:t xml:space="preserve">ariadenia Komisie (EÚ) č. 651/2014 vyhlásení určitých kategórií pomoci za zlučiteľné </w:t>
      </w:r>
      <w:r w:rsidR="00B3383A">
        <w:rPr>
          <w:rFonts w:asciiTheme="minorHAnsi" w:hAnsiTheme="minorHAnsi" w:cstheme="minorHAnsi"/>
          <w:i/>
          <w:sz w:val="22"/>
          <w:szCs w:val="22"/>
        </w:rPr>
        <w:t xml:space="preserve">                        </w:t>
      </w:r>
      <w:r w:rsidR="001C6941" w:rsidRPr="00EB57C6">
        <w:rPr>
          <w:rFonts w:asciiTheme="minorHAnsi" w:hAnsiTheme="minorHAnsi" w:cstheme="minorHAnsi"/>
          <w:i/>
          <w:sz w:val="22"/>
          <w:szCs w:val="22"/>
        </w:rPr>
        <w:t>s vnútorným trhom podľa článkov 107 a 108 zmluvy  v platnom znení</w:t>
      </w:r>
      <w:r>
        <w:rPr>
          <w:rFonts w:asciiTheme="minorHAnsi" w:hAnsiTheme="minorHAnsi" w:cstheme="minorHAnsi"/>
          <w:i/>
          <w:sz w:val="22"/>
          <w:szCs w:val="22"/>
        </w:rPr>
        <w:t xml:space="preserve"> (ďalej len „nariadenie Komisie (EÚ) č. 651/2014“)</w:t>
      </w:r>
      <w:bookmarkStart w:id="0" w:name="_GoBack"/>
      <w:bookmarkEnd w:id="0"/>
      <w:r w:rsidR="001C6941" w:rsidRPr="00EB57C6">
        <w:rPr>
          <w:rFonts w:asciiTheme="minorHAnsi" w:hAnsiTheme="minorHAnsi" w:cstheme="minorHAnsi"/>
          <w:i/>
          <w:sz w:val="22"/>
          <w:szCs w:val="22"/>
        </w:rPr>
        <w:t>.</w:t>
      </w:r>
    </w:p>
    <w:p w:rsidR="005F52CF" w:rsidRPr="00EB57C6" w:rsidRDefault="005F52CF" w:rsidP="00382425">
      <w:pPr>
        <w:adjustRightInd w:val="0"/>
        <w:jc w:val="both"/>
        <w:rPr>
          <w:rFonts w:asciiTheme="minorHAnsi" w:hAnsiTheme="minorHAnsi" w:cstheme="minorHAnsi"/>
          <w:b/>
          <w:sz w:val="22"/>
          <w:szCs w:val="22"/>
        </w:rPr>
      </w:pPr>
    </w:p>
    <w:p w:rsidR="00A171A9" w:rsidRDefault="005F52CF" w:rsidP="00382425">
      <w:pPr>
        <w:adjustRightInd w:val="0"/>
        <w:spacing w:after="120"/>
        <w:jc w:val="both"/>
        <w:rPr>
          <w:rFonts w:asciiTheme="minorHAnsi" w:hAnsiTheme="minorHAnsi" w:cstheme="minorHAnsi"/>
          <w:b/>
          <w:sz w:val="22"/>
          <w:szCs w:val="22"/>
        </w:rPr>
      </w:pPr>
      <w:r w:rsidRPr="00EB57C6">
        <w:rPr>
          <w:rFonts w:asciiTheme="minorHAnsi" w:hAnsiTheme="minorHAnsi" w:cstheme="minorHAnsi"/>
          <w:b/>
          <w:sz w:val="22"/>
          <w:szCs w:val="22"/>
        </w:rPr>
        <w:t>Žiadateľ vyhlasuje, že</w:t>
      </w:r>
    </w:p>
    <w:p w:rsidR="00247E05" w:rsidRPr="00D45F5F" w:rsidRDefault="00247E05" w:rsidP="00382425">
      <w:pPr>
        <w:adjustRightInd w:val="0"/>
        <w:spacing w:after="120"/>
        <w:jc w:val="both"/>
        <w:rPr>
          <w:rFonts w:asciiTheme="minorHAnsi" w:hAnsiTheme="minorHAnsi" w:cstheme="minorHAnsi"/>
          <w:sz w:val="22"/>
          <w:szCs w:val="22"/>
        </w:rPr>
      </w:pPr>
      <w:r w:rsidRPr="00D45F5F">
        <w:rPr>
          <w:rFonts w:asciiTheme="minorHAnsi" w:hAnsiTheme="minorHAnsi" w:cstheme="minorHAnsi"/>
          <w:b/>
          <w:sz w:val="22"/>
          <w:szCs w:val="22"/>
        </w:rPr>
        <w:t xml:space="preserve">1. </w:t>
      </w:r>
      <w:r w:rsidR="00C04ECD">
        <w:rPr>
          <w:rFonts w:asciiTheme="minorHAnsi" w:hAnsiTheme="minorHAnsi" w:cstheme="minorHAnsi"/>
          <w:b/>
          <w:sz w:val="22"/>
          <w:szCs w:val="22"/>
        </w:rPr>
        <w:t xml:space="preserve">  </w:t>
      </w:r>
      <w:sdt>
        <w:sdtPr>
          <w:rPr>
            <w:rFonts w:asciiTheme="minorHAnsi" w:hAnsiTheme="minorHAnsi" w:cstheme="minorHAnsi"/>
            <w:b/>
            <w:sz w:val="22"/>
            <w:szCs w:val="22"/>
          </w:rPr>
          <w:id w:val="-130935770"/>
          <w14:checkbox>
            <w14:checked w14:val="0"/>
            <w14:checkedState w14:val="2612" w14:font="MS Gothic"/>
            <w14:uncheckedState w14:val="2610" w14:font="MS Gothic"/>
          </w14:checkbox>
        </w:sdtPr>
        <w:sdtEndPr/>
        <w:sdtContent>
          <w:r w:rsidR="00382425">
            <w:rPr>
              <w:rFonts w:ascii="MS Gothic" w:eastAsia="MS Gothic" w:hAnsi="MS Gothic" w:cstheme="minorHAnsi" w:hint="eastAsia"/>
              <w:b/>
              <w:sz w:val="22"/>
              <w:szCs w:val="22"/>
            </w:rPr>
            <w:t>☐</w:t>
          </w:r>
        </w:sdtContent>
      </w:sdt>
      <w:r w:rsidR="00C04ECD">
        <w:rPr>
          <w:rFonts w:asciiTheme="minorHAnsi" w:hAnsiTheme="minorHAnsi" w:cstheme="minorHAnsi"/>
          <w:b/>
          <w:sz w:val="22"/>
          <w:szCs w:val="22"/>
        </w:rPr>
        <w:t xml:space="preserve"> </w:t>
      </w:r>
      <w:r w:rsidRPr="00D45F5F">
        <w:rPr>
          <w:rFonts w:asciiTheme="minorHAnsi" w:hAnsiTheme="minorHAnsi" w:cstheme="minorHAnsi"/>
          <w:b/>
          <w:sz w:val="22"/>
          <w:szCs w:val="22"/>
        </w:rPr>
        <w:t>NIE JE PODNIKOM V ŤAŽKOSTIACH</w:t>
      </w:r>
      <w:r w:rsidRPr="00D45F5F">
        <w:rPr>
          <w:rFonts w:asciiTheme="minorHAnsi" w:hAnsiTheme="minorHAnsi" w:cstheme="minorHAnsi"/>
          <w:sz w:val="22"/>
          <w:szCs w:val="22"/>
        </w:rPr>
        <w:t xml:space="preserve">      </w:t>
      </w:r>
    </w:p>
    <w:p w:rsidR="00247E05" w:rsidRPr="00247E05" w:rsidRDefault="00247E05" w:rsidP="00382425">
      <w:pPr>
        <w:ind w:left="426" w:hanging="426"/>
        <w:jc w:val="both"/>
        <w:rPr>
          <w:rFonts w:asciiTheme="minorHAnsi" w:hAnsiTheme="minorHAnsi" w:cstheme="minorHAnsi"/>
          <w:b/>
          <w:sz w:val="22"/>
          <w:szCs w:val="22"/>
        </w:rPr>
      </w:pPr>
      <w:r w:rsidRPr="00247E05">
        <w:rPr>
          <w:rFonts w:asciiTheme="minorHAnsi" w:hAnsiTheme="minorHAnsi" w:cstheme="minorHAnsi"/>
          <w:b/>
          <w:sz w:val="22"/>
          <w:szCs w:val="22"/>
        </w:rPr>
        <w:t>Vysvetlivky</w:t>
      </w:r>
    </w:p>
    <w:p w:rsidR="00844563" w:rsidRPr="00D45F5F" w:rsidRDefault="00B3383A" w:rsidP="00382425">
      <w:pPr>
        <w:jc w:val="both"/>
        <w:rPr>
          <w:rFonts w:asciiTheme="minorHAnsi" w:hAnsiTheme="minorHAnsi" w:cstheme="minorHAnsi"/>
          <w:sz w:val="22"/>
          <w:szCs w:val="22"/>
        </w:rPr>
      </w:pPr>
      <w:r>
        <w:rPr>
          <w:rFonts w:asciiTheme="minorHAnsi" w:hAnsiTheme="minorHAnsi" w:cstheme="minorHAnsi"/>
          <w:sz w:val="22"/>
          <w:szCs w:val="22"/>
        </w:rPr>
        <w:t>P</w:t>
      </w:r>
      <w:r w:rsidR="003112D3" w:rsidRPr="00325ECF">
        <w:rPr>
          <w:rFonts w:asciiTheme="minorHAnsi" w:hAnsiTheme="minorHAnsi" w:cstheme="minorHAnsi"/>
          <w:sz w:val="22"/>
          <w:szCs w:val="22"/>
        </w:rPr>
        <w:t>odľa čl. 2 ods. 18 nariadenia</w:t>
      </w:r>
      <w:r w:rsidR="007A7AFD">
        <w:rPr>
          <w:rFonts w:asciiTheme="minorHAnsi" w:hAnsiTheme="minorHAnsi" w:cstheme="minorHAnsi"/>
          <w:sz w:val="22"/>
          <w:szCs w:val="22"/>
        </w:rPr>
        <w:t xml:space="preserve"> </w:t>
      </w:r>
      <w:r w:rsidR="00CE43D4">
        <w:rPr>
          <w:rFonts w:asciiTheme="minorHAnsi" w:hAnsiTheme="minorHAnsi" w:cstheme="minorHAnsi"/>
          <w:sz w:val="22"/>
          <w:szCs w:val="22"/>
        </w:rPr>
        <w:t xml:space="preserve">Komisie </w:t>
      </w:r>
      <w:r w:rsidR="007A7AFD">
        <w:rPr>
          <w:rFonts w:asciiTheme="minorHAnsi" w:hAnsiTheme="minorHAnsi" w:cstheme="minorHAnsi"/>
          <w:sz w:val="22"/>
          <w:szCs w:val="22"/>
        </w:rPr>
        <w:t>(EÚ) č. 651/2014, podľa ktorého</w:t>
      </w:r>
      <w:r w:rsidR="003112D3" w:rsidRPr="00325ECF">
        <w:rPr>
          <w:rFonts w:asciiTheme="minorHAnsi" w:hAnsiTheme="minorHAnsi" w:cstheme="minorHAnsi"/>
          <w:sz w:val="22"/>
          <w:szCs w:val="22"/>
        </w:rPr>
        <w:t xml:space="preserve"> podnik v ťažkostiach je podnik,</w:t>
      </w:r>
      <w:r w:rsidR="00CE43D4">
        <w:rPr>
          <w:rFonts w:asciiTheme="minorHAnsi" w:hAnsiTheme="minorHAnsi" w:cstheme="minorHAnsi"/>
          <w:sz w:val="22"/>
          <w:szCs w:val="22"/>
        </w:rPr>
        <w:t xml:space="preserve"> </w:t>
      </w:r>
      <w:r w:rsidR="00D74C7D">
        <w:rPr>
          <w:rFonts w:asciiTheme="minorHAnsi" w:hAnsiTheme="minorHAnsi" w:cstheme="minorHAnsi"/>
          <w:sz w:val="22"/>
          <w:szCs w:val="22"/>
        </w:rPr>
        <w:t xml:space="preserve"> </w:t>
      </w:r>
      <w:r w:rsidR="00CE43D4">
        <w:rPr>
          <w:rFonts w:asciiTheme="minorHAnsi" w:hAnsiTheme="minorHAnsi" w:cstheme="minorHAnsi"/>
          <w:sz w:val="22"/>
          <w:szCs w:val="22"/>
        </w:rPr>
        <w:t xml:space="preserve">           </w:t>
      </w:r>
      <w:r w:rsidR="003112D3" w:rsidRPr="00325ECF">
        <w:rPr>
          <w:rFonts w:asciiTheme="minorHAnsi" w:hAnsiTheme="minorHAnsi" w:cstheme="minorHAnsi"/>
          <w:sz w:val="22"/>
          <w:szCs w:val="22"/>
        </w:rPr>
        <w:t xml:space="preserve"> v súvislosti </w:t>
      </w:r>
      <w:r w:rsidR="00D45F5F">
        <w:rPr>
          <w:rFonts w:asciiTheme="minorHAnsi" w:hAnsiTheme="minorHAnsi" w:cstheme="minorHAnsi"/>
          <w:sz w:val="22"/>
          <w:szCs w:val="22"/>
        </w:rPr>
        <w:t xml:space="preserve"> </w:t>
      </w:r>
      <w:r w:rsidR="003112D3" w:rsidRPr="00325ECF">
        <w:rPr>
          <w:rFonts w:asciiTheme="minorHAnsi" w:hAnsiTheme="minorHAnsi" w:cstheme="minorHAnsi"/>
          <w:sz w:val="22"/>
          <w:szCs w:val="22"/>
        </w:rPr>
        <w:t xml:space="preserve">s ktorým sa vyskytne </w:t>
      </w:r>
      <w:r w:rsidR="003112D3" w:rsidRPr="00B3383A">
        <w:rPr>
          <w:rFonts w:asciiTheme="minorHAnsi" w:hAnsiTheme="minorHAnsi" w:cstheme="minorHAnsi"/>
          <w:b/>
          <w:sz w:val="22"/>
          <w:szCs w:val="22"/>
          <w:u w:val="single"/>
        </w:rPr>
        <w:t>aspoň jedna</w:t>
      </w:r>
      <w:r w:rsidR="003112D3" w:rsidRPr="00D74C7D">
        <w:rPr>
          <w:rFonts w:asciiTheme="minorHAnsi" w:hAnsiTheme="minorHAnsi" w:cstheme="minorHAnsi"/>
          <w:b/>
          <w:sz w:val="22"/>
          <w:szCs w:val="22"/>
        </w:rPr>
        <w:t xml:space="preserve"> </w:t>
      </w:r>
      <w:r w:rsidR="003112D3" w:rsidRPr="00D74C7D">
        <w:rPr>
          <w:rFonts w:asciiTheme="minorHAnsi" w:hAnsiTheme="minorHAnsi" w:cstheme="minorHAnsi"/>
          <w:sz w:val="22"/>
          <w:szCs w:val="22"/>
        </w:rPr>
        <w:t>z</w:t>
      </w:r>
      <w:r w:rsidRPr="00D74C7D">
        <w:rPr>
          <w:rFonts w:asciiTheme="minorHAnsi" w:hAnsiTheme="minorHAnsi" w:cstheme="minorHAnsi"/>
          <w:sz w:val="22"/>
          <w:szCs w:val="22"/>
        </w:rPr>
        <w:t> nasledujúcich</w:t>
      </w:r>
      <w:r w:rsidR="003112D3" w:rsidRPr="00D74C7D">
        <w:rPr>
          <w:rFonts w:asciiTheme="minorHAnsi" w:hAnsiTheme="minorHAnsi" w:cstheme="minorHAnsi"/>
          <w:sz w:val="22"/>
          <w:szCs w:val="22"/>
        </w:rPr>
        <w:t xml:space="preserve"> okolností</w:t>
      </w:r>
      <w:r w:rsidR="00325ECF" w:rsidRPr="00D45F5F">
        <w:rPr>
          <w:rFonts w:asciiTheme="minorHAnsi" w:hAnsiTheme="minorHAnsi" w:cstheme="minorHAnsi"/>
          <w:sz w:val="22"/>
          <w:szCs w:val="22"/>
        </w:rPr>
        <w:t>:</w:t>
      </w:r>
      <w:r w:rsidR="003112D3" w:rsidRPr="00D45F5F">
        <w:rPr>
          <w:rFonts w:asciiTheme="minorHAnsi" w:hAnsiTheme="minorHAnsi" w:cstheme="minorHAnsi"/>
          <w:sz w:val="22"/>
          <w:szCs w:val="22"/>
        </w:rPr>
        <w:t xml:space="preserve"> </w:t>
      </w:r>
    </w:p>
    <w:p w:rsidR="007A7AFD" w:rsidRPr="007A7AFD" w:rsidRDefault="00325ECF" w:rsidP="00382425">
      <w:pPr>
        <w:numPr>
          <w:ilvl w:val="0"/>
          <w:numId w:val="7"/>
        </w:numPr>
        <w:autoSpaceDE/>
        <w:autoSpaceDN/>
        <w:spacing w:before="120"/>
        <w:ind w:left="284" w:hanging="284"/>
        <w:jc w:val="both"/>
        <w:rPr>
          <w:rFonts w:asciiTheme="minorHAnsi" w:eastAsiaTheme="minorHAnsi" w:hAnsiTheme="minorHAnsi" w:cstheme="minorHAnsi"/>
          <w:i/>
          <w:sz w:val="22"/>
          <w:szCs w:val="22"/>
        </w:rPr>
      </w:pPr>
      <w:r w:rsidRPr="007A7AFD">
        <w:rPr>
          <w:rFonts w:asciiTheme="minorHAnsi" w:eastAsiaTheme="minorHAnsi" w:hAnsiTheme="minorHAnsi" w:cstheme="minorHAnsi"/>
          <w:b/>
          <w:sz w:val="22"/>
          <w:szCs w:val="22"/>
        </w:rPr>
        <w:t>V prípade spoločnosti s ručením obmedzeným</w:t>
      </w:r>
      <w:r w:rsidRPr="00325ECF">
        <w:rPr>
          <w:rFonts w:asciiTheme="minorHAnsi" w:eastAsiaTheme="minorHAnsi" w:hAnsiTheme="minorHAnsi" w:cstheme="minorHAnsi"/>
          <w:sz w:val="22"/>
          <w:szCs w:val="22"/>
        </w:rPr>
        <w:t xml:space="preserve"> </w:t>
      </w:r>
      <w:r w:rsidRPr="007A7AFD">
        <w:rPr>
          <w:rFonts w:asciiTheme="minorHAnsi" w:eastAsiaTheme="minorHAnsi" w:hAnsiTheme="minorHAnsi" w:cstheme="minorHAnsi"/>
          <w:i/>
          <w:sz w:val="22"/>
          <w:szCs w:val="22"/>
        </w:rPr>
        <w:t xml:space="preserve">(inej ako MSP, ktorý existuje </w:t>
      </w:r>
      <w:r w:rsidRPr="00EF6541">
        <w:rPr>
          <w:rFonts w:asciiTheme="minorHAnsi" w:eastAsiaTheme="minorHAnsi" w:hAnsiTheme="minorHAnsi" w:cstheme="minorHAnsi"/>
          <w:b/>
          <w:i/>
          <w:sz w:val="22"/>
          <w:szCs w:val="22"/>
          <w:u w:val="single"/>
        </w:rPr>
        <w:t>menej ako tri roky</w:t>
      </w:r>
      <w:r w:rsidRPr="007A7AFD">
        <w:rPr>
          <w:rFonts w:asciiTheme="minorHAnsi" w:eastAsiaTheme="minorHAnsi" w:hAnsiTheme="minorHAnsi" w:cstheme="minorHAnsi"/>
          <w:i/>
          <w:sz w:val="22"/>
          <w:szCs w:val="22"/>
        </w:rPr>
        <w:t>, alebo, na účely oprávnenosti na pomoc vo forme rizikového financovania, MSP, ktorý spĺňa podmienku uvedenú v článku 21 ods. 3 písm. b) nariadenia (EÚ) č. 651/2014 a požiadavku rizikových finančných investícií v nadväznosti na hĺbkovú analýzu vykonanú vybratým finančným sprostredkovateľom)</w:t>
      </w:r>
      <w:r w:rsidRPr="00325ECF">
        <w:rPr>
          <w:rFonts w:asciiTheme="minorHAnsi" w:eastAsiaTheme="minorHAnsi" w:hAnsiTheme="minorHAnsi" w:cstheme="minorHAnsi"/>
          <w:sz w:val="22"/>
          <w:szCs w:val="22"/>
        </w:rPr>
        <w:t xml:space="preserve">, </w:t>
      </w:r>
      <w:r w:rsidRPr="007A7AFD">
        <w:rPr>
          <w:rFonts w:asciiTheme="minorHAnsi" w:eastAsiaTheme="minorHAnsi" w:hAnsiTheme="minorHAnsi" w:cstheme="minorHAnsi"/>
          <w:b/>
          <w:sz w:val="22"/>
          <w:szCs w:val="22"/>
        </w:rPr>
        <w:t xml:space="preserve">ak v dôsledku akumulovaných strát </w:t>
      </w:r>
      <w:r w:rsidRPr="007A7AFD">
        <w:rPr>
          <w:rFonts w:asciiTheme="minorHAnsi" w:eastAsiaTheme="minorHAnsi" w:hAnsiTheme="minorHAnsi" w:cstheme="minorHAnsi"/>
          <w:b/>
          <w:sz w:val="22"/>
          <w:szCs w:val="22"/>
          <w:u w:val="single"/>
        </w:rPr>
        <w:t>došlo k zániku viac ako polovice jej upísaného základného imania</w:t>
      </w:r>
      <w:r w:rsidRPr="007A7AFD">
        <w:rPr>
          <w:rFonts w:asciiTheme="minorHAnsi" w:eastAsiaTheme="minorHAnsi" w:hAnsiTheme="minorHAnsi" w:cstheme="minorHAnsi"/>
          <w:b/>
          <w:sz w:val="22"/>
          <w:szCs w:val="22"/>
        </w:rPr>
        <w:t>. Ide o prípad, keď odpočet akumulovaných strát od rezerv</w:t>
      </w:r>
      <w:r w:rsidRPr="00325ECF">
        <w:rPr>
          <w:rFonts w:asciiTheme="minorHAnsi" w:eastAsiaTheme="minorHAnsi" w:hAnsiTheme="minorHAnsi" w:cstheme="minorHAnsi"/>
          <w:sz w:val="22"/>
          <w:szCs w:val="22"/>
        </w:rPr>
        <w:t xml:space="preserve"> (a všetkých ostatných prvkov, ktoré sa vo všeobecnosti považujú za súčasť vlastných zdrojov spoločnosti) </w:t>
      </w:r>
      <w:r w:rsidRPr="007A7AFD">
        <w:rPr>
          <w:rFonts w:asciiTheme="minorHAnsi" w:eastAsiaTheme="minorHAnsi" w:hAnsiTheme="minorHAnsi" w:cstheme="minorHAnsi"/>
          <w:b/>
          <w:sz w:val="22"/>
          <w:szCs w:val="22"/>
        </w:rPr>
        <w:t xml:space="preserve">má za následok </w:t>
      </w:r>
      <w:r w:rsidRPr="007A7AFD">
        <w:rPr>
          <w:rFonts w:asciiTheme="minorHAnsi" w:eastAsiaTheme="minorHAnsi" w:hAnsiTheme="minorHAnsi" w:cstheme="minorHAnsi"/>
          <w:b/>
          <w:sz w:val="22"/>
          <w:szCs w:val="22"/>
          <w:u w:val="single"/>
        </w:rPr>
        <w:t>negatívnu kumulovanú sumu</w:t>
      </w:r>
      <w:r w:rsidRPr="007A7AFD">
        <w:rPr>
          <w:rFonts w:asciiTheme="minorHAnsi" w:eastAsiaTheme="minorHAnsi" w:hAnsiTheme="minorHAnsi" w:cstheme="minorHAnsi"/>
          <w:b/>
          <w:sz w:val="22"/>
          <w:szCs w:val="22"/>
        </w:rPr>
        <w:t xml:space="preserve">, ktorá </w:t>
      </w:r>
      <w:r w:rsidRPr="007A7AFD">
        <w:rPr>
          <w:rFonts w:asciiTheme="minorHAnsi" w:eastAsiaTheme="minorHAnsi" w:hAnsiTheme="minorHAnsi" w:cstheme="minorHAnsi"/>
          <w:b/>
          <w:sz w:val="22"/>
          <w:szCs w:val="22"/>
          <w:u w:val="single"/>
        </w:rPr>
        <w:t>presahuje polovicu upísaného základného imania</w:t>
      </w:r>
      <w:r w:rsidRPr="007A7AFD">
        <w:rPr>
          <w:rFonts w:asciiTheme="minorHAnsi" w:eastAsiaTheme="minorHAnsi" w:hAnsiTheme="minorHAnsi" w:cstheme="minorHAnsi"/>
          <w:b/>
          <w:sz w:val="22"/>
          <w:szCs w:val="22"/>
        </w:rPr>
        <w:t xml:space="preserve">. </w:t>
      </w:r>
    </w:p>
    <w:p w:rsidR="00325ECF" w:rsidRPr="00325ECF" w:rsidRDefault="00325ECF" w:rsidP="00382425">
      <w:pPr>
        <w:autoSpaceDE/>
        <w:autoSpaceDN/>
        <w:spacing w:before="120"/>
        <w:ind w:left="284"/>
        <w:jc w:val="both"/>
        <w:rPr>
          <w:rFonts w:asciiTheme="minorHAnsi" w:eastAsiaTheme="minorHAnsi" w:hAnsiTheme="minorHAnsi" w:cstheme="minorHAnsi"/>
          <w:i/>
          <w:sz w:val="22"/>
          <w:szCs w:val="22"/>
        </w:rPr>
      </w:pPr>
      <w:r w:rsidRPr="00325ECF">
        <w:rPr>
          <w:rFonts w:asciiTheme="minorHAnsi" w:eastAsiaTheme="minorHAnsi" w:hAnsiTheme="minorHAnsi" w:cstheme="minorHAnsi"/>
          <w:sz w:val="22"/>
          <w:szCs w:val="22"/>
        </w:rPr>
        <w:lastRenderedPageBreak/>
        <w:t xml:space="preserve">Na účely tohto ustanovenia </w:t>
      </w:r>
      <w:r w:rsidRPr="007A7AFD">
        <w:rPr>
          <w:rFonts w:asciiTheme="minorHAnsi" w:eastAsiaTheme="minorHAnsi" w:hAnsiTheme="minorHAnsi" w:cstheme="minorHAnsi"/>
          <w:i/>
          <w:sz w:val="22"/>
          <w:szCs w:val="22"/>
        </w:rPr>
        <w:t>„spoločnosť s ručením obmedzeným</w:t>
      </w:r>
      <w:r w:rsidRPr="00325ECF">
        <w:rPr>
          <w:rFonts w:asciiTheme="minorHAnsi" w:eastAsiaTheme="minorHAnsi" w:hAnsiTheme="minorHAnsi" w:cstheme="minorHAnsi"/>
          <w:sz w:val="22"/>
          <w:szCs w:val="22"/>
        </w:rPr>
        <w:t xml:space="preserve">“ znamená najmä tie druhy spoločností, ktoré sú uvedené </w:t>
      </w:r>
      <w:r w:rsidRPr="000112FF">
        <w:rPr>
          <w:rFonts w:asciiTheme="minorHAnsi" w:eastAsiaTheme="minorHAnsi" w:hAnsiTheme="minorHAnsi" w:cstheme="minorHAnsi"/>
          <w:b/>
          <w:sz w:val="22"/>
          <w:szCs w:val="22"/>
        </w:rPr>
        <w:t>v prílohe I</w:t>
      </w:r>
      <w:r w:rsidRPr="00325ECF">
        <w:rPr>
          <w:rFonts w:asciiTheme="minorHAnsi" w:eastAsiaTheme="minorHAnsi" w:hAnsiTheme="minorHAnsi" w:cstheme="minorHAnsi"/>
          <w:sz w:val="22"/>
          <w:szCs w:val="22"/>
        </w:rPr>
        <w:t xml:space="preserve"> k smernici  (EÚ) č. 2013/34/EÚ</w:t>
      </w:r>
      <w:r w:rsidRPr="000112FF">
        <w:rPr>
          <w:rStyle w:val="Odkaznapoznmkupodiarou"/>
          <w:rFonts w:asciiTheme="minorHAnsi" w:eastAsiaTheme="minorHAnsi" w:hAnsiTheme="minorHAnsi" w:cstheme="minorHAnsi"/>
        </w:rPr>
        <w:footnoteReference w:id="1"/>
      </w:r>
      <w:r w:rsidRPr="00325ECF">
        <w:rPr>
          <w:rFonts w:asciiTheme="minorHAnsi" w:eastAsiaTheme="minorHAnsi" w:hAnsiTheme="minorHAnsi" w:cstheme="minorHAnsi"/>
          <w:sz w:val="22"/>
          <w:szCs w:val="22"/>
        </w:rPr>
        <w:t xml:space="preserve">, a </w:t>
      </w:r>
      <w:r w:rsidRPr="007A7AFD">
        <w:rPr>
          <w:rFonts w:asciiTheme="minorHAnsi" w:eastAsiaTheme="minorHAnsi" w:hAnsiTheme="minorHAnsi" w:cstheme="minorHAnsi"/>
          <w:i/>
          <w:sz w:val="22"/>
          <w:szCs w:val="22"/>
        </w:rPr>
        <w:t>„základné imanie“</w:t>
      </w:r>
      <w:r w:rsidRPr="00325ECF">
        <w:rPr>
          <w:rFonts w:asciiTheme="minorHAnsi" w:eastAsiaTheme="minorHAnsi" w:hAnsiTheme="minorHAnsi" w:cstheme="minorHAnsi"/>
          <w:sz w:val="22"/>
          <w:szCs w:val="22"/>
        </w:rPr>
        <w:t xml:space="preserve"> zahŕňa, ak je to vhodné, akékoľvek </w:t>
      </w:r>
      <w:r w:rsidRPr="007A7AFD">
        <w:rPr>
          <w:rFonts w:asciiTheme="minorHAnsi" w:eastAsiaTheme="minorHAnsi" w:hAnsiTheme="minorHAnsi" w:cstheme="minorHAnsi"/>
          <w:sz w:val="22"/>
          <w:szCs w:val="22"/>
          <w:u w:val="single"/>
        </w:rPr>
        <w:t>emisné ážio</w:t>
      </w:r>
      <w:r w:rsidRPr="00325ECF">
        <w:rPr>
          <w:rFonts w:asciiTheme="minorHAnsi" w:eastAsiaTheme="minorHAnsi" w:hAnsiTheme="minorHAnsi" w:cstheme="minorHAnsi"/>
          <w:sz w:val="22"/>
          <w:szCs w:val="22"/>
        </w:rPr>
        <w:t xml:space="preserve">. </w:t>
      </w:r>
    </w:p>
    <w:p w:rsidR="00325ECF" w:rsidRPr="001E2E1C" w:rsidRDefault="00325ECF" w:rsidP="00382425">
      <w:pPr>
        <w:ind w:left="284"/>
        <w:jc w:val="both"/>
        <w:rPr>
          <w:rFonts w:asciiTheme="minorHAnsi" w:eastAsiaTheme="minorHAnsi" w:hAnsiTheme="minorHAnsi" w:cstheme="minorHAnsi"/>
          <w:i/>
          <w:sz w:val="22"/>
          <w:szCs w:val="22"/>
        </w:rPr>
      </w:pPr>
      <w:r w:rsidRPr="00325ECF">
        <w:rPr>
          <w:rFonts w:asciiTheme="minorHAnsi" w:eastAsiaTheme="minorHAnsi" w:hAnsiTheme="minorHAnsi" w:cstheme="minorHAnsi"/>
          <w:i/>
          <w:sz w:val="22"/>
          <w:szCs w:val="22"/>
        </w:rPr>
        <w:t>(</w:t>
      </w:r>
      <w:r w:rsidRPr="007A7AFD">
        <w:rPr>
          <w:rFonts w:asciiTheme="minorHAnsi" w:eastAsiaTheme="minorHAnsi" w:hAnsiTheme="minorHAnsi" w:cstheme="minorHAnsi"/>
          <w:i/>
          <w:sz w:val="22"/>
          <w:szCs w:val="22"/>
        </w:rPr>
        <w:t>Pozn.:</w:t>
      </w:r>
      <w:r w:rsidRPr="00325ECF">
        <w:rPr>
          <w:rFonts w:asciiTheme="minorHAnsi" w:eastAsiaTheme="minorHAnsi" w:hAnsiTheme="minorHAnsi" w:cstheme="minorHAnsi"/>
          <w:i/>
          <w:sz w:val="22"/>
          <w:szCs w:val="22"/>
        </w:rPr>
        <w:t xml:space="preserve"> V zmysle § 157 ods. 2 zákona č. 513/1991 (Obchodný zákonník) </w:t>
      </w:r>
      <w:r w:rsidRPr="00325ECF">
        <w:rPr>
          <w:rFonts w:asciiTheme="minorHAnsi" w:eastAsiaTheme="minorHAnsi" w:hAnsiTheme="minorHAnsi" w:cstheme="minorHAnsi"/>
          <w:i/>
          <w:sz w:val="22"/>
          <w:szCs w:val="22"/>
          <w:u w:val="single"/>
        </w:rPr>
        <w:t>emisný kurz akcie nesmie byť nižší, ako je menovitá hodnota akcie</w:t>
      </w:r>
      <w:r w:rsidRPr="00325ECF">
        <w:rPr>
          <w:rFonts w:asciiTheme="minorHAnsi" w:eastAsiaTheme="minorHAnsi" w:hAnsiTheme="minorHAnsi" w:cstheme="minorHAnsi"/>
          <w:i/>
          <w:sz w:val="22"/>
          <w:szCs w:val="22"/>
        </w:rPr>
        <w:t xml:space="preserve">. </w:t>
      </w:r>
      <w:r w:rsidRPr="007A7AFD">
        <w:rPr>
          <w:rFonts w:asciiTheme="minorHAnsi" w:eastAsiaTheme="minorHAnsi" w:hAnsiTheme="minorHAnsi" w:cstheme="minorHAnsi"/>
          <w:i/>
          <w:sz w:val="22"/>
          <w:szCs w:val="22"/>
        </w:rPr>
        <w:t xml:space="preserve">Ak </w:t>
      </w:r>
      <w:r w:rsidRPr="007A7AFD">
        <w:rPr>
          <w:rFonts w:asciiTheme="minorHAnsi" w:eastAsiaTheme="minorHAnsi" w:hAnsiTheme="minorHAnsi" w:cstheme="minorHAnsi"/>
          <w:i/>
          <w:sz w:val="22"/>
          <w:szCs w:val="22"/>
          <w:u w:val="single"/>
        </w:rPr>
        <w:t xml:space="preserve">je emisný kurz akcie vyšší ako jej menovitá hodnota, suma prevyšujúca menovitú hodnotu akcie je </w:t>
      </w:r>
      <w:r w:rsidRPr="007A7AFD">
        <w:rPr>
          <w:rFonts w:asciiTheme="minorHAnsi" w:eastAsiaTheme="minorHAnsi" w:hAnsiTheme="minorHAnsi" w:cstheme="minorHAnsi"/>
          <w:b/>
          <w:i/>
          <w:sz w:val="22"/>
          <w:szCs w:val="22"/>
          <w:u w:val="single"/>
        </w:rPr>
        <w:t>emisné ážio</w:t>
      </w:r>
      <w:r w:rsidRPr="00325ECF">
        <w:rPr>
          <w:rFonts w:asciiTheme="minorHAnsi" w:eastAsiaTheme="minorHAnsi" w:hAnsiTheme="minorHAnsi" w:cstheme="minorHAnsi"/>
          <w:i/>
          <w:sz w:val="22"/>
          <w:szCs w:val="22"/>
        </w:rPr>
        <w:t>. Ak pri splácaní emisného kurzu akcie platená suma nestačí na splatenie menovitej hodnoty alebo jej časti a emisného ážia, započítava sa najprv na plnenie povinnosti splatiť emisné ážio.</w:t>
      </w:r>
      <w:r w:rsidRPr="00325ECF">
        <w:rPr>
          <w:rFonts w:asciiTheme="minorHAnsi" w:hAnsiTheme="minorHAnsi" w:cstheme="minorHAnsi"/>
          <w:sz w:val="22"/>
          <w:szCs w:val="22"/>
        </w:rPr>
        <w:t xml:space="preserve"> </w:t>
      </w:r>
      <w:r w:rsidR="007A7AFD">
        <w:rPr>
          <w:rFonts w:asciiTheme="minorHAnsi" w:eastAsiaTheme="minorHAnsi" w:hAnsiTheme="minorHAnsi" w:cstheme="minorHAnsi"/>
          <w:i/>
          <w:sz w:val="22"/>
          <w:szCs w:val="22"/>
        </w:rPr>
        <w:t>Emisné</w:t>
      </w:r>
      <w:r w:rsidRPr="00325ECF">
        <w:rPr>
          <w:rFonts w:asciiTheme="minorHAnsi" w:eastAsiaTheme="minorHAnsi" w:hAnsiTheme="minorHAnsi" w:cstheme="minorHAnsi"/>
          <w:i/>
          <w:sz w:val="22"/>
          <w:szCs w:val="22"/>
        </w:rPr>
        <w:t xml:space="preserve"> ážio je rozdiel medzi hodnotou cenného </w:t>
      </w:r>
      <w:r w:rsidRPr="001E2E1C">
        <w:rPr>
          <w:rFonts w:asciiTheme="minorHAnsi" w:eastAsiaTheme="minorHAnsi" w:hAnsiTheme="minorHAnsi" w:cstheme="minorHAnsi"/>
          <w:i/>
          <w:sz w:val="22"/>
          <w:szCs w:val="22"/>
        </w:rPr>
        <w:t>papiera na regulovanom trhu a jeho nominálnou hodnotou. Emisné ážio môžeme tiež označiť ako akýsi emisný príplatok k nominálnej hodnote. Dôvodom je, že investícia predpokladá určitú výnosnosť, ktorá však ani nemusí nastať).</w:t>
      </w:r>
    </w:p>
    <w:p w:rsidR="00325ECF" w:rsidRPr="00325ECF" w:rsidRDefault="001E2E1C" w:rsidP="00382425">
      <w:pPr>
        <w:autoSpaceDE/>
        <w:autoSpaceDN/>
        <w:spacing w:before="120"/>
        <w:ind w:left="284" w:hanging="284"/>
        <w:jc w:val="both"/>
        <w:rPr>
          <w:rFonts w:asciiTheme="minorHAnsi" w:eastAsiaTheme="minorHAnsi" w:hAnsiTheme="minorHAnsi" w:cstheme="minorHAnsi"/>
          <w:sz w:val="22"/>
          <w:szCs w:val="22"/>
        </w:rPr>
      </w:pPr>
      <w:r>
        <w:rPr>
          <w:rFonts w:asciiTheme="minorHAnsi" w:eastAsiaTheme="minorHAnsi" w:hAnsiTheme="minorHAnsi" w:cstheme="minorHAnsi"/>
          <w:b/>
          <w:sz w:val="22"/>
          <w:szCs w:val="22"/>
        </w:rPr>
        <w:t xml:space="preserve">B. </w:t>
      </w:r>
      <w:r w:rsidR="00247E05">
        <w:rPr>
          <w:rFonts w:asciiTheme="minorHAnsi" w:eastAsiaTheme="minorHAnsi" w:hAnsiTheme="minorHAnsi" w:cstheme="minorHAnsi"/>
          <w:b/>
          <w:sz w:val="22"/>
          <w:szCs w:val="22"/>
        </w:rPr>
        <w:t xml:space="preserve"> </w:t>
      </w:r>
      <w:r w:rsidR="00325ECF" w:rsidRPr="001E2E1C">
        <w:rPr>
          <w:rFonts w:asciiTheme="minorHAnsi" w:eastAsiaTheme="minorHAnsi" w:hAnsiTheme="minorHAnsi" w:cstheme="minorHAnsi"/>
          <w:b/>
          <w:sz w:val="22"/>
          <w:szCs w:val="22"/>
        </w:rPr>
        <w:t>V prípade spoločnosti, v ktorej aspoň niektorí spoločníci majú neobmedzené ručenie za dlh spoločnosti</w:t>
      </w:r>
      <w:r w:rsidR="00325ECF" w:rsidRPr="00325ECF">
        <w:rPr>
          <w:rFonts w:asciiTheme="minorHAnsi" w:eastAsiaTheme="minorHAnsi" w:hAnsiTheme="minorHAnsi" w:cstheme="minorHAnsi"/>
          <w:sz w:val="22"/>
          <w:szCs w:val="22"/>
        </w:rPr>
        <w:t xml:space="preserve"> (</w:t>
      </w:r>
      <w:r w:rsidR="00325ECF" w:rsidRPr="00325ECF">
        <w:rPr>
          <w:rFonts w:asciiTheme="minorHAnsi" w:eastAsiaTheme="minorHAnsi" w:hAnsiTheme="minorHAnsi" w:cstheme="minorHAnsi"/>
          <w:sz w:val="22"/>
          <w:szCs w:val="22"/>
          <w:u w:val="single"/>
        </w:rPr>
        <w:t xml:space="preserve">inej ako MSP, ktorý existuje </w:t>
      </w:r>
      <w:r w:rsidR="00325ECF" w:rsidRPr="007A7AFD">
        <w:rPr>
          <w:rFonts w:asciiTheme="minorHAnsi" w:eastAsiaTheme="minorHAnsi" w:hAnsiTheme="minorHAnsi" w:cstheme="minorHAnsi"/>
          <w:sz w:val="22"/>
          <w:szCs w:val="22"/>
          <w:u w:val="single"/>
        </w:rPr>
        <w:t>menej ako tri roky</w:t>
      </w:r>
      <w:r w:rsidR="00325ECF" w:rsidRPr="00325ECF">
        <w:rPr>
          <w:rFonts w:asciiTheme="minorHAnsi" w:eastAsiaTheme="minorHAnsi" w:hAnsiTheme="minorHAnsi" w:cstheme="minorHAnsi"/>
          <w:sz w:val="22"/>
          <w:szCs w:val="22"/>
        </w:rPr>
        <w:t xml:space="preserve">, alebo, na účely oprávnenosti na pomoc vo forme rizikového financovania, MSP ktorý spĺňa podmienku z článku 21 ods. 3 písm. b) nariadenia </w:t>
      </w:r>
      <w:r w:rsidR="00325ECF">
        <w:rPr>
          <w:rFonts w:asciiTheme="minorHAnsi" w:eastAsiaTheme="minorHAnsi" w:hAnsiTheme="minorHAnsi" w:cstheme="minorHAnsi"/>
          <w:sz w:val="22"/>
          <w:szCs w:val="22"/>
        </w:rPr>
        <w:t xml:space="preserve">(EÚ) </w:t>
      </w:r>
      <w:r w:rsidR="00382425">
        <w:rPr>
          <w:rFonts w:asciiTheme="minorHAnsi" w:eastAsiaTheme="minorHAnsi" w:hAnsiTheme="minorHAnsi" w:cstheme="minorHAnsi"/>
          <w:sz w:val="22"/>
          <w:szCs w:val="22"/>
        </w:rPr>
        <w:t xml:space="preserve">                   </w:t>
      </w:r>
      <w:r w:rsidR="00325ECF">
        <w:rPr>
          <w:rFonts w:asciiTheme="minorHAnsi" w:eastAsiaTheme="minorHAnsi" w:hAnsiTheme="minorHAnsi" w:cstheme="minorHAnsi"/>
          <w:sz w:val="22"/>
          <w:szCs w:val="22"/>
        </w:rPr>
        <w:t>č. 651/2014, c</w:t>
      </w:r>
      <w:r w:rsidR="00325ECF" w:rsidRPr="00325ECF">
        <w:rPr>
          <w:rFonts w:asciiTheme="minorHAnsi" w:eastAsiaTheme="minorHAnsi" w:hAnsiTheme="minorHAnsi" w:cstheme="minorHAnsi"/>
          <w:sz w:val="22"/>
          <w:szCs w:val="22"/>
        </w:rPr>
        <w:t>it.:</w:t>
      </w:r>
      <w:r w:rsidR="00325ECF" w:rsidRPr="00325ECF">
        <w:rPr>
          <w:rFonts w:asciiTheme="minorHAnsi" w:eastAsiaTheme="minorHAnsi" w:hAnsiTheme="minorHAnsi" w:cstheme="minorHAnsi"/>
          <w:i/>
          <w:sz w:val="22"/>
          <w:szCs w:val="22"/>
        </w:rPr>
        <w:t xml:space="preserve"> </w:t>
      </w:r>
    </w:p>
    <w:p w:rsidR="00325ECF" w:rsidRPr="00325ECF" w:rsidRDefault="00B3383A" w:rsidP="00382425">
      <w:pPr>
        <w:autoSpaceDE/>
        <w:autoSpaceDN/>
        <w:ind w:left="284"/>
        <w:jc w:val="both"/>
        <w:rPr>
          <w:rFonts w:asciiTheme="minorHAnsi" w:eastAsiaTheme="minorHAnsi" w:hAnsiTheme="minorHAnsi" w:cstheme="minorHAnsi"/>
          <w:sz w:val="22"/>
          <w:szCs w:val="22"/>
        </w:rPr>
      </w:pPr>
      <w:r>
        <w:rPr>
          <w:rFonts w:asciiTheme="minorHAnsi" w:eastAsiaTheme="minorHAnsi" w:hAnsiTheme="minorHAnsi" w:cstheme="minorHAnsi"/>
          <w:i/>
          <w:sz w:val="22"/>
          <w:szCs w:val="22"/>
        </w:rPr>
        <w:t>„</w:t>
      </w:r>
      <w:r w:rsidR="00325ECF" w:rsidRPr="00325ECF">
        <w:rPr>
          <w:rFonts w:asciiTheme="minorHAnsi" w:eastAsiaTheme="minorHAnsi" w:hAnsiTheme="minorHAnsi" w:cstheme="minorHAnsi"/>
          <w:i/>
          <w:sz w:val="22"/>
          <w:szCs w:val="22"/>
        </w:rPr>
        <w:t>pôsobili na akomkoľvek trhu:</w:t>
      </w:r>
    </w:p>
    <w:p w:rsidR="00325ECF" w:rsidRPr="00325ECF" w:rsidRDefault="00325ECF" w:rsidP="00382425">
      <w:pPr>
        <w:ind w:left="284"/>
        <w:jc w:val="both"/>
        <w:rPr>
          <w:rFonts w:asciiTheme="minorHAnsi" w:eastAsiaTheme="minorHAnsi" w:hAnsiTheme="minorHAnsi" w:cstheme="minorHAnsi"/>
          <w:i/>
          <w:sz w:val="22"/>
          <w:szCs w:val="22"/>
        </w:rPr>
      </w:pPr>
      <w:r w:rsidRPr="00325ECF">
        <w:rPr>
          <w:rFonts w:asciiTheme="minorHAnsi" w:eastAsiaTheme="minorHAnsi" w:hAnsiTheme="minorHAnsi" w:cstheme="minorHAnsi"/>
          <w:i/>
          <w:sz w:val="22"/>
          <w:szCs w:val="22"/>
        </w:rPr>
        <w:t>i) menej ako 10 rokov po registrácii alebo</w:t>
      </w:r>
    </w:p>
    <w:p w:rsidR="00325ECF" w:rsidRPr="00325ECF" w:rsidRDefault="00325ECF" w:rsidP="00382425">
      <w:pPr>
        <w:ind w:left="284"/>
        <w:jc w:val="both"/>
        <w:rPr>
          <w:rFonts w:asciiTheme="minorHAnsi" w:eastAsiaTheme="minorHAnsi" w:hAnsiTheme="minorHAnsi" w:cstheme="minorHAnsi"/>
          <w:i/>
          <w:sz w:val="22"/>
          <w:szCs w:val="22"/>
        </w:rPr>
      </w:pPr>
      <w:r w:rsidRPr="00325ECF">
        <w:rPr>
          <w:rFonts w:asciiTheme="minorHAnsi" w:eastAsiaTheme="minorHAnsi" w:hAnsiTheme="minorHAnsi" w:cstheme="minorHAnsi"/>
          <w:i/>
          <w:sz w:val="22"/>
          <w:szCs w:val="22"/>
        </w:rPr>
        <w:t>ii) menej ako sedem rokov po prvom obchodnom predaji.</w:t>
      </w:r>
    </w:p>
    <w:p w:rsidR="00B3383A" w:rsidRDefault="00325ECF" w:rsidP="00382425">
      <w:pPr>
        <w:ind w:left="284"/>
        <w:jc w:val="both"/>
        <w:rPr>
          <w:rFonts w:asciiTheme="minorHAnsi" w:eastAsiaTheme="minorHAnsi" w:hAnsiTheme="minorHAnsi" w:cstheme="minorHAnsi"/>
          <w:i/>
          <w:sz w:val="22"/>
          <w:szCs w:val="22"/>
        </w:rPr>
      </w:pPr>
      <w:r w:rsidRPr="00325ECF">
        <w:rPr>
          <w:rFonts w:asciiTheme="minorHAnsi" w:eastAsiaTheme="minorHAnsi" w:hAnsiTheme="minorHAnsi" w:cstheme="minorHAnsi"/>
          <w:i/>
          <w:sz w:val="22"/>
          <w:szCs w:val="22"/>
        </w:rPr>
        <w:t>Ak sa na daný podnik uplatnilo jedno z období oprávnenosti uvedených v bodoch i) a ii), na akúkoľvek následnú pomoc vo forme rizikového financovania pre ten istý podnik možno takisto uplatniť len toto obdobie. V prípade podnikov, ktoré nadobudli iný podnik alebo vznikli v dôsledku fúzie, zahŕňa obdobie oprávnenosti aj pôsobenie nadobudnutého podniku, resp. zlúčených podnikov, s výnimkou  takých nadobudnutých alebo zlúčených podnikov, ktorých obrat je menej ako 10 % obratu nadobúdajúceho podniku za finančný rok predchádzajúci nadobudnutiu alebo,  v prípade podnikov, ktoré vznikli v dôsledku fúzie, menej ako 10 % spoločného obratu podnikov, ktoré sú účastníkmi fúzie, za finančný rok predchádzajúci fúzii. Pokiaľ ide o obdobie oprávnenosti uvedené v bode i), ak sa uplatní, v prípade podnikov, na ktoré sa nevzťahuje povinný zápis do obchodného registra, sa za začiatok obdobia oprávnenosti považuje buď okamih, keď podnik začne vykonávať svoju hospodársku činnosť, alebo okamih, keď mu vzhľadom na jeho hospodársku činnosť vznikne daňová povinnosť, podľa toho, čo nastane skôr;</w:t>
      </w:r>
      <w:r w:rsidR="00B3383A">
        <w:rPr>
          <w:rFonts w:asciiTheme="minorHAnsi" w:eastAsiaTheme="minorHAnsi" w:hAnsiTheme="minorHAnsi" w:cstheme="minorHAnsi"/>
          <w:i/>
          <w:sz w:val="22"/>
          <w:szCs w:val="22"/>
        </w:rPr>
        <w:t>“</w:t>
      </w:r>
      <w:r w:rsidRPr="00325ECF">
        <w:rPr>
          <w:rFonts w:asciiTheme="minorHAnsi" w:eastAsiaTheme="minorHAnsi" w:hAnsiTheme="minorHAnsi" w:cstheme="minorHAnsi"/>
          <w:i/>
          <w:sz w:val="22"/>
          <w:szCs w:val="22"/>
        </w:rPr>
        <w:t xml:space="preserve"> </w:t>
      </w:r>
    </w:p>
    <w:p w:rsidR="00325ECF" w:rsidRPr="001E2E1C" w:rsidRDefault="00325ECF" w:rsidP="00382425">
      <w:pPr>
        <w:ind w:left="284"/>
        <w:jc w:val="both"/>
        <w:rPr>
          <w:rFonts w:asciiTheme="minorHAnsi" w:eastAsiaTheme="minorHAnsi" w:hAnsiTheme="minorHAnsi" w:cstheme="minorHAnsi"/>
          <w:b/>
          <w:sz w:val="22"/>
          <w:szCs w:val="22"/>
        </w:rPr>
      </w:pPr>
      <w:r w:rsidRPr="00325ECF">
        <w:rPr>
          <w:rFonts w:asciiTheme="minorHAnsi" w:eastAsiaTheme="minorHAnsi" w:hAnsiTheme="minorHAnsi" w:cstheme="minorHAnsi"/>
          <w:sz w:val="22"/>
          <w:szCs w:val="22"/>
        </w:rPr>
        <w:t xml:space="preserve">a požiadavky rizikových finančných investícií v nadväznosti na hĺbkovú analýzu vykonanú vybratým finančným sprostredkovateľom), </w:t>
      </w:r>
      <w:r w:rsidRPr="0077790E">
        <w:rPr>
          <w:rFonts w:asciiTheme="minorHAnsi" w:eastAsiaTheme="minorHAnsi" w:hAnsiTheme="minorHAnsi" w:cstheme="minorHAnsi"/>
          <w:b/>
          <w:sz w:val="22"/>
          <w:szCs w:val="22"/>
        </w:rPr>
        <w:t>ak v dôsledku akumulovaných strát došlo k zániku viac ako polovice jej imania, ako je zaznamenané v účtovnej závierke spoločnosti.</w:t>
      </w:r>
      <w:r w:rsidRPr="00325ECF">
        <w:rPr>
          <w:rFonts w:asciiTheme="minorHAnsi" w:eastAsiaTheme="minorHAnsi" w:hAnsiTheme="minorHAnsi" w:cstheme="minorHAnsi"/>
          <w:sz w:val="22"/>
          <w:szCs w:val="22"/>
        </w:rPr>
        <w:t xml:space="preserve"> Na účely tohto ustanovenia </w:t>
      </w:r>
      <w:r w:rsidRPr="00B3383A">
        <w:rPr>
          <w:rFonts w:asciiTheme="minorHAnsi" w:eastAsiaTheme="minorHAnsi" w:hAnsiTheme="minorHAnsi" w:cstheme="minorHAnsi"/>
          <w:i/>
          <w:sz w:val="22"/>
          <w:szCs w:val="22"/>
        </w:rPr>
        <w:t xml:space="preserve">„spoločnosť, v ktorej aspoň niektorí spoločníci majú neobmedzené ručenie za dlh </w:t>
      </w:r>
      <w:r w:rsidRPr="001E2E1C">
        <w:rPr>
          <w:rFonts w:asciiTheme="minorHAnsi" w:eastAsiaTheme="minorHAnsi" w:hAnsiTheme="minorHAnsi" w:cstheme="minorHAnsi"/>
          <w:i/>
          <w:sz w:val="22"/>
          <w:szCs w:val="22"/>
        </w:rPr>
        <w:t>spoločnosti“</w:t>
      </w:r>
      <w:r w:rsidRPr="001E2E1C">
        <w:rPr>
          <w:rFonts w:asciiTheme="minorHAnsi" w:eastAsiaTheme="minorHAnsi" w:hAnsiTheme="minorHAnsi" w:cstheme="minorHAnsi"/>
          <w:sz w:val="22"/>
          <w:szCs w:val="22"/>
        </w:rPr>
        <w:t xml:space="preserve"> znamená najmä tie druhy spoločností, ktoré sú uvedené v prílohe II k smernici (EÚ)</w:t>
      </w:r>
      <w:r w:rsidR="00C04ECD">
        <w:rPr>
          <w:rFonts w:asciiTheme="minorHAnsi" w:eastAsiaTheme="minorHAnsi" w:hAnsiTheme="minorHAnsi" w:cstheme="minorHAnsi"/>
          <w:sz w:val="22"/>
          <w:szCs w:val="22"/>
        </w:rPr>
        <w:t xml:space="preserve"> </w:t>
      </w:r>
      <w:r w:rsidRPr="001E2E1C">
        <w:rPr>
          <w:rFonts w:asciiTheme="minorHAnsi" w:eastAsiaTheme="minorHAnsi" w:hAnsiTheme="minorHAnsi" w:cstheme="minorHAnsi"/>
          <w:sz w:val="22"/>
          <w:szCs w:val="22"/>
        </w:rPr>
        <w:t>č. 2013/34/EÚ</w:t>
      </w:r>
      <w:r w:rsidR="000112FF" w:rsidRPr="001E2E1C">
        <w:rPr>
          <w:rFonts w:asciiTheme="minorHAnsi" w:eastAsiaTheme="minorHAnsi" w:hAnsiTheme="minorHAnsi" w:cstheme="minorHAnsi"/>
          <w:sz w:val="22"/>
          <w:szCs w:val="22"/>
        </w:rPr>
        <w:t xml:space="preserve"> </w:t>
      </w:r>
      <w:r w:rsidR="00B3383A" w:rsidRPr="001E2E1C">
        <w:rPr>
          <w:rStyle w:val="Odkaznapoznmkupodiarou"/>
          <w:rFonts w:eastAsiaTheme="minorHAnsi" w:cstheme="minorHAnsi"/>
          <w:sz w:val="22"/>
          <w:szCs w:val="22"/>
        </w:rPr>
        <w:footnoteReference w:id="2"/>
      </w:r>
      <w:r w:rsidR="000112FF" w:rsidRPr="001E2E1C">
        <w:rPr>
          <w:rFonts w:asciiTheme="minorHAnsi" w:eastAsiaTheme="minorHAnsi" w:hAnsiTheme="minorHAnsi" w:cstheme="minorHAnsi"/>
          <w:sz w:val="22"/>
          <w:szCs w:val="22"/>
        </w:rPr>
        <w:t>.</w:t>
      </w:r>
    </w:p>
    <w:p w:rsidR="001E2E1C" w:rsidRDefault="001E2E1C" w:rsidP="00382425">
      <w:pPr>
        <w:autoSpaceDE/>
        <w:autoSpaceDN/>
        <w:spacing w:before="120"/>
        <w:ind w:left="284" w:hanging="284"/>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C. </w:t>
      </w:r>
      <w:r w:rsidR="00EF6541">
        <w:rPr>
          <w:rFonts w:asciiTheme="minorHAnsi" w:eastAsiaTheme="minorHAnsi" w:hAnsiTheme="minorHAnsi" w:cstheme="minorHAnsi"/>
          <w:b/>
          <w:sz w:val="22"/>
          <w:szCs w:val="22"/>
        </w:rPr>
        <w:t xml:space="preserve"> </w:t>
      </w:r>
      <w:r w:rsidR="00325ECF" w:rsidRPr="001E2E1C">
        <w:rPr>
          <w:rFonts w:asciiTheme="minorHAnsi" w:eastAsiaTheme="minorHAnsi" w:hAnsiTheme="minorHAnsi" w:cstheme="minorHAnsi"/>
          <w:b/>
          <w:sz w:val="22"/>
          <w:szCs w:val="22"/>
        </w:rPr>
        <w:t>Keď je podnik predmetom kolektívneho konkurzného konania alebo spĺňa kritériá domácich právnych predpisov na to, aby sa stal predmetom kolektívneho konkurzného konania na žiadosť svojich veriteľov.</w:t>
      </w:r>
    </w:p>
    <w:p w:rsidR="00325ECF" w:rsidRPr="001E2E1C" w:rsidRDefault="001E2E1C" w:rsidP="00382425">
      <w:pPr>
        <w:autoSpaceDE/>
        <w:autoSpaceDN/>
        <w:spacing w:before="120"/>
        <w:ind w:left="284" w:hanging="284"/>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D.  </w:t>
      </w:r>
      <w:r w:rsidR="00325ECF" w:rsidRPr="001E2E1C">
        <w:rPr>
          <w:rFonts w:asciiTheme="minorHAnsi" w:eastAsiaTheme="minorHAnsi" w:hAnsiTheme="minorHAnsi" w:cstheme="minorHAnsi"/>
          <w:b/>
          <w:sz w:val="22"/>
          <w:szCs w:val="22"/>
        </w:rPr>
        <w:t>Keď podnik dostal pomoc na záchranu a ešte neuhradil úver alebo nevypovedal záruku, alebo ak dostal pomoc na reštrukturalizáciu a stále podlieha reštrukturalizačnému plánu</w:t>
      </w:r>
      <w:r w:rsidR="00325ECF" w:rsidRPr="001E2E1C">
        <w:rPr>
          <w:rFonts w:asciiTheme="minorHAnsi" w:eastAsiaTheme="minorHAnsi" w:hAnsiTheme="minorHAnsi" w:cstheme="minorHAnsi"/>
          <w:sz w:val="22"/>
          <w:szCs w:val="22"/>
        </w:rPr>
        <w:t>.</w:t>
      </w:r>
    </w:p>
    <w:p w:rsidR="00325ECF" w:rsidRPr="00247E05" w:rsidRDefault="001E2E1C" w:rsidP="00382425">
      <w:pPr>
        <w:autoSpaceDE/>
        <w:autoSpaceDN/>
        <w:spacing w:before="120"/>
        <w:ind w:left="284" w:hanging="284"/>
        <w:jc w:val="both"/>
        <w:rPr>
          <w:rFonts w:asciiTheme="minorHAnsi" w:eastAsiaTheme="minorHAnsi" w:hAnsiTheme="minorHAnsi" w:cstheme="minorHAnsi"/>
          <w:b/>
          <w:sz w:val="22"/>
          <w:szCs w:val="22"/>
        </w:rPr>
      </w:pPr>
      <w:r w:rsidRPr="00247E05">
        <w:rPr>
          <w:rFonts w:asciiTheme="minorHAnsi" w:eastAsiaTheme="minorHAnsi" w:hAnsiTheme="minorHAnsi" w:cstheme="minorHAnsi"/>
          <w:b/>
          <w:sz w:val="22"/>
          <w:szCs w:val="22"/>
        </w:rPr>
        <w:t xml:space="preserve">E. </w:t>
      </w:r>
      <w:r w:rsidR="00EF6541">
        <w:rPr>
          <w:rFonts w:asciiTheme="minorHAnsi" w:eastAsiaTheme="minorHAnsi" w:hAnsiTheme="minorHAnsi" w:cstheme="minorHAnsi"/>
          <w:b/>
          <w:sz w:val="22"/>
          <w:szCs w:val="22"/>
        </w:rPr>
        <w:t xml:space="preserve"> </w:t>
      </w:r>
      <w:r w:rsidR="00325ECF" w:rsidRPr="00247E05">
        <w:rPr>
          <w:rFonts w:asciiTheme="minorHAnsi" w:eastAsiaTheme="minorHAnsi" w:hAnsiTheme="minorHAnsi" w:cstheme="minorHAnsi"/>
          <w:b/>
          <w:sz w:val="22"/>
          <w:szCs w:val="22"/>
        </w:rPr>
        <w:t>V prípade podniku, ktorý nie je MSP, keď za posledné dva roky:</w:t>
      </w:r>
    </w:p>
    <w:p w:rsidR="00D45F5F" w:rsidRPr="00D45F5F" w:rsidRDefault="00325ECF" w:rsidP="00382425">
      <w:pPr>
        <w:numPr>
          <w:ilvl w:val="1"/>
          <w:numId w:val="8"/>
        </w:numPr>
        <w:autoSpaceDE/>
        <w:autoSpaceDN/>
        <w:ind w:left="567" w:hanging="141"/>
        <w:jc w:val="both"/>
        <w:rPr>
          <w:rFonts w:asciiTheme="minorHAnsi" w:eastAsiaTheme="minorHAnsi" w:hAnsiTheme="minorHAnsi" w:cstheme="minorHAnsi"/>
          <w:sz w:val="22"/>
          <w:szCs w:val="22"/>
        </w:rPr>
      </w:pPr>
      <w:r w:rsidRPr="00247E05">
        <w:rPr>
          <w:rFonts w:asciiTheme="minorHAnsi" w:eastAsiaTheme="minorHAnsi" w:hAnsiTheme="minorHAnsi" w:cstheme="minorHAnsi"/>
          <w:b/>
          <w:sz w:val="22"/>
          <w:szCs w:val="22"/>
        </w:rPr>
        <w:t>účtovný pomer dlhu podniku k vlastnému kapitálu je vyšší než 7,5</w:t>
      </w:r>
    </w:p>
    <w:p w:rsidR="00D45F5F" w:rsidRPr="00D45F5F" w:rsidRDefault="00D45F5F" w:rsidP="00382425">
      <w:pPr>
        <w:autoSpaceDE/>
        <w:autoSpaceDN/>
        <w:ind w:firstLine="567"/>
        <w:jc w:val="both"/>
        <w:rPr>
          <w:rFonts w:asciiTheme="minorHAnsi" w:eastAsiaTheme="minorHAnsi" w:hAnsiTheme="minorHAnsi" w:cstheme="minorHAnsi"/>
          <w:sz w:val="22"/>
          <w:szCs w:val="22"/>
        </w:rPr>
      </w:pPr>
      <w:r w:rsidRPr="00D45F5F">
        <w:rPr>
          <w:rFonts w:asciiTheme="minorHAnsi" w:eastAsiaTheme="minorHAnsi" w:hAnsiTheme="minorHAnsi" w:cstheme="minorHAnsi"/>
          <w:sz w:val="22"/>
          <w:szCs w:val="22"/>
        </w:rPr>
        <w:t xml:space="preserve">a </w:t>
      </w:r>
    </w:p>
    <w:p w:rsidR="00C62AA2" w:rsidRPr="00C62AA2" w:rsidRDefault="00325ECF" w:rsidP="00382425">
      <w:pPr>
        <w:numPr>
          <w:ilvl w:val="1"/>
          <w:numId w:val="8"/>
        </w:numPr>
        <w:autoSpaceDE/>
        <w:autoSpaceDN/>
        <w:ind w:left="567" w:hanging="141"/>
        <w:jc w:val="both"/>
        <w:rPr>
          <w:rFonts w:asciiTheme="minorHAnsi" w:eastAsiaTheme="minorHAnsi" w:hAnsiTheme="minorHAnsi" w:cstheme="minorHAnsi"/>
          <w:sz w:val="22"/>
          <w:szCs w:val="22"/>
        </w:rPr>
      </w:pPr>
      <w:r w:rsidRPr="00D45F5F">
        <w:rPr>
          <w:rFonts w:asciiTheme="minorHAnsi" w:eastAsiaTheme="minorHAnsi" w:hAnsiTheme="minorHAnsi" w:cstheme="minorHAnsi"/>
          <w:b/>
          <w:sz w:val="22"/>
          <w:szCs w:val="22"/>
        </w:rPr>
        <w:t>pomer EBITDA podniku k úr</w:t>
      </w:r>
      <w:r w:rsidR="001E2E1C" w:rsidRPr="00D45F5F">
        <w:rPr>
          <w:rFonts w:asciiTheme="minorHAnsi" w:eastAsiaTheme="minorHAnsi" w:hAnsiTheme="minorHAnsi" w:cstheme="minorHAnsi"/>
          <w:b/>
          <w:sz w:val="22"/>
          <w:szCs w:val="22"/>
        </w:rPr>
        <w:t xml:space="preserve">okovému krytiu je nižší ako 1,0 </w:t>
      </w:r>
    </w:p>
    <w:p w:rsidR="00C62AA2" w:rsidRDefault="00C62AA2" w:rsidP="00C62AA2">
      <w:pPr>
        <w:autoSpaceDE/>
        <w:autoSpaceDN/>
        <w:ind w:left="567"/>
        <w:jc w:val="both"/>
        <w:rPr>
          <w:rFonts w:asciiTheme="minorHAnsi" w:eastAsiaTheme="minorEastAsia" w:hAnsiTheme="minorHAnsi" w:cstheme="minorHAnsi"/>
          <w:b/>
          <w:i/>
          <w:sz w:val="22"/>
          <w:szCs w:val="22"/>
        </w:rPr>
      </w:pPr>
      <w:r w:rsidRPr="00C62AA2">
        <w:rPr>
          <w:rFonts w:asciiTheme="minorHAnsi" w:eastAsiaTheme="minorEastAsia" w:hAnsiTheme="minorHAnsi" w:cstheme="minorHAnsi"/>
          <w:b/>
          <w:i/>
          <w:sz w:val="22"/>
          <w:szCs w:val="22"/>
        </w:rPr>
        <w:lastRenderedPageBreak/>
        <w:t>Poznámka</w:t>
      </w:r>
    </w:p>
    <w:p w:rsidR="00325ECF" w:rsidRPr="00D45F5F" w:rsidRDefault="00C62AA2" w:rsidP="00C62AA2">
      <w:pPr>
        <w:autoSpaceDE/>
        <w:autoSpaceDN/>
        <w:ind w:left="567"/>
        <w:jc w:val="both"/>
        <w:rPr>
          <w:rFonts w:asciiTheme="minorHAnsi" w:eastAsiaTheme="minorHAnsi" w:hAnsiTheme="minorHAnsi" w:cstheme="minorHAnsi"/>
          <w:sz w:val="22"/>
          <w:szCs w:val="22"/>
        </w:rPr>
      </w:pPr>
      <w:r w:rsidRPr="00C62AA2">
        <w:rPr>
          <w:rFonts w:asciiTheme="minorHAnsi" w:eastAsiaTheme="minorHAnsi" w:hAnsiTheme="minorHAnsi" w:cstheme="minorHAnsi"/>
          <w:i/>
          <w:sz w:val="22"/>
          <w:szCs w:val="22"/>
        </w:rPr>
        <w:t xml:space="preserve">EBITDA </w:t>
      </w:r>
      <w:r w:rsidR="001E2E1C" w:rsidRPr="00D45F5F">
        <w:rPr>
          <w:rFonts w:asciiTheme="minorHAnsi" w:eastAsiaTheme="minorHAnsi" w:hAnsiTheme="minorHAnsi" w:cstheme="minorHAnsi"/>
          <w:i/>
          <w:sz w:val="22"/>
          <w:szCs w:val="22"/>
        </w:rPr>
        <w:t>(Earnings Before Interest, Taxes, Depreciation and Amortization</w:t>
      </w:r>
      <w:r>
        <w:rPr>
          <w:rFonts w:asciiTheme="minorHAnsi" w:eastAsiaTheme="minorHAnsi" w:hAnsiTheme="minorHAnsi" w:cstheme="minorHAnsi"/>
          <w:i/>
          <w:sz w:val="22"/>
          <w:szCs w:val="22"/>
        </w:rPr>
        <w:t>)</w:t>
      </w:r>
      <w:r w:rsidR="001E2E1C" w:rsidRPr="00D45F5F">
        <w:rPr>
          <w:rFonts w:asciiTheme="minorHAnsi" w:eastAsiaTheme="minorHAnsi" w:hAnsiTheme="minorHAnsi" w:cstheme="minorHAnsi"/>
          <w:i/>
          <w:sz w:val="22"/>
          <w:szCs w:val="22"/>
        </w:rPr>
        <w:t xml:space="preserve"> - zisk pred úrokmi, daňami, odpismi a amortizáciou. Ide o ukazovateľ hrubého zisku s odpočítaním režijných nákladov spoločnosti. EBITDA je široko používanou metrikou ziskovosti spoločnosti a je možné ju použiť na porovnanie spoločností voči sebe či voči priemeru priemyslu).</w:t>
      </w:r>
    </w:p>
    <w:p w:rsidR="00677104" w:rsidRPr="001E58F2" w:rsidRDefault="00677104" w:rsidP="00382425">
      <w:pPr>
        <w:rPr>
          <w:rFonts w:asciiTheme="minorHAnsi" w:hAnsiTheme="minorHAnsi" w:cstheme="minorHAnsi"/>
          <w:b/>
          <w:sz w:val="22"/>
          <w:szCs w:val="22"/>
        </w:rPr>
      </w:pPr>
    </w:p>
    <w:p w:rsidR="00247E05" w:rsidRPr="001E58F2" w:rsidRDefault="00247E05" w:rsidP="00382425">
      <w:pPr>
        <w:rPr>
          <w:rFonts w:asciiTheme="minorHAnsi" w:hAnsiTheme="minorHAnsi" w:cstheme="minorHAnsi"/>
          <w:b/>
          <w:sz w:val="22"/>
          <w:szCs w:val="22"/>
        </w:rPr>
      </w:pPr>
      <w:r w:rsidRPr="001E58F2">
        <w:rPr>
          <w:rFonts w:asciiTheme="minorHAnsi" w:hAnsiTheme="minorHAnsi" w:cstheme="minorHAnsi"/>
          <w:b/>
          <w:sz w:val="22"/>
          <w:szCs w:val="22"/>
        </w:rPr>
        <w:t xml:space="preserve">2. </w:t>
      </w:r>
      <w:r w:rsidR="00903F6B" w:rsidRPr="001E58F2">
        <w:rPr>
          <w:rFonts w:asciiTheme="minorHAnsi" w:hAnsiTheme="minorHAnsi" w:cstheme="minorHAnsi"/>
          <w:b/>
          <w:sz w:val="22"/>
          <w:szCs w:val="22"/>
        </w:rPr>
        <w:t xml:space="preserve"> </w:t>
      </w:r>
      <w:r w:rsidR="001E58F2">
        <w:rPr>
          <w:rFonts w:asciiTheme="minorHAnsi" w:hAnsiTheme="minorHAnsi" w:cstheme="minorHAnsi"/>
          <w:b/>
          <w:sz w:val="22"/>
          <w:szCs w:val="22"/>
        </w:rPr>
        <w:t xml:space="preserve"> </w:t>
      </w:r>
      <w:sdt>
        <w:sdtPr>
          <w:rPr>
            <w:rFonts w:asciiTheme="minorHAnsi" w:hAnsiTheme="minorHAnsi" w:cstheme="minorHAnsi"/>
            <w:b/>
            <w:sz w:val="22"/>
            <w:szCs w:val="22"/>
          </w:rPr>
          <w:id w:val="-524401823"/>
          <w14:checkbox>
            <w14:checked w14:val="0"/>
            <w14:checkedState w14:val="2612" w14:font="MS Gothic"/>
            <w14:uncheckedState w14:val="2610" w14:font="MS Gothic"/>
          </w14:checkbox>
        </w:sdtPr>
        <w:sdtEndPr/>
        <w:sdtContent>
          <w:r w:rsidR="00D74C7D">
            <w:rPr>
              <w:rFonts w:ascii="MS Gothic" w:eastAsia="MS Gothic" w:hAnsi="MS Gothic" w:cstheme="minorHAnsi" w:hint="eastAsia"/>
              <w:b/>
              <w:sz w:val="22"/>
              <w:szCs w:val="22"/>
            </w:rPr>
            <w:t>☐</w:t>
          </w:r>
        </w:sdtContent>
      </w:sdt>
      <w:r w:rsidR="001E58F2">
        <w:rPr>
          <w:rFonts w:asciiTheme="minorHAnsi" w:hAnsiTheme="minorHAnsi" w:cstheme="minorHAnsi"/>
          <w:b/>
          <w:sz w:val="22"/>
          <w:szCs w:val="22"/>
        </w:rPr>
        <w:t xml:space="preserve">   </w:t>
      </w:r>
      <w:r w:rsidR="00903F6B" w:rsidRPr="001E58F2">
        <w:rPr>
          <w:rFonts w:asciiTheme="minorHAnsi" w:hAnsiTheme="minorHAnsi" w:cstheme="minorHAnsi"/>
          <w:b/>
          <w:sz w:val="22"/>
          <w:szCs w:val="22"/>
        </w:rPr>
        <w:t>NIE JE ČLENOM</w:t>
      </w:r>
      <w:r w:rsidR="00903F6B" w:rsidRPr="001E58F2">
        <w:rPr>
          <w:rFonts w:asciiTheme="minorHAnsi" w:hAnsiTheme="minorHAnsi" w:cstheme="minorHAnsi"/>
          <w:sz w:val="22"/>
          <w:szCs w:val="22"/>
        </w:rPr>
        <w:t xml:space="preserve"> </w:t>
      </w:r>
      <w:r w:rsidR="00903F6B" w:rsidRPr="001E58F2">
        <w:rPr>
          <w:rFonts w:asciiTheme="minorHAnsi" w:hAnsiTheme="minorHAnsi" w:cstheme="minorHAnsi"/>
          <w:b/>
          <w:sz w:val="22"/>
          <w:szCs w:val="22"/>
        </w:rPr>
        <w:t>HOSPODÁRSKEJ JEDNOTKY</w:t>
      </w:r>
      <w:r w:rsidR="00903F6B" w:rsidRPr="001E58F2">
        <w:rPr>
          <w:rFonts w:asciiTheme="minorHAnsi" w:hAnsiTheme="minorHAnsi" w:cstheme="minorHAnsi"/>
          <w:sz w:val="22"/>
          <w:szCs w:val="22"/>
        </w:rPr>
        <w:t xml:space="preserve"> </w:t>
      </w:r>
      <w:r w:rsidR="000F2554" w:rsidRPr="001E58F2">
        <w:rPr>
          <w:rFonts w:asciiTheme="minorHAnsi" w:hAnsiTheme="minorHAnsi" w:cstheme="minorHAnsi"/>
          <w:sz w:val="22"/>
          <w:szCs w:val="22"/>
        </w:rPr>
        <w:t xml:space="preserve">                   </w:t>
      </w:r>
      <w:r w:rsidR="00903F6B" w:rsidRPr="001E58F2">
        <w:rPr>
          <w:rFonts w:asciiTheme="minorHAnsi" w:hAnsiTheme="minorHAnsi" w:cstheme="minorHAnsi"/>
          <w:sz w:val="22"/>
          <w:szCs w:val="22"/>
        </w:rPr>
        <w:t xml:space="preserve">    </w:t>
      </w:r>
    </w:p>
    <w:p w:rsidR="00247E05" w:rsidRDefault="001E58F2" w:rsidP="00382425">
      <w:pPr>
        <w:ind w:left="284"/>
        <w:rPr>
          <w:rFonts w:asciiTheme="minorHAnsi" w:hAnsiTheme="minorHAnsi" w:cstheme="minorHAnsi"/>
          <w:b/>
          <w:sz w:val="22"/>
          <w:szCs w:val="22"/>
        </w:rPr>
      </w:pPr>
      <w:r>
        <w:rPr>
          <w:rFonts w:asciiTheme="minorHAnsi" w:hAnsiTheme="minorHAnsi" w:cstheme="minorHAnsi"/>
          <w:b/>
          <w:sz w:val="22"/>
          <w:szCs w:val="22"/>
        </w:rPr>
        <w:t xml:space="preserve"> </w:t>
      </w:r>
      <w:sdt>
        <w:sdtPr>
          <w:rPr>
            <w:rFonts w:asciiTheme="minorHAnsi" w:hAnsiTheme="minorHAnsi" w:cstheme="minorHAnsi"/>
            <w:b/>
            <w:sz w:val="22"/>
            <w:szCs w:val="22"/>
          </w:rPr>
          <w:id w:val="967548494"/>
          <w14:checkbox>
            <w14:checked w14:val="0"/>
            <w14:checkedState w14:val="2612" w14:font="MS Gothic"/>
            <w14:uncheckedState w14:val="2610" w14:font="MS Gothic"/>
          </w14:checkbox>
        </w:sdtPr>
        <w:sdtEndPr/>
        <w:sdtContent>
          <w:r w:rsidR="00D74C7D">
            <w:rPr>
              <w:rFonts w:ascii="MS Gothic" w:eastAsia="MS Gothic" w:hAnsi="MS Gothic" w:cstheme="minorHAnsi" w:hint="eastAsia"/>
              <w:b/>
              <w:sz w:val="22"/>
              <w:szCs w:val="22"/>
            </w:rPr>
            <w:t>☐</w:t>
          </w:r>
        </w:sdtContent>
      </w:sdt>
      <w:r>
        <w:rPr>
          <w:rFonts w:asciiTheme="minorHAnsi" w:hAnsiTheme="minorHAnsi" w:cstheme="minorHAnsi"/>
          <w:b/>
          <w:sz w:val="22"/>
          <w:szCs w:val="22"/>
        </w:rPr>
        <w:t xml:space="preserve">   </w:t>
      </w:r>
      <w:r w:rsidR="00903F6B" w:rsidRPr="001E58F2">
        <w:rPr>
          <w:rFonts w:asciiTheme="minorHAnsi" w:hAnsiTheme="minorHAnsi" w:cstheme="minorHAnsi"/>
          <w:b/>
          <w:sz w:val="22"/>
          <w:szCs w:val="22"/>
        </w:rPr>
        <w:t>JE ČLENOM HOSPODÁRSKEJ JEDNOTKY</w:t>
      </w:r>
      <w:r w:rsidR="00C275EB">
        <w:rPr>
          <w:rFonts w:asciiTheme="minorHAnsi" w:hAnsiTheme="minorHAnsi" w:cstheme="minorHAnsi"/>
          <w:b/>
          <w:sz w:val="22"/>
          <w:szCs w:val="22"/>
        </w:rPr>
        <w:t xml:space="preserve"> </w:t>
      </w:r>
      <w:r w:rsidR="00903F6B" w:rsidRPr="00903F6B">
        <w:rPr>
          <w:rFonts w:asciiTheme="minorHAnsi" w:hAnsiTheme="minorHAnsi" w:cstheme="minorHAnsi"/>
          <w:sz w:val="22"/>
          <w:szCs w:val="22"/>
        </w:rPr>
        <w:t xml:space="preserve">    </w:t>
      </w:r>
    </w:p>
    <w:p w:rsidR="000F2554" w:rsidRPr="001E58F2" w:rsidRDefault="000F2554" w:rsidP="00382425">
      <w:pPr>
        <w:spacing w:before="120"/>
        <w:ind w:left="426"/>
        <w:jc w:val="both"/>
        <w:rPr>
          <w:rFonts w:asciiTheme="minorHAnsi" w:hAnsiTheme="minorHAnsi" w:cstheme="minorHAnsi"/>
          <w:b/>
          <w:sz w:val="22"/>
          <w:szCs w:val="22"/>
        </w:rPr>
      </w:pPr>
      <w:r w:rsidRPr="001E58F2">
        <w:rPr>
          <w:rFonts w:asciiTheme="minorHAnsi" w:hAnsiTheme="minorHAnsi" w:cstheme="minorHAnsi"/>
          <w:b/>
          <w:sz w:val="22"/>
          <w:szCs w:val="22"/>
        </w:rPr>
        <w:t>Vysvetlivky</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Hospodárskou jednotkou sú viaceré oddelené právne subjekty, ktoré majú kontrolné podiely a iné funkčné, hospodárske a organizačné prepojenia medzi sebou navzájom, čím vytvárajú jednu hospodársku jednotku, ktorá koná spoločne organizovane na trhu. Hospodárska jednotka má spoločný zdroj kontroly</w:t>
      </w:r>
      <w:r w:rsidRPr="001E58F2">
        <w:rPr>
          <w:rStyle w:val="Odkaznapoznmkupodiarou"/>
          <w:rFonts w:asciiTheme="minorHAnsi" w:hAnsiTheme="minorHAnsi" w:cstheme="minorHAnsi"/>
          <w:sz w:val="22"/>
          <w:szCs w:val="22"/>
        </w:rPr>
        <w:footnoteReference w:id="3"/>
      </w:r>
      <w:r w:rsidRPr="001E58F2">
        <w:rPr>
          <w:rFonts w:asciiTheme="minorHAnsi" w:hAnsiTheme="minorHAnsi" w:cstheme="minorHAnsi"/>
          <w:sz w:val="22"/>
          <w:szCs w:val="22"/>
        </w:rPr>
        <w:t>.</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Ide o skupinu podnikov (členov skupiny) medzi ktorými existujú majetkové, finančné, právne, alebo iné vzťahy (väzby), ktoré umožňujú jednému zdroju dominantným spôsobom ovplyvňovať všetky podniky v takejto skupine.</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 xml:space="preserve">Hospodárska jednotka sa zostavuje prostredníctvom vzťahov medzi právnickými osobami, ale aj prostredníctvom vzťahov fyzickej osoby, alebo skupiny fyzických osôb konajúcich spoločne (prepojenie podnikov cez fyzické osoby). </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Pri určovaní hospodárskej jednotky nie je relevantné miesto výkonu činností, resp. sídlo jednotlivých podnikov tvoriacich hospodársku jednotku, t. j. do skupiny sa zaraďujú aj podniky mimo územia SR.</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 xml:space="preserve">Keďže pre určenie skupiny podnikov je podstatný „spoločný zdroj kontroly“, nemali by sa sem zahŕňať také podniky, ktoré síce majú vzťah ku skupine (alebo naopak skupina má vzťah k podniku), avšak miera týchto vzťahov (napr. podiel na majetku alebo iné práva) neumožňuje skupine ovládať takýto podnik, alebo naopak. V bežnej praxi ide predovšetkým o vzťah dcérskej a materskej spoločnosti. </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 xml:space="preserve">Vo všeobecnosti je pri vzniku pochybností, či konkrétny vzťah medzi jednotlivými členmi skupiny, vrátane zohľadnenia pôsobenia fyzických osôb, zakladá hospodársku jednotku alebo nie, rozhodujúca rozhodovacia prax Súdneho dvora EÚ a v jej súvislosti aj rozhodovacia prax Európskej komisie. </w:t>
      </w:r>
    </w:p>
    <w:p w:rsidR="000F2554" w:rsidRDefault="000F2554" w:rsidP="00382425">
      <w:pPr>
        <w:rPr>
          <w:rFonts w:asciiTheme="minorHAnsi" w:hAnsiTheme="minorHAnsi" w:cstheme="minorHAnsi"/>
          <w:b/>
          <w:sz w:val="22"/>
          <w:szCs w:val="22"/>
        </w:rPr>
      </w:pPr>
    </w:p>
    <w:p w:rsidR="001517BC" w:rsidRPr="001517BC" w:rsidRDefault="001517BC" w:rsidP="00382425">
      <w:pPr>
        <w:rPr>
          <w:rFonts w:asciiTheme="minorHAnsi" w:hAnsiTheme="minorHAnsi" w:cstheme="minorHAnsi"/>
          <w:b/>
          <w:sz w:val="22"/>
          <w:szCs w:val="22"/>
        </w:rPr>
      </w:pPr>
      <w:r>
        <w:rPr>
          <w:rFonts w:asciiTheme="minorHAnsi" w:hAnsiTheme="minorHAnsi" w:cstheme="minorHAnsi"/>
          <w:b/>
          <w:sz w:val="22"/>
          <w:szCs w:val="22"/>
        </w:rPr>
        <w:t>3.</w:t>
      </w:r>
      <w:r w:rsidR="000F2554">
        <w:rPr>
          <w:rFonts w:asciiTheme="minorHAnsi" w:hAnsiTheme="minorHAnsi" w:cstheme="minorHAnsi"/>
          <w:b/>
          <w:sz w:val="22"/>
          <w:szCs w:val="22"/>
        </w:rPr>
        <w:t xml:space="preserve">   AK SUBJEKT </w:t>
      </w:r>
      <w:r w:rsidR="00EF6541" w:rsidRPr="00D45F5F">
        <w:rPr>
          <w:rFonts w:asciiTheme="minorHAnsi" w:hAnsiTheme="minorHAnsi" w:cstheme="minorHAnsi"/>
          <w:sz w:val="22"/>
          <w:szCs w:val="22"/>
        </w:rPr>
        <w:t>(žiadateľ)</w:t>
      </w:r>
      <w:r w:rsidR="00EF6541">
        <w:rPr>
          <w:rFonts w:asciiTheme="minorHAnsi" w:hAnsiTheme="minorHAnsi" w:cstheme="minorHAnsi"/>
          <w:b/>
          <w:sz w:val="22"/>
          <w:szCs w:val="22"/>
        </w:rPr>
        <w:t xml:space="preserve"> </w:t>
      </w:r>
      <w:r w:rsidR="001E58F2">
        <w:rPr>
          <w:rFonts w:asciiTheme="minorHAnsi" w:hAnsiTheme="minorHAnsi" w:cstheme="minorHAnsi"/>
          <w:b/>
          <w:sz w:val="22"/>
          <w:szCs w:val="22"/>
        </w:rPr>
        <w:t xml:space="preserve">JE </w:t>
      </w:r>
      <w:r w:rsidR="000F2554">
        <w:rPr>
          <w:rFonts w:asciiTheme="minorHAnsi" w:hAnsiTheme="minorHAnsi" w:cstheme="minorHAnsi"/>
          <w:b/>
          <w:sz w:val="22"/>
          <w:szCs w:val="22"/>
        </w:rPr>
        <w:t xml:space="preserve">ČLENOM HOSPODÁRSKEJ JEDNOTKY </w:t>
      </w:r>
    </w:p>
    <w:p w:rsidR="006E6E67" w:rsidRDefault="00372720" w:rsidP="00382425">
      <w:pPr>
        <w:ind w:firstLine="284"/>
        <w:jc w:val="both"/>
        <w:rPr>
          <w:rFonts w:asciiTheme="minorHAnsi" w:hAnsiTheme="minorHAnsi" w:cstheme="minorHAnsi"/>
          <w:sz w:val="22"/>
          <w:szCs w:val="22"/>
        </w:rPr>
      </w:pPr>
      <w:sdt>
        <w:sdtPr>
          <w:rPr>
            <w:rFonts w:asciiTheme="minorHAnsi" w:hAnsiTheme="minorHAnsi" w:cstheme="minorHAnsi"/>
            <w:sz w:val="22"/>
            <w:szCs w:val="22"/>
          </w:rPr>
          <w:id w:val="-1391271233"/>
          <w14:checkbox>
            <w14:checked w14:val="0"/>
            <w14:checkedState w14:val="2612" w14:font="MS Gothic"/>
            <w14:uncheckedState w14:val="2610" w14:font="MS Gothic"/>
          </w14:checkbox>
        </w:sdtPr>
        <w:sdtEndPr/>
        <w:sdtContent>
          <w:r w:rsidR="006E6E67">
            <w:rPr>
              <w:rFonts w:ascii="MS Gothic" w:eastAsia="MS Gothic" w:hAnsi="MS Gothic" w:cstheme="minorHAnsi" w:hint="eastAsia"/>
              <w:sz w:val="22"/>
              <w:szCs w:val="22"/>
            </w:rPr>
            <w:t>☐</w:t>
          </w:r>
        </w:sdtContent>
      </w:sdt>
      <w:r w:rsidR="001E58F2" w:rsidRPr="00C275EB">
        <w:rPr>
          <w:rFonts w:asciiTheme="minorHAnsi" w:hAnsiTheme="minorHAnsi" w:cstheme="minorHAnsi"/>
          <w:sz w:val="22"/>
          <w:szCs w:val="22"/>
        </w:rPr>
        <w:t xml:space="preserve"> </w:t>
      </w:r>
      <w:r w:rsidR="00CA2B61" w:rsidRPr="00C275EB">
        <w:rPr>
          <w:rFonts w:asciiTheme="minorHAnsi" w:hAnsiTheme="minorHAnsi" w:cstheme="minorHAnsi"/>
          <w:sz w:val="22"/>
          <w:szCs w:val="22"/>
        </w:rPr>
        <w:t>hospodárska jednotka, ktorej je členom,</w:t>
      </w:r>
      <w:r w:rsidR="00CA2B61" w:rsidRPr="00C275EB">
        <w:rPr>
          <w:rFonts w:asciiTheme="minorHAnsi" w:hAnsiTheme="minorHAnsi" w:cstheme="minorHAnsi"/>
          <w:b/>
          <w:sz w:val="22"/>
          <w:szCs w:val="22"/>
        </w:rPr>
        <w:t xml:space="preserve"> </w:t>
      </w:r>
      <w:r w:rsidR="00CA2B61" w:rsidRPr="006E6E67">
        <w:rPr>
          <w:rFonts w:asciiTheme="minorHAnsi" w:hAnsiTheme="minorHAnsi" w:cstheme="minorHAnsi"/>
          <w:b/>
          <w:sz w:val="22"/>
          <w:szCs w:val="22"/>
          <w:u w:val="single"/>
        </w:rPr>
        <w:t>nie je</w:t>
      </w:r>
      <w:r w:rsidR="00CA2B61" w:rsidRPr="00C275EB">
        <w:rPr>
          <w:rFonts w:asciiTheme="minorHAnsi" w:hAnsiTheme="minorHAnsi" w:cstheme="minorHAnsi"/>
          <w:b/>
          <w:sz w:val="22"/>
          <w:szCs w:val="22"/>
        </w:rPr>
        <w:t xml:space="preserve"> </w:t>
      </w:r>
      <w:r w:rsidR="00CA2B61" w:rsidRPr="00C275EB">
        <w:rPr>
          <w:rFonts w:asciiTheme="minorHAnsi" w:hAnsiTheme="minorHAnsi" w:cstheme="minorHAnsi"/>
          <w:sz w:val="22"/>
          <w:szCs w:val="22"/>
        </w:rPr>
        <w:t>podnikom v</w:t>
      </w:r>
      <w:r w:rsidR="00EF6541">
        <w:rPr>
          <w:rFonts w:asciiTheme="minorHAnsi" w:hAnsiTheme="minorHAnsi" w:cstheme="minorHAnsi"/>
          <w:sz w:val="22"/>
          <w:szCs w:val="22"/>
        </w:rPr>
        <w:t> </w:t>
      </w:r>
      <w:r w:rsidR="00CA2B61" w:rsidRPr="00C275EB">
        <w:rPr>
          <w:rFonts w:asciiTheme="minorHAnsi" w:hAnsiTheme="minorHAnsi" w:cstheme="minorHAnsi"/>
          <w:sz w:val="22"/>
          <w:szCs w:val="22"/>
        </w:rPr>
        <w:t>ťažkostiach</w:t>
      </w:r>
      <w:r w:rsidR="00EF6541">
        <w:rPr>
          <w:rFonts w:asciiTheme="minorHAnsi" w:hAnsiTheme="minorHAnsi" w:cstheme="minorHAnsi"/>
          <w:sz w:val="22"/>
          <w:szCs w:val="22"/>
        </w:rPr>
        <w:t>,</w:t>
      </w:r>
    </w:p>
    <w:p w:rsidR="006E6E67" w:rsidRDefault="00372720" w:rsidP="00382425">
      <w:pPr>
        <w:ind w:firstLine="284"/>
        <w:jc w:val="both"/>
        <w:rPr>
          <w:rFonts w:asciiTheme="minorHAnsi" w:hAnsiTheme="minorHAnsi" w:cstheme="minorHAnsi"/>
          <w:sz w:val="22"/>
          <w:szCs w:val="22"/>
        </w:rPr>
      </w:pPr>
      <w:sdt>
        <w:sdtPr>
          <w:rPr>
            <w:rFonts w:asciiTheme="minorHAnsi" w:hAnsiTheme="minorHAnsi" w:cstheme="minorHAnsi"/>
            <w:sz w:val="22"/>
            <w:szCs w:val="22"/>
          </w:rPr>
          <w:id w:val="490991992"/>
          <w14:checkbox>
            <w14:checked w14:val="0"/>
            <w14:checkedState w14:val="2612" w14:font="MS Gothic"/>
            <w14:uncheckedState w14:val="2610" w14:font="MS Gothic"/>
          </w14:checkbox>
        </w:sdtPr>
        <w:sdtEndPr/>
        <w:sdtContent>
          <w:r w:rsidR="006E6E67">
            <w:rPr>
              <w:rFonts w:ascii="MS Gothic" w:eastAsia="MS Gothic" w:hAnsi="MS Gothic" w:cstheme="minorHAnsi" w:hint="eastAsia"/>
              <w:sz w:val="22"/>
              <w:szCs w:val="22"/>
            </w:rPr>
            <w:t>☐</w:t>
          </w:r>
        </w:sdtContent>
      </w:sdt>
      <w:r w:rsidR="006E6E67" w:rsidRPr="00C275EB">
        <w:rPr>
          <w:rFonts w:asciiTheme="minorHAnsi" w:hAnsiTheme="minorHAnsi" w:cstheme="minorHAnsi"/>
          <w:sz w:val="22"/>
          <w:szCs w:val="22"/>
        </w:rPr>
        <w:t xml:space="preserve"> hospodárska jednotka, ktorej je členom,</w:t>
      </w:r>
      <w:r w:rsidR="006E6E67" w:rsidRPr="00C275EB">
        <w:rPr>
          <w:rFonts w:asciiTheme="minorHAnsi" w:hAnsiTheme="minorHAnsi" w:cstheme="minorHAnsi"/>
          <w:b/>
          <w:sz w:val="22"/>
          <w:szCs w:val="22"/>
        </w:rPr>
        <w:t xml:space="preserve"> </w:t>
      </w:r>
      <w:r w:rsidR="006E6E67" w:rsidRPr="006E6E67">
        <w:rPr>
          <w:rFonts w:asciiTheme="minorHAnsi" w:hAnsiTheme="minorHAnsi" w:cstheme="minorHAnsi"/>
          <w:b/>
          <w:sz w:val="22"/>
          <w:szCs w:val="22"/>
          <w:u w:val="single"/>
        </w:rPr>
        <w:t>je</w:t>
      </w:r>
      <w:r w:rsidR="006E6E67" w:rsidRPr="00C275EB">
        <w:rPr>
          <w:rFonts w:asciiTheme="minorHAnsi" w:hAnsiTheme="minorHAnsi" w:cstheme="minorHAnsi"/>
          <w:b/>
          <w:sz w:val="22"/>
          <w:szCs w:val="22"/>
        </w:rPr>
        <w:t xml:space="preserve"> </w:t>
      </w:r>
      <w:r w:rsidR="006E6E67" w:rsidRPr="00C275EB">
        <w:rPr>
          <w:rFonts w:asciiTheme="minorHAnsi" w:hAnsiTheme="minorHAnsi" w:cstheme="minorHAnsi"/>
          <w:sz w:val="22"/>
          <w:szCs w:val="22"/>
        </w:rPr>
        <w:t>podnikom v</w:t>
      </w:r>
      <w:r w:rsidR="00EF6541">
        <w:rPr>
          <w:rFonts w:asciiTheme="minorHAnsi" w:hAnsiTheme="minorHAnsi" w:cstheme="minorHAnsi"/>
          <w:sz w:val="22"/>
          <w:szCs w:val="22"/>
        </w:rPr>
        <w:t> </w:t>
      </w:r>
      <w:r w:rsidR="006E6E67" w:rsidRPr="00C275EB">
        <w:rPr>
          <w:rFonts w:asciiTheme="minorHAnsi" w:hAnsiTheme="minorHAnsi" w:cstheme="minorHAnsi"/>
          <w:sz w:val="22"/>
          <w:szCs w:val="22"/>
        </w:rPr>
        <w:t>ťažkostiach</w:t>
      </w:r>
      <w:r w:rsidR="00EF6541">
        <w:rPr>
          <w:rFonts w:asciiTheme="minorHAnsi" w:hAnsiTheme="minorHAnsi" w:cstheme="minorHAnsi"/>
          <w:sz w:val="22"/>
          <w:szCs w:val="22"/>
        </w:rPr>
        <w:t>.</w:t>
      </w:r>
    </w:p>
    <w:p w:rsidR="00D45F5F" w:rsidRPr="00D45F5F" w:rsidRDefault="00D45F5F" w:rsidP="00382425">
      <w:pPr>
        <w:spacing w:before="120"/>
        <w:ind w:left="425" w:hanging="141"/>
        <w:jc w:val="both"/>
        <w:rPr>
          <w:rFonts w:asciiTheme="minorHAnsi" w:hAnsiTheme="minorHAnsi" w:cstheme="minorHAnsi"/>
          <w:b/>
          <w:sz w:val="22"/>
          <w:szCs w:val="22"/>
        </w:rPr>
      </w:pPr>
      <w:r>
        <w:rPr>
          <w:rFonts w:asciiTheme="minorHAnsi" w:hAnsiTheme="minorHAnsi" w:cstheme="minorHAnsi"/>
          <w:b/>
          <w:sz w:val="22"/>
          <w:szCs w:val="22"/>
        </w:rPr>
        <w:t>Vysvetlivky</w:t>
      </w:r>
    </w:p>
    <w:p w:rsidR="00D45F5F" w:rsidRPr="00D45F5F" w:rsidRDefault="00D45F5F" w:rsidP="00382425">
      <w:pPr>
        <w:ind w:left="284"/>
        <w:jc w:val="both"/>
        <w:rPr>
          <w:rFonts w:asciiTheme="minorHAnsi" w:eastAsiaTheme="minorEastAsia" w:hAnsiTheme="minorHAnsi" w:cstheme="minorHAnsi"/>
          <w:sz w:val="22"/>
          <w:szCs w:val="22"/>
        </w:rPr>
      </w:pPr>
      <w:r w:rsidRPr="00D45F5F">
        <w:rPr>
          <w:rFonts w:asciiTheme="minorHAnsi" w:eastAsiaTheme="minorEastAsia" w:hAnsiTheme="minorHAnsi" w:cstheme="minorHAnsi"/>
          <w:sz w:val="22"/>
          <w:szCs w:val="22"/>
        </w:rPr>
        <w:t xml:space="preserve">Pri hodnotení znakov podniku v ťažkostiach na hospodárskej jednotke sa vychádza zo spoločných finančných (ekonomických) údajov hospodárskej jednotky ako celku, t. j. hodnotenie znakov sa vykonáva na </w:t>
      </w:r>
      <w:r w:rsidRPr="00CE43D4">
        <w:rPr>
          <w:rFonts w:asciiTheme="minorHAnsi" w:eastAsiaTheme="minorEastAsia" w:hAnsiTheme="minorHAnsi" w:cstheme="minorHAnsi"/>
          <w:sz w:val="22"/>
          <w:szCs w:val="22"/>
          <w:u w:val="single"/>
        </w:rPr>
        <w:t>základe konsolidovaných účtovných údajov</w:t>
      </w:r>
      <w:r w:rsidRPr="00D45F5F">
        <w:rPr>
          <w:rFonts w:asciiTheme="minorHAnsi" w:eastAsiaTheme="minorEastAsia" w:hAnsiTheme="minorHAnsi" w:cstheme="minorHAnsi"/>
          <w:sz w:val="22"/>
          <w:szCs w:val="22"/>
        </w:rPr>
        <w:t>. Konsolidované údaje pritom nemusia v tomto kontexte predstavovať len údaje, ktoré sa konsolidujú za hospodársku jednotku podľa platnej legislatívy, ale aj konsolidáciu údajov za „širšiu“</w:t>
      </w:r>
      <w:r>
        <w:rPr>
          <w:rFonts w:asciiTheme="minorHAnsi" w:eastAsiaTheme="minorEastAsia" w:hAnsiTheme="minorHAnsi" w:cstheme="minorHAnsi"/>
          <w:sz w:val="22"/>
          <w:szCs w:val="22"/>
        </w:rPr>
        <w:t xml:space="preserve"> </w:t>
      </w:r>
      <w:r w:rsidRPr="00D45F5F">
        <w:rPr>
          <w:rFonts w:asciiTheme="minorHAnsi" w:eastAsiaTheme="minorEastAsia" w:hAnsiTheme="minorHAnsi" w:cstheme="minorHAnsi"/>
          <w:sz w:val="22"/>
          <w:szCs w:val="22"/>
        </w:rPr>
        <w:t>hospodársku jednotku, čo môže v praxi predstavovať skupinu právnych subjektov presahujúcu právne subjekty, ktoré sa v zmysle účtovných p</w:t>
      </w:r>
      <w:r>
        <w:rPr>
          <w:rFonts w:asciiTheme="minorHAnsi" w:eastAsiaTheme="minorEastAsia" w:hAnsiTheme="minorHAnsi" w:cstheme="minorHAnsi"/>
          <w:sz w:val="22"/>
          <w:szCs w:val="22"/>
        </w:rPr>
        <w:t>ravidiel konsolidujú v skupine.</w:t>
      </w:r>
      <w:r w:rsidRPr="00D45F5F">
        <w:rPr>
          <w:rFonts w:asciiTheme="minorHAnsi" w:eastAsiaTheme="minorEastAsia" w:hAnsiTheme="minorHAnsi" w:cstheme="minorHAnsi"/>
          <w:sz w:val="22"/>
          <w:szCs w:val="22"/>
        </w:rPr>
        <w:t xml:space="preserve"> Subjekt sa považuje za podnik v ťažkostiach, ak:</w:t>
      </w:r>
    </w:p>
    <w:p w:rsidR="00D45F5F" w:rsidRDefault="00D45F5F" w:rsidP="00382425">
      <w:pPr>
        <w:pStyle w:val="Odsekzoznamu"/>
        <w:numPr>
          <w:ilvl w:val="0"/>
          <w:numId w:val="10"/>
        </w:numPr>
        <w:ind w:left="567" w:hanging="283"/>
        <w:jc w:val="both"/>
        <w:rPr>
          <w:rFonts w:asciiTheme="minorHAnsi" w:eastAsiaTheme="minorEastAsia" w:hAnsiTheme="minorHAnsi" w:cstheme="minorHAnsi"/>
          <w:sz w:val="22"/>
          <w:szCs w:val="22"/>
        </w:rPr>
      </w:pPr>
      <w:r w:rsidRPr="00D45F5F">
        <w:rPr>
          <w:rFonts w:asciiTheme="minorHAnsi" w:eastAsiaTheme="minorEastAsia" w:hAnsiTheme="minorHAnsi" w:cstheme="minorHAnsi"/>
          <w:sz w:val="22"/>
          <w:szCs w:val="22"/>
        </w:rPr>
        <w:t xml:space="preserve">ako právny subjekt, je na základe svojich individuálnych údajov podnikom v ťažkostiach </w:t>
      </w:r>
    </w:p>
    <w:p w:rsidR="00D45F5F" w:rsidRPr="00D45F5F" w:rsidRDefault="00092320" w:rsidP="00382425">
      <w:pPr>
        <w:pStyle w:val="Odsekzoznamu"/>
        <w:ind w:left="426"/>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    </w:t>
      </w:r>
      <w:r w:rsidR="00D45F5F" w:rsidRPr="00D45F5F">
        <w:rPr>
          <w:rFonts w:asciiTheme="minorHAnsi" w:eastAsiaTheme="minorEastAsia" w:hAnsiTheme="minorHAnsi" w:cstheme="minorHAnsi"/>
          <w:sz w:val="22"/>
          <w:szCs w:val="22"/>
        </w:rPr>
        <w:t>a/alebo</w:t>
      </w:r>
    </w:p>
    <w:p w:rsidR="00D45F5F" w:rsidRPr="00D45F5F" w:rsidRDefault="00D45F5F" w:rsidP="00382425">
      <w:pPr>
        <w:pStyle w:val="Odsekzoznamu"/>
        <w:numPr>
          <w:ilvl w:val="0"/>
          <w:numId w:val="10"/>
        </w:numPr>
        <w:ind w:left="567" w:hanging="283"/>
        <w:jc w:val="both"/>
        <w:rPr>
          <w:rFonts w:asciiTheme="minorHAnsi" w:eastAsiaTheme="minorEastAsia" w:hAnsiTheme="minorHAnsi" w:cstheme="minorHAnsi"/>
          <w:sz w:val="22"/>
          <w:szCs w:val="22"/>
        </w:rPr>
      </w:pPr>
      <w:r w:rsidRPr="00D45F5F">
        <w:rPr>
          <w:rFonts w:asciiTheme="minorHAnsi" w:eastAsiaTheme="minorEastAsia" w:hAnsiTheme="minorHAnsi" w:cstheme="minorHAnsi"/>
          <w:sz w:val="22"/>
          <w:szCs w:val="22"/>
        </w:rPr>
        <w:t xml:space="preserve">hospodárska jednotka, ktorej je členom, je na základe konsolidovaných údajov podnikom </w:t>
      </w:r>
      <w:r w:rsidR="00092320">
        <w:rPr>
          <w:rFonts w:asciiTheme="minorHAnsi" w:eastAsiaTheme="minorEastAsia" w:hAnsiTheme="minorHAnsi" w:cstheme="minorHAnsi"/>
          <w:sz w:val="22"/>
          <w:szCs w:val="22"/>
        </w:rPr>
        <w:t xml:space="preserve">                            </w:t>
      </w:r>
      <w:r w:rsidRPr="00D45F5F">
        <w:rPr>
          <w:rFonts w:asciiTheme="minorHAnsi" w:eastAsiaTheme="minorEastAsia" w:hAnsiTheme="minorHAnsi" w:cstheme="minorHAnsi"/>
          <w:sz w:val="22"/>
          <w:szCs w:val="22"/>
        </w:rPr>
        <w:t>v ťažkostiach.</w:t>
      </w:r>
    </w:p>
    <w:p w:rsidR="00D45F5F" w:rsidRPr="00D45F5F" w:rsidRDefault="00D45F5F" w:rsidP="00382425">
      <w:pPr>
        <w:ind w:left="284"/>
        <w:jc w:val="both"/>
        <w:rPr>
          <w:rFonts w:asciiTheme="minorHAnsi" w:eastAsiaTheme="minorEastAsia" w:hAnsiTheme="minorHAnsi" w:cstheme="minorHAnsi"/>
          <w:sz w:val="22"/>
          <w:szCs w:val="22"/>
        </w:rPr>
      </w:pPr>
      <w:r w:rsidRPr="00D45F5F">
        <w:rPr>
          <w:rFonts w:asciiTheme="minorHAnsi" w:eastAsiaTheme="minorEastAsia" w:hAnsiTheme="minorHAnsi" w:cstheme="minorHAnsi"/>
          <w:sz w:val="22"/>
          <w:szCs w:val="22"/>
        </w:rPr>
        <w:t xml:space="preserve">Ak nie je splnená žiadna z podmienok uvedených v predchádzajúcom odseku, </w:t>
      </w:r>
      <w:r w:rsidRPr="00C275EB">
        <w:rPr>
          <w:rFonts w:asciiTheme="minorHAnsi" w:eastAsiaTheme="minorEastAsia" w:hAnsiTheme="minorHAnsi" w:cstheme="minorHAnsi"/>
          <w:sz w:val="22"/>
          <w:szCs w:val="22"/>
          <w:u w:val="single"/>
        </w:rPr>
        <w:t>subjekt sa nepovažuje za podnik v ťažkostiach</w:t>
      </w:r>
      <w:r w:rsidRPr="00D45F5F">
        <w:rPr>
          <w:rFonts w:asciiTheme="minorHAnsi" w:eastAsiaTheme="minorEastAsia" w:hAnsiTheme="minorHAnsi" w:cstheme="minorHAnsi"/>
          <w:sz w:val="22"/>
          <w:szCs w:val="22"/>
        </w:rPr>
        <w:t>, a to ani v prípade, že niektoré iné právne subjekty, ktoré sú členom rovnakej hospodárskej jednotky ako dotknutý subjekt, sú na základe svojich individuálnyc</w:t>
      </w:r>
      <w:r>
        <w:rPr>
          <w:rFonts w:asciiTheme="minorHAnsi" w:eastAsiaTheme="minorEastAsia" w:hAnsiTheme="minorHAnsi" w:cstheme="minorHAnsi"/>
          <w:sz w:val="22"/>
          <w:szCs w:val="22"/>
        </w:rPr>
        <w:t>h údajov podnikom v ťažkostiach</w:t>
      </w:r>
      <w:r w:rsidRPr="00D45F5F">
        <w:rPr>
          <w:rFonts w:asciiTheme="minorHAnsi" w:eastAsiaTheme="minorEastAsia" w:hAnsiTheme="minorHAnsi" w:cstheme="minorHAnsi"/>
          <w:sz w:val="22"/>
          <w:szCs w:val="22"/>
        </w:rPr>
        <w:t>.</w:t>
      </w:r>
    </w:p>
    <w:p w:rsidR="00524AD5" w:rsidRDefault="00524AD5" w:rsidP="00382425">
      <w:pPr>
        <w:spacing w:before="120"/>
        <w:jc w:val="both"/>
        <w:rPr>
          <w:rFonts w:asciiTheme="minorHAnsi" w:eastAsiaTheme="minorEastAsia" w:hAnsiTheme="minorHAnsi" w:cstheme="minorHAnsi"/>
          <w:b/>
          <w:sz w:val="22"/>
          <w:szCs w:val="22"/>
        </w:rPr>
      </w:pPr>
    </w:p>
    <w:p w:rsidR="00CA2B61" w:rsidRPr="00C62AA2" w:rsidRDefault="00D45F5F" w:rsidP="00382425">
      <w:pPr>
        <w:spacing w:before="120"/>
        <w:jc w:val="both"/>
        <w:rPr>
          <w:rFonts w:asciiTheme="minorHAnsi" w:eastAsiaTheme="minorEastAsia" w:hAnsiTheme="minorHAnsi" w:cstheme="minorHAnsi"/>
          <w:b/>
          <w:i/>
          <w:sz w:val="22"/>
          <w:szCs w:val="22"/>
        </w:rPr>
      </w:pPr>
      <w:r w:rsidRPr="00C62AA2">
        <w:rPr>
          <w:rFonts w:asciiTheme="minorHAnsi" w:eastAsiaTheme="minorEastAsia" w:hAnsiTheme="minorHAnsi" w:cstheme="minorHAnsi"/>
          <w:b/>
          <w:i/>
          <w:sz w:val="22"/>
          <w:szCs w:val="22"/>
        </w:rPr>
        <w:lastRenderedPageBreak/>
        <w:t>Poznámka</w:t>
      </w:r>
      <w:r w:rsidR="00CA2B61" w:rsidRPr="00C62AA2">
        <w:rPr>
          <w:rFonts w:asciiTheme="minorHAnsi" w:eastAsiaTheme="minorEastAsia" w:hAnsiTheme="minorHAnsi" w:cstheme="minorHAnsi"/>
          <w:b/>
          <w:i/>
          <w:sz w:val="22"/>
          <w:szCs w:val="22"/>
        </w:rPr>
        <w:t xml:space="preserve"> </w:t>
      </w:r>
    </w:p>
    <w:p w:rsidR="00EF6541" w:rsidRPr="00C62AA2" w:rsidRDefault="00EB57C6" w:rsidP="00382425">
      <w:pPr>
        <w:jc w:val="both"/>
        <w:rPr>
          <w:rFonts w:asciiTheme="minorHAnsi" w:eastAsiaTheme="minorEastAsia" w:hAnsiTheme="minorHAnsi" w:cstheme="minorHAnsi"/>
          <w:i/>
          <w:sz w:val="22"/>
          <w:szCs w:val="22"/>
        </w:rPr>
      </w:pPr>
      <w:r w:rsidRPr="00C62AA2">
        <w:rPr>
          <w:rFonts w:asciiTheme="minorHAnsi" w:eastAsiaTheme="minorEastAsia" w:hAnsiTheme="minorHAnsi" w:cstheme="minorHAnsi"/>
          <w:i/>
          <w:sz w:val="22"/>
          <w:szCs w:val="22"/>
        </w:rPr>
        <w:t xml:space="preserve">Overovanie, či je subjekt podnikom v ťažkostiach, sa uplatňuje vždy, keď sa </w:t>
      </w:r>
      <w:r w:rsidR="00A00582" w:rsidRPr="00C62AA2">
        <w:rPr>
          <w:rFonts w:asciiTheme="minorHAnsi" w:eastAsiaTheme="minorEastAsia" w:hAnsiTheme="minorHAnsi" w:cstheme="minorHAnsi"/>
          <w:i/>
          <w:sz w:val="22"/>
          <w:szCs w:val="22"/>
        </w:rPr>
        <w:t xml:space="preserve">štátna pomoc </w:t>
      </w:r>
      <w:r w:rsidR="00A00582">
        <w:rPr>
          <w:rFonts w:asciiTheme="minorHAnsi" w:eastAsiaTheme="minorEastAsia" w:hAnsiTheme="minorHAnsi" w:cstheme="minorHAnsi"/>
          <w:i/>
          <w:sz w:val="22"/>
          <w:szCs w:val="22"/>
        </w:rPr>
        <w:t>(</w:t>
      </w:r>
      <w:r w:rsidRPr="00C62AA2">
        <w:rPr>
          <w:rFonts w:asciiTheme="minorHAnsi" w:eastAsiaTheme="minorEastAsia" w:hAnsiTheme="minorHAnsi" w:cstheme="minorHAnsi"/>
          <w:i/>
          <w:sz w:val="22"/>
          <w:szCs w:val="22"/>
        </w:rPr>
        <w:t>podpora z</w:t>
      </w:r>
      <w:r w:rsidR="00CA2B61" w:rsidRPr="00C62AA2">
        <w:rPr>
          <w:rFonts w:asciiTheme="minorHAnsi" w:eastAsiaTheme="minorEastAsia" w:hAnsiTheme="minorHAnsi" w:cstheme="minorHAnsi"/>
          <w:i/>
          <w:sz w:val="22"/>
          <w:szCs w:val="22"/>
        </w:rPr>
        <w:t> </w:t>
      </w:r>
      <w:r w:rsidRPr="00C62AA2">
        <w:rPr>
          <w:rFonts w:asciiTheme="minorHAnsi" w:eastAsiaTheme="minorEastAsia" w:hAnsiTheme="minorHAnsi" w:cstheme="minorHAnsi"/>
          <w:i/>
          <w:sz w:val="22"/>
          <w:szCs w:val="22"/>
        </w:rPr>
        <w:t>fondov</w:t>
      </w:r>
      <w:r w:rsidR="00CA2B61" w:rsidRPr="00C62AA2">
        <w:rPr>
          <w:rFonts w:asciiTheme="minorHAnsi" w:eastAsiaTheme="minorEastAsia" w:hAnsiTheme="minorHAnsi" w:cstheme="minorHAnsi"/>
          <w:i/>
          <w:sz w:val="22"/>
          <w:szCs w:val="22"/>
        </w:rPr>
        <w:t xml:space="preserve"> EÚ</w:t>
      </w:r>
      <w:r w:rsidRPr="00C62AA2">
        <w:rPr>
          <w:rFonts w:asciiTheme="minorHAnsi" w:eastAsiaTheme="minorEastAsia" w:hAnsiTheme="minorHAnsi" w:cstheme="minorHAnsi"/>
          <w:i/>
          <w:sz w:val="22"/>
          <w:szCs w:val="22"/>
        </w:rPr>
        <w:t xml:space="preserve"> alebo </w:t>
      </w:r>
      <w:r w:rsidR="00A00582">
        <w:rPr>
          <w:rFonts w:asciiTheme="minorHAnsi" w:eastAsiaTheme="minorEastAsia" w:hAnsiTheme="minorHAnsi" w:cstheme="minorHAnsi"/>
          <w:i/>
          <w:sz w:val="22"/>
          <w:szCs w:val="22"/>
        </w:rPr>
        <w:t xml:space="preserve">štátneho rozpočtu SR) </w:t>
      </w:r>
      <w:r w:rsidRPr="00C62AA2">
        <w:rPr>
          <w:rFonts w:asciiTheme="minorHAnsi" w:eastAsiaTheme="minorEastAsia" w:hAnsiTheme="minorHAnsi" w:cstheme="minorHAnsi"/>
          <w:i/>
          <w:sz w:val="22"/>
          <w:szCs w:val="22"/>
        </w:rPr>
        <w:t>poskytuje podniku</w:t>
      </w:r>
      <w:r w:rsidR="00897620">
        <w:rPr>
          <w:rFonts w:asciiTheme="minorHAnsi" w:eastAsiaTheme="minorEastAsia" w:hAnsiTheme="minorHAnsi" w:cstheme="minorHAnsi"/>
          <w:i/>
          <w:sz w:val="22"/>
          <w:szCs w:val="22"/>
        </w:rPr>
        <w:t xml:space="preserve"> vykonávajúcemu hospodársku činnosť</w:t>
      </w:r>
      <w:r w:rsidRPr="00C62AA2">
        <w:rPr>
          <w:rFonts w:asciiTheme="minorHAnsi" w:eastAsiaTheme="minorEastAsia" w:hAnsiTheme="minorHAnsi" w:cstheme="minorHAnsi"/>
          <w:i/>
          <w:sz w:val="22"/>
          <w:szCs w:val="22"/>
        </w:rPr>
        <w:t xml:space="preserve"> a z príslušného právneho základu vyplýva, že túto podmienku je potreb</w:t>
      </w:r>
      <w:r w:rsidR="00CE43D4" w:rsidRPr="00C62AA2">
        <w:rPr>
          <w:rFonts w:asciiTheme="minorHAnsi" w:eastAsiaTheme="minorEastAsia" w:hAnsiTheme="minorHAnsi" w:cstheme="minorHAnsi"/>
          <w:i/>
          <w:sz w:val="22"/>
          <w:szCs w:val="22"/>
        </w:rPr>
        <w:t>né overiť.  V rámci každej žiadosti o poskytnutie príspevku na aktívne opatrenie trhu práce</w:t>
      </w:r>
      <w:r w:rsidR="00D74C7D" w:rsidRPr="00C62AA2">
        <w:rPr>
          <w:rFonts w:asciiTheme="minorHAnsi" w:eastAsiaTheme="minorEastAsia" w:hAnsiTheme="minorHAnsi" w:cstheme="minorHAnsi"/>
          <w:i/>
          <w:sz w:val="22"/>
          <w:szCs w:val="22"/>
        </w:rPr>
        <w:t xml:space="preserve"> žiadateľovi</w:t>
      </w:r>
      <w:r w:rsidR="00CE43D4" w:rsidRPr="00C62AA2">
        <w:rPr>
          <w:rFonts w:asciiTheme="minorHAnsi" w:eastAsiaTheme="minorEastAsia" w:hAnsiTheme="minorHAnsi" w:cstheme="minorHAnsi"/>
          <w:i/>
          <w:sz w:val="22"/>
          <w:szCs w:val="22"/>
        </w:rPr>
        <w:t>, ktorý je podnikom a štátna pomoc podlieha pravidlám nariadenia Komisie (EÚ)</w:t>
      </w:r>
      <w:r w:rsidR="00897620">
        <w:rPr>
          <w:rFonts w:asciiTheme="minorHAnsi" w:eastAsiaTheme="minorEastAsia" w:hAnsiTheme="minorHAnsi" w:cstheme="minorHAnsi"/>
          <w:i/>
          <w:sz w:val="22"/>
          <w:szCs w:val="22"/>
        </w:rPr>
        <w:t xml:space="preserve"> </w:t>
      </w:r>
      <w:r w:rsidR="00CE43D4" w:rsidRPr="00C62AA2">
        <w:rPr>
          <w:rFonts w:asciiTheme="minorHAnsi" w:eastAsiaTheme="minorEastAsia" w:hAnsiTheme="minorHAnsi" w:cstheme="minorHAnsi"/>
          <w:i/>
          <w:sz w:val="22"/>
          <w:szCs w:val="22"/>
        </w:rPr>
        <w:t>č. 651/2014</w:t>
      </w:r>
      <w:r w:rsidR="00D74C7D" w:rsidRPr="00C62AA2">
        <w:rPr>
          <w:rFonts w:asciiTheme="minorHAnsi" w:eastAsiaTheme="minorEastAsia" w:hAnsiTheme="minorHAnsi" w:cstheme="minorHAnsi"/>
          <w:i/>
          <w:sz w:val="22"/>
          <w:szCs w:val="22"/>
        </w:rPr>
        <w:t>,</w:t>
      </w:r>
      <w:r w:rsidR="00CE43D4" w:rsidRPr="00C62AA2">
        <w:rPr>
          <w:rFonts w:asciiTheme="minorHAnsi" w:eastAsiaTheme="minorEastAsia" w:hAnsiTheme="minorHAnsi" w:cstheme="minorHAnsi"/>
          <w:i/>
          <w:sz w:val="22"/>
          <w:szCs w:val="22"/>
        </w:rPr>
        <w:t xml:space="preserve"> </w:t>
      </w:r>
      <w:r w:rsidR="00D74C7D" w:rsidRPr="00C62AA2">
        <w:rPr>
          <w:rFonts w:asciiTheme="minorHAnsi" w:eastAsiaTheme="minorEastAsia" w:hAnsiTheme="minorHAnsi" w:cstheme="minorHAnsi"/>
          <w:i/>
          <w:sz w:val="22"/>
          <w:szCs w:val="22"/>
        </w:rPr>
        <w:t>je</w:t>
      </w:r>
      <w:r w:rsidRPr="00C62AA2">
        <w:rPr>
          <w:rFonts w:asciiTheme="minorHAnsi" w:eastAsiaTheme="minorEastAsia" w:hAnsiTheme="minorHAnsi" w:cstheme="minorHAnsi"/>
          <w:i/>
          <w:sz w:val="22"/>
          <w:szCs w:val="22"/>
        </w:rPr>
        <w:t xml:space="preserve"> </w:t>
      </w:r>
      <w:r w:rsidR="00D74C7D" w:rsidRPr="00C62AA2">
        <w:rPr>
          <w:rFonts w:asciiTheme="minorHAnsi" w:eastAsiaTheme="minorEastAsia" w:hAnsiTheme="minorHAnsi" w:cstheme="minorHAnsi"/>
          <w:i/>
          <w:sz w:val="22"/>
          <w:szCs w:val="22"/>
        </w:rPr>
        <w:t xml:space="preserve">žiadateľ </w:t>
      </w:r>
      <w:r w:rsidRPr="00C62AA2">
        <w:rPr>
          <w:rFonts w:asciiTheme="minorHAnsi" w:eastAsiaTheme="minorEastAsia" w:hAnsiTheme="minorHAnsi" w:cstheme="minorHAnsi"/>
          <w:i/>
          <w:sz w:val="22"/>
          <w:szCs w:val="22"/>
        </w:rPr>
        <w:t>povinný preukázať, či je alebo nie je podnikom v ťažkostiach.</w:t>
      </w:r>
    </w:p>
    <w:p w:rsidR="00EB57C6" w:rsidRPr="00382425" w:rsidRDefault="00EB57C6" w:rsidP="00382425">
      <w:pPr>
        <w:jc w:val="both"/>
        <w:rPr>
          <w:rFonts w:asciiTheme="minorHAnsi" w:eastAsiaTheme="minorEastAsia" w:hAnsiTheme="minorHAnsi" w:cstheme="minorHAnsi"/>
          <w:sz w:val="22"/>
          <w:szCs w:val="22"/>
        </w:rPr>
      </w:pPr>
      <w:r w:rsidRPr="00382425">
        <w:rPr>
          <w:rFonts w:asciiTheme="minorHAnsi" w:eastAsiaTheme="minorEastAsia" w:hAnsiTheme="minorHAnsi" w:cstheme="minorHAnsi"/>
          <w:sz w:val="22"/>
          <w:szCs w:val="22"/>
        </w:rPr>
        <w:t xml:space="preserve"> </w:t>
      </w:r>
    </w:p>
    <w:p w:rsidR="00A171A9" w:rsidRPr="00EB57C6" w:rsidRDefault="00A171A9" w:rsidP="00382425">
      <w:pPr>
        <w:autoSpaceDE/>
        <w:autoSpaceDN/>
        <w:spacing w:after="120"/>
        <w:jc w:val="both"/>
        <w:rPr>
          <w:rFonts w:asciiTheme="minorHAnsi" w:hAnsiTheme="minorHAnsi" w:cstheme="minorHAnsi"/>
          <w:b/>
          <w:sz w:val="22"/>
          <w:szCs w:val="22"/>
        </w:rPr>
      </w:pPr>
      <w:r w:rsidRPr="00EB57C6">
        <w:rPr>
          <w:rFonts w:asciiTheme="minorHAnsi" w:hAnsiTheme="minorHAnsi" w:cstheme="minorHAnsi"/>
          <w:b/>
          <w:sz w:val="22"/>
          <w:szCs w:val="22"/>
        </w:rPr>
        <w:t>Žiadateľ svojím podpisom</w:t>
      </w:r>
    </w:p>
    <w:p w:rsidR="00A171A9" w:rsidRPr="00EB57C6" w:rsidRDefault="00A171A9" w:rsidP="00382425">
      <w:pPr>
        <w:pStyle w:val="Odsekzoznamu"/>
        <w:numPr>
          <w:ilvl w:val="0"/>
          <w:numId w:val="3"/>
        </w:numPr>
        <w:autoSpaceDE/>
        <w:autoSpaceDN/>
        <w:spacing w:before="120"/>
        <w:ind w:left="284" w:hanging="284"/>
        <w:jc w:val="both"/>
        <w:rPr>
          <w:rFonts w:asciiTheme="minorHAnsi" w:hAnsiTheme="minorHAnsi" w:cstheme="minorHAnsi"/>
          <w:sz w:val="22"/>
          <w:szCs w:val="22"/>
        </w:rPr>
      </w:pPr>
      <w:r w:rsidRPr="00EB57C6">
        <w:rPr>
          <w:rFonts w:asciiTheme="minorHAnsi" w:hAnsiTheme="minorHAnsi" w:cstheme="minorHAnsi"/>
          <w:sz w:val="22"/>
          <w:szCs w:val="22"/>
        </w:rPr>
        <w:t>potvrdzuje, že vyššie uvedené údaje sú presné a pravdivé a sú poskytované dobrovoľne</w:t>
      </w:r>
      <w:r w:rsidR="006E6A77" w:rsidRPr="00EB57C6">
        <w:rPr>
          <w:rFonts w:asciiTheme="minorHAnsi" w:hAnsiTheme="minorHAnsi" w:cstheme="minorHAnsi"/>
          <w:sz w:val="22"/>
          <w:szCs w:val="22"/>
        </w:rPr>
        <w:t>,</w:t>
      </w:r>
    </w:p>
    <w:p w:rsidR="00A171A9" w:rsidRPr="00EB57C6" w:rsidRDefault="00A171A9" w:rsidP="00382425">
      <w:pPr>
        <w:pStyle w:val="Odsekzoznamu"/>
        <w:numPr>
          <w:ilvl w:val="0"/>
          <w:numId w:val="3"/>
        </w:numPr>
        <w:autoSpaceDE/>
        <w:autoSpaceDN/>
        <w:spacing w:before="120"/>
        <w:ind w:left="284" w:hanging="284"/>
        <w:jc w:val="both"/>
        <w:rPr>
          <w:rFonts w:asciiTheme="minorHAnsi" w:hAnsiTheme="minorHAnsi" w:cstheme="minorHAnsi"/>
          <w:sz w:val="22"/>
          <w:szCs w:val="22"/>
        </w:rPr>
      </w:pPr>
      <w:r w:rsidRPr="00EB57C6">
        <w:rPr>
          <w:rFonts w:asciiTheme="minorHAnsi" w:hAnsiTheme="minorHAnsi" w:cstheme="minorHAnsi"/>
          <w:sz w:val="22"/>
          <w:szCs w:val="22"/>
        </w:rPr>
        <w:t>sa zaväzuje k tomu, že v prípade zmeny údajov uvedených v</w:t>
      </w:r>
      <w:r w:rsidR="00BC7C6D">
        <w:rPr>
          <w:rFonts w:asciiTheme="minorHAnsi" w:hAnsiTheme="minorHAnsi" w:cstheme="minorHAnsi"/>
          <w:sz w:val="22"/>
          <w:szCs w:val="22"/>
        </w:rPr>
        <w:t> </w:t>
      </w:r>
      <w:r w:rsidRPr="00EB57C6">
        <w:rPr>
          <w:rFonts w:asciiTheme="minorHAnsi" w:hAnsiTheme="minorHAnsi" w:cstheme="minorHAnsi"/>
          <w:sz w:val="22"/>
          <w:szCs w:val="22"/>
        </w:rPr>
        <w:t>t</w:t>
      </w:r>
      <w:r w:rsidR="00BC7C6D">
        <w:rPr>
          <w:rFonts w:asciiTheme="minorHAnsi" w:hAnsiTheme="minorHAnsi" w:cstheme="minorHAnsi"/>
          <w:sz w:val="22"/>
          <w:szCs w:val="22"/>
        </w:rPr>
        <w:t xml:space="preserve">omto čestnom vyhlásení </w:t>
      </w:r>
      <w:r w:rsidRPr="00EB57C6">
        <w:rPr>
          <w:rFonts w:asciiTheme="minorHAnsi" w:hAnsiTheme="minorHAnsi" w:cstheme="minorHAnsi"/>
          <w:sz w:val="22"/>
          <w:szCs w:val="22"/>
        </w:rPr>
        <w:t xml:space="preserve">v priebehu administratívneho procesu </w:t>
      </w:r>
      <w:r w:rsidR="008D050F" w:rsidRPr="00EB57C6">
        <w:rPr>
          <w:rFonts w:asciiTheme="minorHAnsi" w:hAnsiTheme="minorHAnsi" w:cstheme="minorHAnsi"/>
          <w:sz w:val="22"/>
          <w:szCs w:val="22"/>
        </w:rPr>
        <w:t>schvaľovania štátnej pomoci</w:t>
      </w:r>
      <w:r w:rsidRPr="00EB57C6">
        <w:rPr>
          <w:rFonts w:asciiTheme="minorHAnsi" w:hAnsiTheme="minorHAnsi" w:cstheme="minorHAnsi"/>
          <w:sz w:val="22"/>
          <w:szCs w:val="22"/>
        </w:rPr>
        <w:t xml:space="preserve"> bude bezodkladne informovať poskytovateľa pomoci </w:t>
      </w:r>
      <w:r w:rsidR="006E6A77" w:rsidRPr="00EB57C6">
        <w:rPr>
          <w:rFonts w:asciiTheme="minorHAnsi" w:hAnsiTheme="minorHAnsi" w:cstheme="minorHAnsi"/>
          <w:sz w:val="22"/>
          <w:szCs w:val="22"/>
        </w:rPr>
        <w:t>o zmenách, ktoré u neho nastali,</w:t>
      </w:r>
    </w:p>
    <w:p w:rsidR="00A171A9" w:rsidRPr="00EB57C6" w:rsidRDefault="0077790E" w:rsidP="00382425">
      <w:pPr>
        <w:pStyle w:val="Odsekzoznamu"/>
        <w:numPr>
          <w:ilvl w:val="0"/>
          <w:numId w:val="3"/>
        </w:numPr>
        <w:autoSpaceDE/>
        <w:autoSpaceDN/>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prejavuje súhlas</w:t>
      </w:r>
      <w:r w:rsidR="00A171A9" w:rsidRPr="00EB57C6">
        <w:rPr>
          <w:rFonts w:asciiTheme="minorHAnsi" w:hAnsiTheme="minorHAnsi" w:cstheme="minorHAnsi"/>
          <w:sz w:val="22"/>
          <w:szCs w:val="22"/>
        </w:rPr>
        <w:t xml:space="preserve"> so spracovaním údajov obsiahnutých v tomto </w:t>
      </w:r>
      <w:r w:rsidR="00BC7C6D">
        <w:rPr>
          <w:rFonts w:asciiTheme="minorHAnsi" w:hAnsiTheme="minorHAnsi" w:cstheme="minorHAnsi"/>
          <w:sz w:val="22"/>
          <w:szCs w:val="22"/>
        </w:rPr>
        <w:t xml:space="preserve">čestnom </w:t>
      </w:r>
      <w:r w:rsidR="00A171A9" w:rsidRPr="00EB57C6">
        <w:rPr>
          <w:rFonts w:asciiTheme="minorHAnsi" w:hAnsiTheme="minorHAnsi" w:cstheme="minorHAnsi"/>
          <w:sz w:val="22"/>
          <w:szCs w:val="22"/>
        </w:rPr>
        <w:t xml:space="preserve">vyhlásení za účelom evidencie </w:t>
      </w:r>
      <w:r w:rsidR="006E6A77" w:rsidRPr="00EB57C6">
        <w:rPr>
          <w:rFonts w:asciiTheme="minorHAnsi" w:hAnsiTheme="minorHAnsi" w:cstheme="minorHAnsi"/>
          <w:sz w:val="22"/>
          <w:szCs w:val="22"/>
        </w:rPr>
        <w:t xml:space="preserve">štátnej pomoci </w:t>
      </w:r>
      <w:r w:rsidR="00A171A9" w:rsidRPr="00EB57C6">
        <w:rPr>
          <w:rFonts w:asciiTheme="minorHAnsi" w:hAnsiTheme="minorHAnsi" w:cstheme="minorHAnsi"/>
          <w:sz w:val="22"/>
          <w:szCs w:val="22"/>
        </w:rPr>
        <w:t xml:space="preserve">v súlade so zákonom č. 358/2015 Z. z. o úprave niektorých vzťahov v oblasti štátnej pomoci </w:t>
      </w:r>
      <w:r>
        <w:rPr>
          <w:rFonts w:asciiTheme="minorHAnsi" w:hAnsiTheme="minorHAnsi" w:cstheme="minorHAnsi"/>
          <w:sz w:val="22"/>
          <w:szCs w:val="22"/>
        </w:rPr>
        <w:t xml:space="preserve"> </w:t>
      </w:r>
      <w:r w:rsidR="00A171A9" w:rsidRPr="00EB57C6">
        <w:rPr>
          <w:rFonts w:asciiTheme="minorHAnsi" w:hAnsiTheme="minorHAnsi" w:cstheme="minorHAnsi"/>
          <w:sz w:val="22"/>
          <w:szCs w:val="22"/>
        </w:rPr>
        <w:t xml:space="preserve">a minimálnej pomoci a o zmene a doplnení niektorých zákonov (zákon o štátnej pomoci). Tento súhlas udeľuje koordinátorovi </w:t>
      </w:r>
      <w:r w:rsidR="00A171A9" w:rsidRPr="00BC7C6D">
        <w:rPr>
          <w:rFonts w:asciiTheme="minorHAnsi" w:hAnsiTheme="minorHAnsi" w:cstheme="minorHAnsi"/>
          <w:sz w:val="22"/>
          <w:szCs w:val="22"/>
        </w:rPr>
        <w:t>pomoci</w:t>
      </w:r>
      <w:r w:rsidR="00BC7C6D">
        <w:rPr>
          <w:rStyle w:val="Odkaznapoznmkupodiarou"/>
          <w:rFonts w:cstheme="minorHAnsi"/>
          <w:sz w:val="22"/>
          <w:szCs w:val="22"/>
        </w:rPr>
        <w:footnoteReference w:id="4"/>
      </w:r>
      <w:r w:rsidR="00A171A9" w:rsidRPr="00BC7C6D">
        <w:rPr>
          <w:rFonts w:asciiTheme="minorHAnsi" w:hAnsiTheme="minorHAnsi" w:cstheme="minorHAnsi"/>
          <w:sz w:val="22"/>
          <w:szCs w:val="22"/>
        </w:rPr>
        <w:t xml:space="preserve"> </w:t>
      </w:r>
      <w:r w:rsidR="00A171A9" w:rsidRPr="00EB57C6">
        <w:rPr>
          <w:rFonts w:asciiTheme="minorHAnsi" w:hAnsiTheme="minorHAnsi" w:cstheme="minorHAnsi"/>
          <w:sz w:val="22"/>
          <w:szCs w:val="22"/>
        </w:rPr>
        <w:t xml:space="preserve">a zároveň poskytovateľovi </w:t>
      </w:r>
      <w:r w:rsidR="006E6A77" w:rsidRPr="00EB57C6">
        <w:rPr>
          <w:rFonts w:asciiTheme="minorHAnsi" w:hAnsiTheme="minorHAnsi" w:cstheme="minorHAnsi"/>
          <w:sz w:val="22"/>
          <w:szCs w:val="22"/>
        </w:rPr>
        <w:t>štátnej pomoci</w:t>
      </w:r>
      <w:r w:rsidR="00A171A9" w:rsidRPr="00EB57C6">
        <w:rPr>
          <w:rFonts w:asciiTheme="minorHAnsi" w:hAnsiTheme="minorHAnsi" w:cstheme="minorHAnsi"/>
          <w:sz w:val="22"/>
          <w:szCs w:val="22"/>
        </w:rPr>
        <w:t>, pre všetky údaje obsiahnuté v tomto vyhlásení, a to po</w:t>
      </w:r>
      <w:r w:rsidR="005F52CF" w:rsidRPr="00EB57C6">
        <w:rPr>
          <w:rFonts w:asciiTheme="minorHAnsi" w:hAnsiTheme="minorHAnsi" w:cstheme="minorHAnsi"/>
          <w:sz w:val="22"/>
          <w:szCs w:val="22"/>
        </w:rPr>
        <w:t>čas</w:t>
      </w:r>
      <w:r w:rsidR="00A171A9" w:rsidRPr="00EB57C6">
        <w:rPr>
          <w:rFonts w:asciiTheme="minorHAnsi" w:hAnsiTheme="minorHAnsi" w:cstheme="minorHAnsi"/>
          <w:sz w:val="22"/>
          <w:szCs w:val="22"/>
        </w:rPr>
        <w:t xml:space="preserve"> </w:t>
      </w:r>
      <w:r w:rsidR="005F52CF" w:rsidRPr="00EB57C6">
        <w:rPr>
          <w:rFonts w:asciiTheme="minorHAnsi" w:hAnsiTheme="minorHAnsi" w:cstheme="minorHAnsi"/>
          <w:sz w:val="22"/>
          <w:szCs w:val="22"/>
        </w:rPr>
        <w:t>obdobia</w:t>
      </w:r>
      <w:r w:rsidR="00A171A9" w:rsidRPr="00EB57C6">
        <w:rPr>
          <w:rFonts w:asciiTheme="minorHAnsi" w:hAnsiTheme="minorHAnsi" w:cstheme="minorHAnsi"/>
          <w:sz w:val="22"/>
          <w:szCs w:val="22"/>
        </w:rPr>
        <w:t xml:space="preserve"> 10 rokov odo dňa udelenia súhlasu. </w:t>
      </w:r>
    </w:p>
    <w:p w:rsidR="00BC7C6D" w:rsidRDefault="00BC7C6D" w:rsidP="00382425">
      <w:pPr>
        <w:pStyle w:val="Odsekzoznamu"/>
        <w:tabs>
          <w:tab w:val="right" w:leader="dot" w:pos="3969"/>
          <w:tab w:val="left" w:pos="5245"/>
          <w:tab w:val="right" w:leader="dot" w:pos="9356"/>
        </w:tabs>
        <w:ind w:left="0"/>
        <w:rPr>
          <w:rFonts w:asciiTheme="minorHAnsi" w:hAnsiTheme="minorHAnsi" w:cstheme="minorHAnsi"/>
          <w:sz w:val="22"/>
          <w:szCs w:val="22"/>
        </w:rPr>
      </w:pPr>
    </w:p>
    <w:p w:rsidR="00BC7C6D" w:rsidRDefault="00BC7C6D" w:rsidP="00382425">
      <w:pPr>
        <w:pStyle w:val="Odsekzoznamu"/>
        <w:tabs>
          <w:tab w:val="right" w:leader="dot" w:pos="3969"/>
          <w:tab w:val="left" w:pos="5245"/>
          <w:tab w:val="right" w:leader="dot" w:pos="9356"/>
        </w:tabs>
        <w:ind w:left="0"/>
        <w:rPr>
          <w:rFonts w:asciiTheme="minorHAnsi" w:hAnsiTheme="minorHAnsi" w:cstheme="minorHAnsi"/>
          <w:sz w:val="22"/>
          <w:szCs w:val="22"/>
        </w:rPr>
      </w:pPr>
    </w:p>
    <w:p w:rsidR="00BC7C6D" w:rsidRDefault="00BC7C6D" w:rsidP="00382425">
      <w:pPr>
        <w:pStyle w:val="Odsekzoznamu"/>
        <w:tabs>
          <w:tab w:val="right" w:leader="dot" w:pos="3969"/>
          <w:tab w:val="left" w:pos="5245"/>
          <w:tab w:val="right" w:leader="dot" w:pos="9356"/>
        </w:tabs>
        <w:ind w:left="0"/>
        <w:rPr>
          <w:rFonts w:asciiTheme="minorHAnsi" w:hAnsiTheme="minorHAnsi" w:cstheme="minorHAnsi"/>
          <w:sz w:val="22"/>
          <w:szCs w:val="22"/>
        </w:rPr>
      </w:pPr>
    </w:p>
    <w:p w:rsidR="00BC7C6D" w:rsidRDefault="00BC7C6D" w:rsidP="00382425">
      <w:pPr>
        <w:pStyle w:val="Odsekzoznamu"/>
        <w:tabs>
          <w:tab w:val="right" w:leader="dot" w:pos="3969"/>
          <w:tab w:val="left" w:pos="5245"/>
          <w:tab w:val="right" w:leader="dot" w:pos="9356"/>
        </w:tabs>
        <w:ind w:left="0"/>
        <w:rPr>
          <w:rFonts w:asciiTheme="minorHAnsi" w:hAnsiTheme="minorHAnsi" w:cstheme="minorHAnsi"/>
          <w:sz w:val="22"/>
          <w:szCs w:val="22"/>
        </w:rPr>
      </w:pPr>
    </w:p>
    <w:p w:rsidR="00A171A9" w:rsidRPr="00EB57C6" w:rsidRDefault="00A171A9" w:rsidP="00382425">
      <w:pPr>
        <w:pStyle w:val="Odsekzoznamu"/>
        <w:tabs>
          <w:tab w:val="right" w:leader="dot" w:pos="3969"/>
          <w:tab w:val="left" w:pos="5245"/>
          <w:tab w:val="right" w:leader="dot" w:pos="9356"/>
        </w:tabs>
        <w:ind w:left="0"/>
        <w:rPr>
          <w:rFonts w:asciiTheme="minorHAnsi" w:hAnsiTheme="minorHAnsi" w:cstheme="minorHAnsi"/>
          <w:sz w:val="22"/>
          <w:szCs w:val="22"/>
        </w:rPr>
      </w:pPr>
      <w:r w:rsidRPr="00EB57C6">
        <w:rPr>
          <w:rFonts w:asciiTheme="minorHAnsi" w:hAnsiTheme="minorHAnsi" w:cstheme="minorHAnsi"/>
          <w:sz w:val="22"/>
          <w:szCs w:val="22"/>
        </w:rPr>
        <w:tab/>
      </w:r>
      <w:r w:rsidRPr="00EB57C6">
        <w:rPr>
          <w:rFonts w:asciiTheme="minorHAnsi" w:hAnsiTheme="minorHAnsi" w:cstheme="minorHAnsi"/>
          <w:sz w:val="22"/>
          <w:szCs w:val="22"/>
        </w:rPr>
        <w:tab/>
      </w:r>
      <w:r w:rsidR="00BC7C6D">
        <w:rPr>
          <w:rFonts w:asciiTheme="minorHAnsi" w:hAnsiTheme="minorHAnsi" w:cstheme="minorHAnsi"/>
          <w:sz w:val="22"/>
          <w:szCs w:val="22"/>
        </w:rPr>
        <w:t xml:space="preserve">    </w:t>
      </w:r>
      <w:r w:rsidRPr="00EB57C6">
        <w:rPr>
          <w:rFonts w:asciiTheme="minorHAnsi" w:hAnsiTheme="minorHAnsi" w:cstheme="minorHAnsi"/>
          <w:sz w:val="22"/>
          <w:szCs w:val="22"/>
        </w:rPr>
        <w:tab/>
      </w:r>
    </w:p>
    <w:p w:rsidR="008A771D" w:rsidRPr="00BC7C6D" w:rsidRDefault="00BC7C6D" w:rsidP="00382425">
      <w:pPr>
        <w:ind w:left="708" w:firstLine="708"/>
        <w:rPr>
          <w:rFonts w:asciiTheme="minorHAnsi" w:hAnsiTheme="minorHAnsi" w:cstheme="minorHAnsi"/>
          <w:sz w:val="22"/>
          <w:szCs w:val="22"/>
        </w:rPr>
      </w:pPr>
      <w:r w:rsidRPr="00BC7C6D">
        <w:rPr>
          <w:rFonts w:asciiTheme="minorHAnsi" w:hAnsiTheme="minorHAnsi" w:cstheme="minorHAnsi"/>
          <w:sz w:val="22"/>
          <w:szCs w:val="22"/>
        </w:rPr>
        <w:t xml:space="preserve">Miesto, dátum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C7C6D">
        <w:rPr>
          <w:rFonts w:asciiTheme="minorHAnsi" w:hAnsiTheme="minorHAnsi" w:cstheme="minorHAnsi"/>
          <w:sz w:val="22"/>
          <w:szCs w:val="22"/>
        </w:rPr>
        <w:t>p</w:t>
      </w:r>
      <w:r w:rsidR="00A171A9" w:rsidRPr="00BC7C6D">
        <w:rPr>
          <w:rFonts w:asciiTheme="minorHAnsi" w:hAnsiTheme="minorHAnsi" w:cstheme="minorHAnsi"/>
          <w:sz w:val="22"/>
          <w:szCs w:val="22"/>
        </w:rPr>
        <w:t>odpis žiadateľa</w:t>
      </w:r>
    </w:p>
    <w:sectPr w:rsidR="008A771D" w:rsidRPr="00BC7C6D" w:rsidSect="00EF6541">
      <w:headerReference w:type="default" r:id="rId12"/>
      <w:footerReference w:type="even" r:id="rId13"/>
      <w:footerReference w:type="default" r:id="rId14"/>
      <w:headerReference w:type="first" r:id="rId15"/>
      <w:pgSz w:w="11907" w:h="16840" w:code="9"/>
      <w:pgMar w:top="1134" w:right="1276" w:bottom="851" w:left="1134"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20" w:rsidRDefault="00372720" w:rsidP="00A171A9">
      <w:r>
        <w:separator/>
      </w:r>
    </w:p>
  </w:endnote>
  <w:endnote w:type="continuationSeparator" w:id="0">
    <w:p w:rsidR="00372720" w:rsidRDefault="00372720" w:rsidP="00A1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95" w:rsidRDefault="00881478" w:rsidP="0063453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1E0195" w:rsidRDefault="0037272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896" w:rsidRDefault="00903F6B" w:rsidP="00D5763A">
    <w:pPr>
      <w:tabs>
        <w:tab w:val="center" w:pos="4536"/>
        <w:tab w:val="right" w:pos="9072"/>
      </w:tabs>
      <w:jc w:val="center"/>
      <w:rPr>
        <w:bCs/>
        <w:i/>
        <w:sz w:val="16"/>
        <w:szCs w:val="16"/>
        <w:lang w:eastAsia="cs-CZ"/>
      </w:rPr>
    </w:pPr>
    <w:r w:rsidRPr="00903F6B">
      <w:rPr>
        <w:noProof/>
        <w:sz w:val="20"/>
        <w:szCs w:val="20"/>
      </w:rPr>
      <mc:AlternateContent>
        <mc:Choice Requires="wps">
          <w:drawing>
            <wp:anchor distT="0" distB="0" distL="114300" distR="114300" simplePos="0" relativeHeight="251661312" behindDoc="0" locked="0" layoutInCell="0" allowOverlap="1">
              <wp:simplePos x="0" y="0"/>
              <wp:positionH relativeFrom="rightMargin">
                <wp:posOffset>190804</wp:posOffset>
              </wp:positionH>
              <wp:positionV relativeFrom="margin">
                <wp:posOffset>8300913</wp:posOffset>
              </wp:positionV>
              <wp:extent cx="510540" cy="719510"/>
              <wp:effectExtent l="0" t="0" r="0" b="4445"/>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71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F6B" w:rsidRDefault="00903F6B">
                          <w:pPr>
                            <w:pStyle w:val="Pta"/>
                            <w:rPr>
                              <w:rFonts w:asciiTheme="majorHAnsi" w:eastAsiaTheme="majorEastAsia" w:hAnsiTheme="majorHAnsi" w:cstheme="majorBidi"/>
                              <w:sz w:val="44"/>
                              <w:szCs w:val="44"/>
                            </w:rPr>
                          </w:pPr>
                          <w:r w:rsidRPr="00EF6541">
                            <w:rPr>
                              <w:rFonts w:asciiTheme="majorHAnsi" w:eastAsiaTheme="majorEastAsia" w:hAnsiTheme="majorHAnsi" w:cstheme="majorBidi"/>
                              <w:sz w:val="20"/>
                              <w:szCs w:val="20"/>
                            </w:rPr>
                            <w:t>Strana</w:t>
                          </w:r>
                          <w:r>
                            <w:rPr>
                              <w:rFonts w:asciiTheme="majorHAnsi" w:eastAsiaTheme="majorEastAsia" w:hAnsiTheme="majorHAnsi" w:cstheme="majorBidi"/>
                            </w:rPr>
                            <w:t xml:space="preserve"> </w:t>
                          </w:r>
                          <w:r w:rsidRPr="00EF6541">
                            <w:rPr>
                              <w:rFonts w:asciiTheme="minorHAnsi" w:eastAsiaTheme="minorEastAsia" w:hAnsiTheme="minorHAnsi"/>
                              <w:sz w:val="22"/>
                              <w:szCs w:val="22"/>
                            </w:rPr>
                            <w:fldChar w:fldCharType="begin"/>
                          </w:r>
                          <w:r w:rsidRPr="00EF6541">
                            <w:rPr>
                              <w:sz w:val="22"/>
                              <w:szCs w:val="22"/>
                            </w:rPr>
                            <w:instrText>PAGE    \* MERGEFORMAT</w:instrText>
                          </w:r>
                          <w:r w:rsidRPr="00EF6541">
                            <w:rPr>
                              <w:rFonts w:asciiTheme="minorHAnsi" w:eastAsiaTheme="minorEastAsia" w:hAnsiTheme="minorHAnsi"/>
                              <w:sz w:val="22"/>
                              <w:szCs w:val="22"/>
                            </w:rPr>
                            <w:fldChar w:fldCharType="separate"/>
                          </w:r>
                          <w:r w:rsidR="00D4686D" w:rsidRPr="00D4686D">
                            <w:rPr>
                              <w:rFonts w:asciiTheme="majorHAnsi" w:eastAsiaTheme="majorEastAsia" w:hAnsiTheme="majorHAnsi" w:cstheme="majorBidi"/>
                              <w:noProof/>
                              <w:sz w:val="22"/>
                              <w:szCs w:val="22"/>
                            </w:rPr>
                            <w:t>1</w:t>
                          </w:r>
                          <w:r w:rsidRPr="00EF6541">
                            <w:rPr>
                              <w:rFonts w:asciiTheme="majorHAnsi" w:eastAsiaTheme="majorEastAsia" w:hAnsiTheme="majorHAnsi" w:cstheme="majorBidi"/>
                              <w:sz w:val="22"/>
                              <w:szCs w:val="2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Obdĺžnik 1" o:spid="_x0000_s1026" style="position:absolute;left:0;text-align:left;margin-left:15pt;margin-top:653.6pt;width:40.2pt;height:56.6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" o:allowincell="f" filled="f" stroked="f">
              <v:textbox style="layout-flow:vertical;mso-layout-flow-alt:bottom-to-top;mso-fit-shape-to-text:t">
                <w:txbxContent>
                  <w:p w:rsidR="00903F6B" w:rsidRDefault="00903F6B">
                    <w:pPr>
                      <w:pStyle w:val="Pta"/>
                      <w:rPr>
                        <w:rFonts w:asciiTheme="majorHAnsi" w:eastAsiaTheme="majorEastAsia" w:hAnsiTheme="majorHAnsi" w:cstheme="majorBidi"/>
                        <w:sz w:val="44"/>
                        <w:szCs w:val="44"/>
                      </w:rPr>
                    </w:pPr>
                    <w:r w:rsidRPr="00EF6541">
                      <w:rPr>
                        <w:rFonts w:asciiTheme="majorHAnsi" w:eastAsiaTheme="majorEastAsia" w:hAnsiTheme="majorHAnsi" w:cstheme="majorBidi"/>
                        <w:sz w:val="20"/>
                        <w:szCs w:val="20"/>
                      </w:rPr>
                      <w:t>Strana</w:t>
                    </w:r>
                    <w:r>
                      <w:rPr>
                        <w:rFonts w:asciiTheme="majorHAnsi" w:eastAsiaTheme="majorEastAsia" w:hAnsiTheme="majorHAnsi" w:cstheme="majorBidi"/>
                      </w:rPr>
                      <w:t xml:space="preserve"> </w:t>
                    </w:r>
                    <w:r w:rsidRPr="00EF6541">
                      <w:rPr>
                        <w:rFonts w:asciiTheme="minorHAnsi" w:eastAsiaTheme="minorEastAsia" w:hAnsiTheme="minorHAnsi"/>
                        <w:sz w:val="22"/>
                        <w:szCs w:val="22"/>
                      </w:rPr>
                      <w:fldChar w:fldCharType="begin"/>
                    </w:r>
                    <w:r w:rsidRPr="00EF6541">
                      <w:rPr>
                        <w:sz w:val="22"/>
                        <w:szCs w:val="22"/>
                      </w:rPr>
                      <w:instrText>PAGE    \* MERGEFORMAT</w:instrText>
                    </w:r>
                    <w:r w:rsidRPr="00EF6541">
                      <w:rPr>
                        <w:rFonts w:asciiTheme="minorHAnsi" w:eastAsiaTheme="minorEastAsia" w:hAnsiTheme="minorHAnsi"/>
                        <w:sz w:val="22"/>
                        <w:szCs w:val="22"/>
                      </w:rPr>
                      <w:fldChar w:fldCharType="separate"/>
                    </w:r>
                    <w:r w:rsidR="00D4686D" w:rsidRPr="00D4686D">
                      <w:rPr>
                        <w:rFonts w:asciiTheme="majorHAnsi" w:eastAsiaTheme="majorEastAsia" w:hAnsiTheme="majorHAnsi" w:cstheme="majorBidi"/>
                        <w:noProof/>
                        <w:sz w:val="22"/>
                        <w:szCs w:val="22"/>
                      </w:rPr>
                      <w:t>1</w:t>
                    </w:r>
                    <w:r w:rsidRPr="00EF6541">
                      <w:rPr>
                        <w:rFonts w:asciiTheme="majorHAnsi" w:eastAsiaTheme="majorEastAsia" w:hAnsiTheme="majorHAnsi" w:cstheme="majorBidi"/>
                        <w:sz w:val="22"/>
                        <w:szCs w:val="22"/>
                      </w:rPr>
                      <w:fldChar w:fldCharType="end"/>
                    </w:r>
                  </w:p>
                </w:txbxContent>
              </v:textbox>
              <w10:wrap anchorx="margin" anchory="margin"/>
            </v:rect>
          </w:pict>
        </mc:Fallback>
      </mc:AlternateContent>
    </w:r>
  </w:p>
  <w:p w:rsidR="00D5763A" w:rsidRDefault="00D5763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20" w:rsidRDefault="00372720" w:rsidP="00A171A9">
      <w:r>
        <w:separator/>
      </w:r>
    </w:p>
  </w:footnote>
  <w:footnote w:type="continuationSeparator" w:id="0">
    <w:p w:rsidR="00372720" w:rsidRDefault="00372720" w:rsidP="00A171A9">
      <w:r>
        <w:continuationSeparator/>
      </w:r>
    </w:p>
  </w:footnote>
  <w:footnote w:id="1">
    <w:p w:rsidR="00325ECF" w:rsidRPr="00B3383A" w:rsidRDefault="00B3383A" w:rsidP="000112FF">
      <w:pPr>
        <w:pStyle w:val="Textpoznmkypodiarou"/>
        <w:ind w:left="142" w:hanging="142"/>
        <w:rPr>
          <w:rFonts w:asciiTheme="minorHAnsi" w:hAnsiTheme="minorHAnsi"/>
          <w:sz w:val="18"/>
          <w:szCs w:val="18"/>
        </w:rPr>
      </w:pPr>
      <w:r w:rsidRPr="00B3383A">
        <w:rPr>
          <w:rFonts w:asciiTheme="minorHAnsi" w:hAnsiTheme="minorHAnsi"/>
          <w:sz w:val="18"/>
          <w:szCs w:val="18"/>
        </w:rPr>
        <w:t xml:space="preserve">1 </w:t>
      </w:r>
      <w:r w:rsidR="000112FF" w:rsidRPr="000112FF">
        <w:rPr>
          <w:rFonts w:asciiTheme="minorHAnsi" w:hAnsiTheme="minorHAnsi"/>
          <w:b/>
          <w:sz w:val="18"/>
          <w:szCs w:val="18"/>
        </w:rPr>
        <w:t>Príloha I</w:t>
      </w:r>
      <w:r w:rsidR="000112FF">
        <w:rPr>
          <w:rFonts w:asciiTheme="minorHAnsi" w:hAnsiTheme="minorHAnsi"/>
          <w:sz w:val="18"/>
          <w:szCs w:val="18"/>
        </w:rPr>
        <w:t xml:space="preserve"> </w:t>
      </w:r>
      <w:r w:rsidRPr="00B3383A">
        <w:rPr>
          <w:rFonts w:asciiTheme="minorHAnsi" w:hAnsiTheme="minorHAnsi"/>
          <w:sz w:val="18"/>
          <w:szCs w:val="18"/>
        </w:rPr>
        <w:t>S</w:t>
      </w:r>
      <w:r w:rsidR="000112FF">
        <w:rPr>
          <w:rFonts w:asciiTheme="minorHAnsi" w:hAnsiTheme="minorHAnsi"/>
          <w:sz w:val="18"/>
          <w:szCs w:val="18"/>
        </w:rPr>
        <w:t>mernice</w:t>
      </w:r>
      <w:r w:rsidRPr="00B3383A">
        <w:rPr>
          <w:rFonts w:asciiTheme="minorHAnsi" w:hAnsiTheme="minorHAnsi"/>
          <w:sz w:val="18"/>
          <w:szCs w:val="18"/>
        </w:rPr>
        <w:t xml:space="preserve"> európskeho parlamentu a rady</w:t>
      </w:r>
      <w:r w:rsidR="00325ECF" w:rsidRPr="00B3383A">
        <w:rPr>
          <w:rFonts w:asciiTheme="minorHAnsi" w:hAnsiTheme="minorHAnsi"/>
          <w:sz w:val="18"/>
          <w:szCs w:val="18"/>
        </w:rPr>
        <w:t xml:space="preserve"> 2013/34/EÚ z 26. júna 2013 o ročných účtovných závierkach, konsolidovaných účtovných závierkach a súvisiacich správach určitých druhov podnikov, ktorou sa mení smernica Európskeho parlamentu a Rady 2006/43/ES a zrušujú smerni</w:t>
      </w:r>
      <w:r w:rsidR="000112FF">
        <w:rPr>
          <w:rFonts w:asciiTheme="minorHAnsi" w:hAnsiTheme="minorHAnsi"/>
          <w:sz w:val="18"/>
          <w:szCs w:val="18"/>
        </w:rPr>
        <w:t xml:space="preserve">ce Rady 78/660/EHS a 83/349/EHS </w:t>
      </w:r>
      <w:hyperlink r:id="rId1" w:history="1">
        <w:r w:rsidR="006160EC" w:rsidRPr="006160EC">
          <w:rPr>
            <w:rStyle w:val="Hypertextovprepojenie"/>
            <w:rFonts w:asciiTheme="minorHAnsi" w:hAnsiTheme="minorHAnsi"/>
            <w:sz w:val="18"/>
            <w:szCs w:val="18"/>
          </w:rPr>
          <w:t>tu.</w:t>
        </w:r>
      </w:hyperlink>
    </w:p>
  </w:footnote>
  <w:footnote w:id="2">
    <w:p w:rsidR="000112FF" w:rsidRPr="00B3383A" w:rsidRDefault="00B3383A" w:rsidP="000112FF">
      <w:pPr>
        <w:pStyle w:val="Textpoznmkypodiarou"/>
        <w:ind w:left="142" w:hanging="142"/>
        <w:rPr>
          <w:rFonts w:asciiTheme="minorHAnsi" w:hAnsiTheme="minorHAnsi"/>
          <w:sz w:val="18"/>
          <w:szCs w:val="18"/>
        </w:rPr>
      </w:pPr>
      <w:r w:rsidRPr="00B3383A">
        <w:rPr>
          <w:rStyle w:val="Odkaznapoznmkupodiarou"/>
          <w:rFonts w:asciiTheme="minorHAnsi" w:hAnsiTheme="minorHAnsi"/>
          <w:sz w:val="28"/>
          <w:szCs w:val="28"/>
        </w:rPr>
        <w:footnoteRef/>
      </w:r>
      <w:r w:rsidRPr="00B3383A">
        <w:rPr>
          <w:rFonts w:asciiTheme="minorHAnsi" w:hAnsiTheme="minorHAnsi"/>
          <w:sz w:val="28"/>
          <w:szCs w:val="28"/>
        </w:rPr>
        <w:t xml:space="preserve"> </w:t>
      </w:r>
      <w:r w:rsidR="000112FF" w:rsidRPr="000112FF">
        <w:rPr>
          <w:rFonts w:asciiTheme="minorHAnsi" w:hAnsiTheme="minorHAnsi"/>
          <w:b/>
          <w:sz w:val="18"/>
          <w:szCs w:val="18"/>
        </w:rPr>
        <w:t>Príloha II</w:t>
      </w:r>
      <w:r w:rsidR="000112FF">
        <w:rPr>
          <w:rFonts w:asciiTheme="minorHAnsi" w:hAnsiTheme="minorHAnsi"/>
          <w:sz w:val="18"/>
          <w:szCs w:val="18"/>
        </w:rPr>
        <w:t xml:space="preserve"> </w:t>
      </w:r>
      <w:r w:rsidR="000112FF" w:rsidRPr="00B3383A">
        <w:rPr>
          <w:rFonts w:asciiTheme="minorHAnsi" w:hAnsiTheme="minorHAnsi"/>
          <w:sz w:val="18"/>
          <w:szCs w:val="18"/>
        </w:rPr>
        <w:t>S</w:t>
      </w:r>
      <w:r w:rsidR="000112FF">
        <w:rPr>
          <w:rFonts w:asciiTheme="minorHAnsi" w:hAnsiTheme="minorHAnsi"/>
          <w:sz w:val="18"/>
          <w:szCs w:val="18"/>
        </w:rPr>
        <w:t>mernice</w:t>
      </w:r>
      <w:r w:rsidR="000112FF" w:rsidRPr="00B3383A">
        <w:rPr>
          <w:rFonts w:asciiTheme="minorHAnsi" w:hAnsiTheme="minorHAnsi"/>
          <w:sz w:val="18"/>
          <w:szCs w:val="18"/>
        </w:rPr>
        <w:t xml:space="preserve"> európskeho parlamentu a rady 2013/34/EÚ z 26. júna 2013 o ročných účtovných závierkach, konsolidovaných účtovných závierkach a súvisiacich správach určitých druhov podnikov, ktorou sa mení smernica Európskeho parlamentu a Rady 2006/43/ES a zrušujú smerni</w:t>
      </w:r>
      <w:r w:rsidR="000112FF">
        <w:rPr>
          <w:rFonts w:asciiTheme="minorHAnsi" w:hAnsiTheme="minorHAnsi"/>
          <w:sz w:val="18"/>
          <w:szCs w:val="18"/>
        </w:rPr>
        <w:t xml:space="preserve">ce Rady 78/660/EHS a 83/349/EHS </w:t>
      </w:r>
      <w:hyperlink r:id="rId2" w:history="1">
        <w:r w:rsidR="006160EC" w:rsidRPr="006160EC">
          <w:rPr>
            <w:rStyle w:val="Hypertextovprepojenie"/>
            <w:rFonts w:asciiTheme="minorHAnsi" w:hAnsiTheme="minorHAnsi"/>
            <w:sz w:val="18"/>
            <w:szCs w:val="18"/>
          </w:rPr>
          <w:t>tu.</w:t>
        </w:r>
      </w:hyperlink>
    </w:p>
    <w:p w:rsidR="00B3383A" w:rsidRPr="00B3383A" w:rsidRDefault="00B3383A" w:rsidP="00B3383A">
      <w:pPr>
        <w:pStyle w:val="Textpoznmkypodiarou"/>
        <w:ind w:firstLine="0"/>
        <w:rPr>
          <w:rFonts w:asciiTheme="minorHAnsi" w:hAnsiTheme="minorHAnsi"/>
          <w:sz w:val="28"/>
          <w:szCs w:val="28"/>
        </w:rPr>
      </w:pPr>
    </w:p>
  </w:footnote>
  <w:footnote w:id="3">
    <w:p w:rsidR="000F2554" w:rsidRPr="00323D5E" w:rsidRDefault="000F2554" w:rsidP="00092320">
      <w:pPr>
        <w:pStyle w:val="Textpoznmkypodiarou"/>
        <w:spacing w:before="120"/>
        <w:ind w:hanging="142"/>
        <w:rPr>
          <w:rFonts w:cstheme="minorHAnsi"/>
          <w:sz w:val="18"/>
          <w:szCs w:val="18"/>
        </w:rPr>
      </w:pPr>
      <w:r w:rsidRPr="00323D5E">
        <w:rPr>
          <w:rStyle w:val="Odkaznapoznmkupodiarou"/>
          <w:rFonts w:asciiTheme="minorHAnsi" w:hAnsiTheme="minorHAnsi" w:cstheme="minorHAnsi"/>
          <w:sz w:val="18"/>
          <w:szCs w:val="18"/>
        </w:rPr>
        <w:footnoteRef/>
      </w:r>
      <w:r w:rsidRPr="00323D5E">
        <w:rPr>
          <w:rFonts w:cstheme="minorHAnsi"/>
          <w:sz w:val="18"/>
          <w:szCs w:val="18"/>
        </w:rPr>
        <w:t xml:space="preserve"> </w:t>
      </w:r>
      <w:r w:rsidRPr="00164B5F">
        <w:rPr>
          <w:rFonts w:cstheme="minorHAnsi"/>
          <w:sz w:val="18"/>
          <w:szCs w:val="18"/>
        </w:rPr>
        <w:t>Pozri</w:t>
      </w:r>
      <w:r w:rsidRPr="00323D5E">
        <w:rPr>
          <w:rFonts w:cstheme="minorHAnsi"/>
          <w:sz w:val="18"/>
          <w:szCs w:val="18"/>
        </w:rPr>
        <w:t xml:space="preserve"> často kladené otázky k Nariadeniu</w:t>
      </w:r>
      <w:r w:rsidRPr="00323D5E">
        <w:rPr>
          <w:sz w:val="18"/>
          <w:szCs w:val="18"/>
        </w:rPr>
        <w:t xml:space="preserve"> </w:t>
      </w:r>
      <w:r w:rsidRPr="00323D5E">
        <w:rPr>
          <w:rFonts w:cstheme="minorHAnsi"/>
          <w:sz w:val="18"/>
          <w:szCs w:val="18"/>
        </w:rPr>
        <w:t>Komisie (EÚ) č. 651/2014 zo 17. júna 2014 o vyhlásení určitých kategórií pomoci za zlučiteľné s vnútorným trhom podľa článku 107 a 108 zmluvy</w:t>
      </w:r>
      <w:r>
        <w:rPr>
          <w:rFonts w:cstheme="minorHAnsi"/>
          <w:sz w:val="18"/>
          <w:szCs w:val="18"/>
        </w:rPr>
        <w:t xml:space="preserve">, </w:t>
      </w:r>
      <w:r w:rsidRPr="00323D5E">
        <w:rPr>
          <w:rFonts w:cstheme="minorHAnsi"/>
          <w:sz w:val="18"/>
          <w:szCs w:val="18"/>
        </w:rPr>
        <w:t xml:space="preserve">otázka č. 5 zverejnené  </w:t>
      </w:r>
      <w:hyperlink r:id="rId3" w:history="1">
        <w:r w:rsidR="00F10159" w:rsidRPr="00F10159">
          <w:rPr>
            <w:rStyle w:val="Hypertextovprepojenie"/>
            <w:rFonts w:cstheme="minorHAnsi"/>
            <w:sz w:val="18"/>
            <w:szCs w:val="18"/>
          </w:rPr>
          <w:t>tu,</w:t>
        </w:r>
      </w:hyperlink>
      <w:r w:rsidR="00F10159">
        <w:rPr>
          <w:rFonts w:cstheme="minorHAnsi"/>
          <w:sz w:val="18"/>
          <w:szCs w:val="18"/>
        </w:rPr>
        <w:t xml:space="preserve"> </w:t>
      </w:r>
      <w:r w:rsidRPr="00323D5E">
        <w:rPr>
          <w:rFonts w:cstheme="minorHAnsi"/>
          <w:sz w:val="18"/>
          <w:szCs w:val="18"/>
        </w:rPr>
        <w:t>praco</w:t>
      </w:r>
      <w:r w:rsidR="00F10159">
        <w:rPr>
          <w:rFonts w:cstheme="minorHAnsi"/>
          <w:sz w:val="18"/>
          <w:szCs w:val="18"/>
        </w:rPr>
        <w:t xml:space="preserve">vná verzia slovenského prekladu </w:t>
      </w:r>
      <w:hyperlink r:id="rId4" w:history="1">
        <w:r w:rsidR="00F10159" w:rsidRPr="00F10159">
          <w:rPr>
            <w:rStyle w:val="Hypertextovprepojenie"/>
            <w:rFonts w:cstheme="minorHAnsi"/>
            <w:sz w:val="18"/>
            <w:szCs w:val="18"/>
          </w:rPr>
          <w:t>tu.</w:t>
        </w:r>
      </w:hyperlink>
      <w:r w:rsidR="00F10159">
        <w:rPr>
          <w:rFonts w:cstheme="minorHAnsi"/>
          <w:sz w:val="18"/>
          <w:szCs w:val="18"/>
        </w:rPr>
        <w:t xml:space="preserve"> </w:t>
      </w:r>
      <w:r w:rsidRPr="00323D5E">
        <w:rPr>
          <w:rFonts w:cstheme="minorHAnsi"/>
          <w:sz w:val="18"/>
          <w:szCs w:val="18"/>
        </w:rPr>
        <w:t xml:space="preserve"> </w:t>
      </w:r>
    </w:p>
  </w:footnote>
  <w:footnote w:id="4">
    <w:p w:rsidR="00BC7C6D" w:rsidRPr="006160EC" w:rsidRDefault="00BC7C6D" w:rsidP="00BC7C6D">
      <w:pPr>
        <w:pStyle w:val="Textpoznmkypodiarou"/>
        <w:ind w:left="142" w:hanging="142"/>
        <w:rPr>
          <w:rFonts w:ascii="Arial" w:hAnsi="Arial" w:cs="Arial"/>
          <w:sz w:val="18"/>
          <w:szCs w:val="18"/>
        </w:rPr>
      </w:pPr>
      <w:r>
        <w:rPr>
          <w:rStyle w:val="Odkaznapoznmkupodiarou"/>
        </w:rPr>
        <w:footnoteRef/>
      </w:r>
      <w:r>
        <w:t xml:space="preserve"> </w:t>
      </w:r>
      <w:r w:rsidRPr="006160EC">
        <w:rPr>
          <w:rFonts w:asciiTheme="minorHAnsi" w:hAnsiTheme="minorHAnsi" w:cstheme="minorHAnsi"/>
          <w:sz w:val="18"/>
          <w:szCs w:val="18"/>
        </w:rPr>
        <w:t>Koordinátorom pomoci je podľa § 2 ods. 1 zákona č. 358/2015 Z. z. o úprave niektorých vzťahov v oblasti štátnej pomoci a minimálnej pomoci a o zmene a doplnení niektorých zákonov (zákon o štátnej pomoci) Protimonopolný úrad Slovenskej republiky.</w:t>
      </w:r>
    </w:p>
    <w:p w:rsidR="00BC7C6D" w:rsidRDefault="00BC7C6D">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EC" w:rsidRPr="00A645EC" w:rsidRDefault="00A645EC" w:rsidP="00A645EC">
    <w:pPr>
      <w:pStyle w:val="Hlavika"/>
      <w:jc w:val="right"/>
      <w:rPr>
        <w:sz w:val="20"/>
        <w:szCs w:val="20"/>
      </w:rPr>
    </w:pPr>
  </w:p>
  <w:p w:rsidR="0026587B" w:rsidRDefault="0026587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80387"/>
      <w:docPartObj>
        <w:docPartGallery w:val="Page Numbers (Margins)"/>
        <w:docPartUnique/>
      </w:docPartObj>
    </w:sdtPr>
    <w:sdtEndPr/>
    <w:sdtContent>
      <w:p w:rsidR="0026587B" w:rsidRDefault="0026587B">
        <w:pPr>
          <w:pStyle w:val="Hlavika"/>
        </w:pPr>
        <w:r>
          <w:rPr>
            <w:noProof/>
          </w:rPr>
          <mc:AlternateContent>
            <mc:Choice Requires="wps">
              <w:drawing>
                <wp:anchor distT="0" distB="0" distL="114300" distR="114300" simplePos="0" relativeHeight="251659264" behindDoc="0" locked="0" layoutInCell="0" allowOverlap="1" wp14:anchorId="487FED53" wp14:editId="6EC068FC">
                  <wp:simplePos x="0" y="0"/>
                  <wp:positionH relativeFrom="rightMargin">
                    <wp:align>center</wp:align>
                  </wp:positionH>
                  <wp:positionV relativeFrom="page">
                    <wp:align>center</wp:align>
                  </wp:positionV>
                  <wp:extent cx="762000" cy="895350"/>
                  <wp:effectExtent l="0" t="0" r="0" b="0"/>
                  <wp:wrapNone/>
                  <wp:docPr id="559" name="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26587B" w:rsidRDefault="0026587B">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EF6541" w:rsidRPr="00EF6541">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FED53" id="Obdĺžnik 9"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YBKFdIUC&#10;AAD3BAAADgAAAAAAAAAAAAAAAAAuAgAAZHJzL2Uyb0RvYy54bWxQSwECLQAUAAYACAAAACEAbNUf&#10;09kAAAAFAQAADwAAAAAAAAAAAAAAAADfBAAAZHJzL2Rvd25yZXYueG1sUEsFBgAAAAAEAAQA8wAA&#10;AOUFAAAAAA==&#10;" o:allowincell="f" stroked="f">
                  <v:textbox>
                    <w:txbxContent>
                      <w:sdt>
                        <w:sdtPr>
                          <w:rPr>
                            <w:rFonts w:asciiTheme="majorHAnsi" w:eastAsiaTheme="majorEastAsia" w:hAnsiTheme="majorHAnsi" w:cstheme="majorBidi"/>
                            <w:sz w:val="48"/>
                            <w:szCs w:val="48"/>
                          </w:rPr>
                          <w:id w:val="-1131474261"/>
                        </w:sdtPr>
                        <w:sdtEndPr/>
                        <w:sdtContent>
                          <w:p w:rsidR="0026587B" w:rsidRDefault="0026587B">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EF6541" w:rsidRPr="00EF6541">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E75B90"/>
    <w:multiLevelType w:val="hybridMultilevel"/>
    <w:tmpl w:val="6458E974"/>
    <w:lvl w:ilvl="0" w:tplc="955C7DF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22E011A6"/>
    <w:multiLevelType w:val="hybridMultilevel"/>
    <w:tmpl w:val="DF428A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4BD7ADB"/>
    <w:multiLevelType w:val="hybridMultilevel"/>
    <w:tmpl w:val="0FE42346"/>
    <w:lvl w:ilvl="0" w:tplc="AC9A293E">
      <w:start w:val="1"/>
      <w:numFmt w:val="upperLetter"/>
      <w:lvlText w:val="%1."/>
      <w:lvlJc w:val="left"/>
      <w:pPr>
        <w:ind w:left="360" w:hanging="360"/>
      </w:pPr>
      <w:rPr>
        <w:b/>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4AD80CA4"/>
    <w:multiLevelType w:val="hybridMultilevel"/>
    <w:tmpl w:val="1FDA56E2"/>
    <w:lvl w:ilvl="0" w:tplc="9574F540">
      <w:numFmt w:val="bullet"/>
      <w:lvlText w:val=""/>
      <w:lvlJc w:val="left"/>
      <w:pPr>
        <w:ind w:left="720" w:hanging="36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E800E9C"/>
    <w:multiLevelType w:val="hybridMultilevel"/>
    <w:tmpl w:val="1EE2139C"/>
    <w:lvl w:ilvl="0" w:tplc="AC9A293E">
      <w:start w:val="1"/>
      <w:numFmt w:val="upperLetter"/>
      <w:lvlText w:val="%1."/>
      <w:lvlJc w:val="left"/>
      <w:pPr>
        <w:ind w:left="1429" w:hanging="360"/>
      </w:pPr>
      <w:rPr>
        <w:b/>
        <w:i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7030249E"/>
    <w:multiLevelType w:val="hybridMultilevel"/>
    <w:tmpl w:val="142A019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04E1DED"/>
    <w:multiLevelType w:val="hybridMultilevel"/>
    <w:tmpl w:val="7B9457FA"/>
    <w:lvl w:ilvl="0" w:tplc="041B0015">
      <w:start w:val="1"/>
      <w:numFmt w:val="upperLetter"/>
      <w:lvlText w:val="%1."/>
      <w:lvlJc w:val="left"/>
      <w:pPr>
        <w:ind w:left="720" w:hanging="360"/>
      </w:pPr>
    </w:lvl>
    <w:lvl w:ilvl="1" w:tplc="041B0013">
      <w:start w:val="1"/>
      <w:numFmt w:val="upperRoman"/>
      <w:lvlText w:val="%2."/>
      <w:lvlJc w:val="right"/>
      <w:pPr>
        <w:ind w:left="1440" w:hanging="360"/>
      </w:pPr>
    </w:lvl>
    <w:lvl w:ilvl="2" w:tplc="7780E998">
      <w:start w:val="1"/>
      <w:numFmt w:val="lowerLetter"/>
      <w:lvlText w:val="%3)"/>
      <w:lvlJc w:val="left"/>
      <w:pPr>
        <w:ind w:left="2340" w:hanging="360"/>
      </w:pPr>
      <w:rPr>
        <w:rFonts w:hint="default"/>
      </w:rPr>
    </w:lvl>
    <w:lvl w:ilvl="3" w:tplc="9FC4A3A6">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1E22A00"/>
    <w:multiLevelType w:val="hybridMultilevel"/>
    <w:tmpl w:val="D7AC89CE"/>
    <w:lvl w:ilvl="0" w:tplc="7AC2E110">
      <w:start w:val="1"/>
      <w:numFmt w:val="bullet"/>
      <w:lvlText w:val="-"/>
      <w:lvlJc w:val="left"/>
      <w:pPr>
        <w:ind w:left="100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4"/>
  </w:num>
  <w:num w:numId="5">
    <w:abstractNumId w:val="1"/>
  </w:num>
  <w:num w:numId="6">
    <w:abstractNumId w:val="2"/>
  </w:num>
  <w:num w:numId="7">
    <w:abstractNumId w:val="3"/>
  </w:num>
  <w:num w:numId="8">
    <w:abstractNumId w:val="7"/>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A9"/>
    <w:rsid w:val="00004416"/>
    <w:rsid w:val="000112FF"/>
    <w:rsid w:val="0002641E"/>
    <w:rsid w:val="00092320"/>
    <w:rsid w:val="000D01E4"/>
    <w:rsid w:val="000D3BDF"/>
    <w:rsid w:val="000E7B9B"/>
    <w:rsid w:val="000F2554"/>
    <w:rsid w:val="0012298F"/>
    <w:rsid w:val="001517BC"/>
    <w:rsid w:val="00154E6C"/>
    <w:rsid w:val="001B7F9D"/>
    <w:rsid w:val="001C6941"/>
    <w:rsid w:val="001E2E1C"/>
    <w:rsid w:val="001E58F2"/>
    <w:rsid w:val="00215B58"/>
    <w:rsid w:val="00247E05"/>
    <w:rsid w:val="00263F56"/>
    <w:rsid w:val="0026587B"/>
    <w:rsid w:val="002C183F"/>
    <w:rsid w:val="002E4988"/>
    <w:rsid w:val="002F5827"/>
    <w:rsid w:val="003112D3"/>
    <w:rsid w:val="00321BE2"/>
    <w:rsid w:val="00325ECF"/>
    <w:rsid w:val="00336CEC"/>
    <w:rsid w:val="00360B42"/>
    <w:rsid w:val="003621D4"/>
    <w:rsid w:val="00372720"/>
    <w:rsid w:val="00377EFD"/>
    <w:rsid w:val="00382425"/>
    <w:rsid w:val="00384E5F"/>
    <w:rsid w:val="003D0C71"/>
    <w:rsid w:val="003D4A36"/>
    <w:rsid w:val="003E445B"/>
    <w:rsid w:val="004137B6"/>
    <w:rsid w:val="004413F2"/>
    <w:rsid w:val="0045695B"/>
    <w:rsid w:val="00460143"/>
    <w:rsid w:val="00485111"/>
    <w:rsid w:val="00496232"/>
    <w:rsid w:val="004B796B"/>
    <w:rsid w:val="004F3D84"/>
    <w:rsid w:val="004F7DA9"/>
    <w:rsid w:val="0050436D"/>
    <w:rsid w:val="00524AD5"/>
    <w:rsid w:val="00530E76"/>
    <w:rsid w:val="00555A47"/>
    <w:rsid w:val="0056565C"/>
    <w:rsid w:val="00574113"/>
    <w:rsid w:val="005801F2"/>
    <w:rsid w:val="005918B2"/>
    <w:rsid w:val="0059482C"/>
    <w:rsid w:val="00595063"/>
    <w:rsid w:val="005E057F"/>
    <w:rsid w:val="005F52CF"/>
    <w:rsid w:val="006160EC"/>
    <w:rsid w:val="0061689D"/>
    <w:rsid w:val="00633357"/>
    <w:rsid w:val="00665DF4"/>
    <w:rsid w:val="00677104"/>
    <w:rsid w:val="006C31B1"/>
    <w:rsid w:val="006E6A77"/>
    <w:rsid w:val="006E6E67"/>
    <w:rsid w:val="00723896"/>
    <w:rsid w:val="00733377"/>
    <w:rsid w:val="0077790E"/>
    <w:rsid w:val="007A7AFD"/>
    <w:rsid w:val="007B05E1"/>
    <w:rsid w:val="007E19B6"/>
    <w:rsid w:val="007E383C"/>
    <w:rsid w:val="007E5BDA"/>
    <w:rsid w:val="007F0843"/>
    <w:rsid w:val="00844563"/>
    <w:rsid w:val="008541D9"/>
    <w:rsid w:val="00881478"/>
    <w:rsid w:val="00882F4C"/>
    <w:rsid w:val="00891F7A"/>
    <w:rsid w:val="00897620"/>
    <w:rsid w:val="008A0038"/>
    <w:rsid w:val="008A771D"/>
    <w:rsid w:val="008D050F"/>
    <w:rsid w:val="00903F6B"/>
    <w:rsid w:val="0094318F"/>
    <w:rsid w:val="00986BF5"/>
    <w:rsid w:val="00987CDF"/>
    <w:rsid w:val="009A3AF7"/>
    <w:rsid w:val="009B3E9E"/>
    <w:rsid w:val="00A00582"/>
    <w:rsid w:val="00A171A9"/>
    <w:rsid w:val="00A17474"/>
    <w:rsid w:val="00A645EC"/>
    <w:rsid w:val="00A81FE1"/>
    <w:rsid w:val="00A91CFA"/>
    <w:rsid w:val="00AB3D35"/>
    <w:rsid w:val="00AC1DC4"/>
    <w:rsid w:val="00B3383A"/>
    <w:rsid w:val="00B43494"/>
    <w:rsid w:val="00B76C7C"/>
    <w:rsid w:val="00B7792C"/>
    <w:rsid w:val="00BC7C6D"/>
    <w:rsid w:val="00C04ECD"/>
    <w:rsid w:val="00C275EB"/>
    <w:rsid w:val="00C41803"/>
    <w:rsid w:val="00C62AA2"/>
    <w:rsid w:val="00CA21F8"/>
    <w:rsid w:val="00CA2B61"/>
    <w:rsid w:val="00CB4616"/>
    <w:rsid w:val="00CC0BD3"/>
    <w:rsid w:val="00CC7BC8"/>
    <w:rsid w:val="00CC7C79"/>
    <w:rsid w:val="00CE43D4"/>
    <w:rsid w:val="00D02F6E"/>
    <w:rsid w:val="00D24C1B"/>
    <w:rsid w:val="00D45F5F"/>
    <w:rsid w:val="00D4686D"/>
    <w:rsid w:val="00D5763A"/>
    <w:rsid w:val="00D61669"/>
    <w:rsid w:val="00D74C7D"/>
    <w:rsid w:val="00DB323A"/>
    <w:rsid w:val="00DB4F0B"/>
    <w:rsid w:val="00DE6472"/>
    <w:rsid w:val="00E01778"/>
    <w:rsid w:val="00E30E32"/>
    <w:rsid w:val="00E73273"/>
    <w:rsid w:val="00EB1C60"/>
    <w:rsid w:val="00EB57C6"/>
    <w:rsid w:val="00EF6541"/>
    <w:rsid w:val="00F10159"/>
    <w:rsid w:val="00F34EDC"/>
    <w:rsid w:val="00F45D6E"/>
    <w:rsid w:val="00F76FBC"/>
    <w:rsid w:val="00F8032D"/>
    <w:rsid w:val="00FC51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D5902"/>
  <w15:docId w15:val="{26DBD1BA-21CA-4088-89A9-DBA8F96A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71A9"/>
    <w:pPr>
      <w:autoSpaceDE w:val="0"/>
      <w:autoSpaceDN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A171A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rsid w:val="00A171A9"/>
    <w:rPr>
      <w:rFonts w:ascii="Arial" w:hAnsi="Arial"/>
      <w:vertAlign w:val="superscript"/>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rsid w:val="00A171A9"/>
    <w:pPr>
      <w:autoSpaceDE/>
      <w:autoSpaceDN/>
      <w:ind w:firstLine="720"/>
      <w:jc w:val="both"/>
    </w:pPr>
    <w:rPr>
      <w:sz w:val="20"/>
      <w:lang w:eastAsia="cs-CZ"/>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rsid w:val="00A171A9"/>
    <w:rPr>
      <w:rFonts w:ascii="Times New Roman" w:eastAsia="Times New Roman" w:hAnsi="Times New Roman" w:cs="Times New Roman"/>
      <w:sz w:val="20"/>
      <w:szCs w:val="24"/>
      <w:lang w:eastAsia="cs-CZ"/>
    </w:rPr>
  </w:style>
  <w:style w:type="paragraph" w:styleId="Pta">
    <w:name w:val="footer"/>
    <w:basedOn w:val="Normlny"/>
    <w:link w:val="PtaChar"/>
    <w:uiPriority w:val="99"/>
    <w:rsid w:val="00A171A9"/>
    <w:pPr>
      <w:tabs>
        <w:tab w:val="center" w:pos="4536"/>
        <w:tab w:val="right" w:pos="9072"/>
      </w:tabs>
    </w:pPr>
  </w:style>
  <w:style w:type="character" w:customStyle="1" w:styleId="PtaChar">
    <w:name w:val="Päta Char"/>
    <w:basedOn w:val="Predvolenpsmoodseku"/>
    <w:link w:val="Pta"/>
    <w:uiPriority w:val="99"/>
    <w:rsid w:val="00A171A9"/>
    <w:rPr>
      <w:rFonts w:ascii="Times New Roman" w:eastAsia="Times New Roman" w:hAnsi="Times New Roman" w:cs="Times New Roman"/>
      <w:sz w:val="24"/>
      <w:szCs w:val="24"/>
      <w:lang w:eastAsia="sk-SK"/>
    </w:rPr>
  </w:style>
  <w:style w:type="character" w:styleId="slostrany">
    <w:name w:val="page number"/>
    <w:basedOn w:val="Predvolenpsmoodseku"/>
    <w:rsid w:val="00A171A9"/>
  </w:style>
  <w:style w:type="paragraph" w:styleId="Odsekzoznamu">
    <w:name w:val="List Paragraph"/>
    <w:aliases w:val="body"/>
    <w:basedOn w:val="Normlny"/>
    <w:link w:val="OdsekzoznamuChar"/>
    <w:uiPriority w:val="34"/>
    <w:qFormat/>
    <w:rsid w:val="00A171A9"/>
    <w:pPr>
      <w:ind w:left="708"/>
    </w:pPr>
  </w:style>
  <w:style w:type="paragraph" w:styleId="Hlavika">
    <w:name w:val="header"/>
    <w:basedOn w:val="Normlny"/>
    <w:link w:val="HlavikaChar"/>
    <w:uiPriority w:val="99"/>
    <w:rsid w:val="00A171A9"/>
    <w:pPr>
      <w:tabs>
        <w:tab w:val="center" w:pos="4536"/>
        <w:tab w:val="right" w:pos="9072"/>
      </w:tabs>
    </w:pPr>
  </w:style>
  <w:style w:type="character" w:customStyle="1" w:styleId="HlavikaChar">
    <w:name w:val="Hlavička Char"/>
    <w:basedOn w:val="Predvolenpsmoodseku"/>
    <w:link w:val="Hlavika"/>
    <w:uiPriority w:val="99"/>
    <w:rsid w:val="00A171A9"/>
    <w:rPr>
      <w:rFonts w:ascii="Times New Roman" w:eastAsia="Times New Roman" w:hAnsi="Times New Roman" w:cs="Times New Roman"/>
      <w:sz w:val="24"/>
      <w:szCs w:val="24"/>
      <w:lang w:eastAsia="sk-SK"/>
    </w:rPr>
  </w:style>
  <w:style w:type="character" w:styleId="Siln">
    <w:name w:val="Strong"/>
    <w:uiPriority w:val="22"/>
    <w:qFormat/>
    <w:rsid w:val="00A171A9"/>
    <w:rPr>
      <w:b/>
      <w:bCs/>
    </w:rPr>
  </w:style>
  <w:style w:type="character" w:customStyle="1" w:styleId="OdsekzoznamuChar">
    <w:name w:val="Odsek zoznamu Char"/>
    <w:aliases w:val="body Char"/>
    <w:link w:val="Odsekzoznamu"/>
    <w:uiPriority w:val="34"/>
    <w:locked/>
    <w:rsid w:val="00A171A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A645EC"/>
    <w:rPr>
      <w:rFonts w:ascii="Tahoma" w:hAnsi="Tahoma" w:cs="Tahoma"/>
      <w:sz w:val="16"/>
      <w:szCs w:val="16"/>
    </w:rPr>
  </w:style>
  <w:style w:type="character" w:customStyle="1" w:styleId="TextbublinyChar">
    <w:name w:val="Text bubliny Char"/>
    <w:basedOn w:val="Predvolenpsmoodseku"/>
    <w:link w:val="Textbubliny"/>
    <w:uiPriority w:val="99"/>
    <w:semiHidden/>
    <w:rsid w:val="00A645EC"/>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0112FF"/>
    <w:rPr>
      <w:color w:val="0000FF" w:themeColor="hyperlink"/>
      <w:u w:val="single"/>
    </w:rPr>
  </w:style>
  <w:style w:type="character" w:styleId="PouitHypertextovPrepojenie">
    <w:name w:val="FollowedHyperlink"/>
    <w:basedOn w:val="Predvolenpsmoodseku"/>
    <w:uiPriority w:val="99"/>
    <w:semiHidden/>
    <w:unhideWhenUsed/>
    <w:rsid w:val="006160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mon.gov.sk/data/files/2068_celex_02014r0651-20230701_sk_txt_konsolidovana_o_2023_1315.pdf?csrt=1236001712413066244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antimon.gov.sk%2Fdata%2Ffiles%2F2265_mu_c_12_metodika_posudzovania_pvt.docx%3Fcsrt%3D252884066265455106&amp;wdOrigin=BROWSELIN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bchodnyvestnik.justice.gov.sk/Handlers/StiahnutPrilohu.ashx?IdPriloha=440793&amp;csrt=3410939024076020209" TargetMode="External"/><Relationship Id="rId4" Type="http://schemas.openxmlformats.org/officeDocument/2006/relationships/settings" Target="settings.xml"/><Relationship Id="rId9" Type="http://schemas.openxmlformats.org/officeDocument/2006/relationships/hyperlink" Target="https://eur-lex.europa.eu/legal-content/SK/TXT/PDF/?uri=CELEX:52014XC0731(01)&amp;from=C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ompetition/state_aid/legislation/practical_guide_gber_en.pdf," TargetMode="External"/><Relationship Id="rId2" Type="http://schemas.openxmlformats.org/officeDocument/2006/relationships/hyperlink" Target="https://eur-lex.europa.eu/legal-content/SK/TXT/PDF/?uri=CELEX:32013L0034" TargetMode="External"/><Relationship Id="rId1" Type="http://schemas.openxmlformats.org/officeDocument/2006/relationships/hyperlink" Target="https://eur-lex.europa.eu/legal-content/SK/TXT/PDF/?uri=CELEX:32013L0034" TargetMode="External"/><Relationship Id="rId4" Type="http://schemas.openxmlformats.org/officeDocument/2006/relationships/hyperlink" Target="http://www.statnapomoc.sk/wp-content/uploads/2015/12/FAQ-GBER-1-cast1.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7799-AEA4-4244-BB20-72FBE27A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1683</Words>
  <Characters>9596</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Sinska Andrea</dc:creator>
  <cp:lastModifiedBy>Brezovský František</cp:lastModifiedBy>
  <cp:revision>3</cp:revision>
  <cp:lastPrinted>2024-06-04T06:47:00Z</cp:lastPrinted>
  <dcterms:created xsi:type="dcterms:W3CDTF">2024-06-07T07:45:00Z</dcterms:created>
  <dcterms:modified xsi:type="dcterms:W3CDTF">2024-06-10T09:15:00Z</dcterms:modified>
</cp:coreProperties>
</file>