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62.xml" ContentType="application/vnd.openxmlformats-officedocument.drawingml.chart+xml"/>
  <Override PartName="/word/theme/themeOverride58.xml" ContentType="application/vnd.openxmlformats-officedocument.themeOverride+xml"/>
  <Override PartName="/word/charts/chart63.xml" ContentType="application/vnd.openxmlformats-officedocument.drawingml.chart+xml"/>
  <Override PartName="/word/theme/themeOverride59.xml" ContentType="application/vnd.openxmlformats-officedocument.themeOverride+xml"/>
  <Override PartName="/word/charts/chart64.xml" ContentType="application/vnd.openxmlformats-officedocument.drawingml.chart+xml"/>
  <Override PartName="/word/theme/themeOverride60.xml" ContentType="application/vnd.openxmlformats-officedocument.themeOverride+xml"/>
  <Override PartName="/word/charts/chart65.xml" ContentType="application/vnd.openxmlformats-officedocument.drawingml.chart+xml"/>
  <Override PartName="/word/theme/themeOverride61.xml" ContentType="application/vnd.openxmlformats-officedocument.themeOverride+xml"/>
  <Override PartName="/word/charts/chart66.xml" ContentType="application/vnd.openxmlformats-officedocument.drawingml.chart+xml"/>
  <Override PartName="/word/theme/themeOverride62.xml" ContentType="application/vnd.openxmlformats-officedocument.themeOverride+xml"/>
  <Override PartName="/word/charts/chart67.xml" ContentType="application/vnd.openxmlformats-officedocument.drawingml.chart+xml"/>
  <Override PartName="/word/theme/themeOverride63.xml" ContentType="application/vnd.openxmlformats-officedocument.themeOverride+xml"/>
  <Override PartName="/word/charts/chart68.xml" ContentType="application/vnd.openxmlformats-officedocument.drawingml.chart+xml"/>
  <Override PartName="/word/theme/themeOverride64.xml" ContentType="application/vnd.openxmlformats-officedocument.themeOverride+xml"/>
  <Override PartName="/word/charts/chart69.xml" ContentType="application/vnd.openxmlformats-officedocument.drawingml.chart+xml"/>
  <Override PartName="/word/theme/themeOverride65.xml" ContentType="application/vnd.openxmlformats-officedocument.themeOverride+xml"/>
  <Override PartName="/word/charts/chart70.xml" ContentType="application/vnd.openxmlformats-officedocument.drawingml.chart+xml"/>
  <Override PartName="/word/theme/themeOverride66.xml" ContentType="application/vnd.openxmlformats-officedocument.themeOverride+xml"/>
  <Override PartName="/word/charts/chart71.xml" ContentType="application/vnd.openxmlformats-officedocument.drawingml.chart+xml"/>
  <Override PartName="/word/theme/themeOverride67.xml" ContentType="application/vnd.openxmlformats-officedocument.themeOverride+xml"/>
  <Override PartName="/word/charts/chart72.xml" ContentType="application/vnd.openxmlformats-officedocument.drawingml.chart+xml"/>
  <Override PartName="/word/theme/themeOverride68.xml" ContentType="application/vnd.openxmlformats-officedocument.themeOverride+xml"/>
  <Override PartName="/word/charts/chart73.xml" ContentType="application/vnd.openxmlformats-officedocument.drawingml.chart+xml"/>
  <Override PartName="/word/theme/themeOverride69.xml" ContentType="application/vnd.openxmlformats-officedocument.themeOverride+xml"/>
  <Override PartName="/word/charts/chart74.xml" ContentType="application/vnd.openxmlformats-officedocument.drawingml.chart+xml"/>
  <Override PartName="/word/theme/themeOverride70.xml" ContentType="application/vnd.openxmlformats-officedocument.themeOverride+xml"/>
  <Override PartName="/word/charts/chart75.xml" ContentType="application/vnd.openxmlformats-officedocument.drawingml.chart+xml"/>
  <Override PartName="/word/charts/chart7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1.xml" ContentType="application/vnd.openxmlformats-officedocument.themeOverride+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theme/themeOverride73.xml" ContentType="application/vnd.openxmlformats-officedocument.themeOverride+xml"/>
  <Override PartName="/word/charts/chart79.xml" ContentType="application/vnd.openxmlformats-officedocument.drawingml.chart+xml"/>
  <Override PartName="/word/theme/themeOverride74.xml" ContentType="application/vnd.openxmlformats-officedocument.themeOverride+xml"/>
  <Override PartName="/word/charts/chart80.xml" ContentType="application/vnd.openxmlformats-officedocument.drawingml.chart+xml"/>
  <Override PartName="/word/theme/themeOverride75.xml" ContentType="application/vnd.openxmlformats-officedocument.themeOverride+xml"/>
  <Override PartName="/word/charts/chart81.xml" ContentType="application/vnd.openxmlformats-officedocument.drawingml.chart+xml"/>
  <Override PartName="/word/theme/themeOverride76.xml" ContentType="application/vnd.openxmlformats-officedocument.themeOverride+xml"/>
  <Override PartName="/word/charts/chart82.xml" ContentType="application/vnd.openxmlformats-officedocument.drawingml.chart+xml"/>
  <Override PartName="/word/theme/themeOverride77.xml" ContentType="application/vnd.openxmlformats-officedocument.themeOverride+xml"/>
  <Override PartName="/word/charts/chart83.xml" ContentType="application/vnd.openxmlformats-officedocument.drawingml.chart+xml"/>
  <Override PartName="/word/theme/themeOverride78.xml" ContentType="application/vnd.openxmlformats-officedocument.themeOverride+xml"/>
  <Override PartName="/word/charts/chart84.xml" ContentType="application/vnd.openxmlformats-officedocument.drawingml.chart+xml"/>
  <Override PartName="/word/theme/themeOverride79.xml" ContentType="application/vnd.openxmlformats-officedocument.themeOverride+xml"/>
  <Override PartName="/word/charts/chart85.xml" ContentType="application/vnd.openxmlformats-officedocument.drawingml.chart+xml"/>
  <Override PartName="/word/theme/themeOverride80.xml" ContentType="application/vnd.openxmlformats-officedocument.themeOverride+xml"/>
  <Override PartName="/word/charts/chart86.xml" ContentType="application/vnd.openxmlformats-officedocument.drawingml.chart+xml"/>
  <Override PartName="/word/theme/themeOverride81.xml" ContentType="application/vnd.openxmlformats-officedocument.themeOverride+xml"/>
  <Override PartName="/word/charts/chart87.xml" ContentType="application/vnd.openxmlformats-officedocument.drawingml.chart+xml"/>
  <Override PartName="/word/theme/themeOverride82.xml" ContentType="application/vnd.openxmlformats-officedocument.themeOverride+xml"/>
  <Override PartName="/word/charts/chart88.xml" ContentType="application/vnd.openxmlformats-officedocument.drawingml.chart+xml"/>
  <Override PartName="/word/theme/themeOverride83.xml" ContentType="application/vnd.openxmlformats-officedocument.themeOverride+xml"/>
  <Override PartName="/word/charts/chart89.xml" ContentType="application/vnd.openxmlformats-officedocument.drawingml.chart+xml"/>
  <Override PartName="/word/theme/themeOverride8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21D94" w14:textId="77777777" w:rsidR="0026128C" w:rsidRPr="00C35CA8" w:rsidRDefault="0026128C" w:rsidP="00AA7E7B">
      <w:pPr>
        <w:rPr>
          <w14:shadow w14:blurRad="50800" w14:dist="38100" w14:dir="2700000" w14:sx="100000" w14:sy="100000" w14:kx="0" w14:ky="0" w14:algn="tl">
            <w14:srgbClr w14:val="000000">
              <w14:alpha w14:val="60000"/>
            </w14:srgbClr>
          </w14:shadow>
        </w:rPr>
      </w:pPr>
      <w:bookmarkStart w:id="0" w:name="_Hlk37103262"/>
      <w:bookmarkEnd w:id="0"/>
    </w:p>
    <w:p w14:paraId="53657E06" w14:textId="77777777" w:rsidR="00420B2C" w:rsidRPr="00C35CA8" w:rsidRDefault="00420B2C" w:rsidP="00AA7E7B">
      <w:pPr>
        <w:rPr>
          <w14:shadow w14:blurRad="50800" w14:dist="38100" w14:dir="2700000" w14:sx="100000" w14:sy="100000" w14:kx="0" w14:ky="0" w14:algn="tl">
            <w14:srgbClr w14:val="000000">
              <w14:alpha w14:val="60000"/>
            </w14:srgbClr>
          </w14:shadow>
        </w:rPr>
      </w:pPr>
    </w:p>
    <w:p w14:paraId="77A07C0D" w14:textId="77777777" w:rsidR="004D3108" w:rsidRPr="00C35CA8" w:rsidRDefault="004D3108" w:rsidP="00AA7E7B">
      <w:pPr>
        <w:rPr>
          <w14:shadow w14:blurRad="50800" w14:dist="38100" w14:dir="2700000" w14:sx="100000" w14:sy="100000" w14:kx="0" w14:ky="0" w14:algn="tl">
            <w14:srgbClr w14:val="000000">
              <w14:alpha w14:val="60000"/>
            </w14:srgbClr>
          </w14:shadow>
        </w:rPr>
      </w:pPr>
    </w:p>
    <w:p w14:paraId="62C3F0B0" w14:textId="77777777" w:rsidR="005E5A10" w:rsidRPr="00C35CA8" w:rsidRDefault="005E5A10" w:rsidP="00AA7E7B">
      <w:pPr>
        <w:rPr>
          <w14:shadow w14:blurRad="50800" w14:dist="38100" w14:dir="2700000" w14:sx="100000" w14:sy="100000" w14:kx="0" w14:ky="0" w14:algn="tl">
            <w14:srgbClr w14:val="000000">
              <w14:alpha w14:val="60000"/>
            </w14:srgbClr>
          </w14:shadow>
        </w:rPr>
      </w:pPr>
      <w:r w:rsidRPr="00C35CA8">
        <w:rPr>
          <w:noProof/>
          <w14:shadow w14:blurRad="50800" w14:dist="38100" w14:dir="2700000" w14:sx="100000" w14:sy="100000" w14:kx="0" w14:ky="0" w14:algn="tl">
            <w14:srgbClr w14:val="000000">
              <w14:alpha w14:val="60000"/>
            </w14:srgbClr>
          </w14:shadow>
        </w:rPr>
        <w:drawing>
          <wp:anchor distT="0" distB="0" distL="114300" distR="114300" simplePos="0" relativeHeight="251652096" behindDoc="0" locked="0" layoutInCell="1" allowOverlap="1" wp14:anchorId="77C0A45E" wp14:editId="346EB12C">
            <wp:simplePos x="0" y="0"/>
            <wp:positionH relativeFrom="column">
              <wp:posOffset>-79375</wp:posOffset>
            </wp:positionH>
            <wp:positionV relativeFrom="paragraph">
              <wp:posOffset>-169545</wp:posOffset>
            </wp:positionV>
            <wp:extent cx="6090285" cy="1251585"/>
            <wp:effectExtent l="0" t="0" r="5715" b="5715"/>
            <wp:wrapNone/>
            <wp:docPr id="3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cstate="screen"/>
                    <a:srcRect/>
                    <a:stretch>
                      <a:fillRect/>
                    </a:stretch>
                  </pic:blipFill>
                  <pic:spPr bwMode="auto">
                    <a:xfrm>
                      <a:off x="0" y="0"/>
                      <a:ext cx="6090285" cy="1251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F5746B" w14:textId="77777777" w:rsidR="005E5A10" w:rsidRPr="00C35CA8" w:rsidRDefault="005E5A10" w:rsidP="00AA7E7B">
      <w:pPr>
        <w:rPr>
          <w14:shadow w14:blurRad="50800" w14:dist="38100" w14:dir="2700000" w14:sx="100000" w14:sy="100000" w14:kx="0" w14:ky="0" w14:algn="tl">
            <w14:srgbClr w14:val="000000">
              <w14:alpha w14:val="60000"/>
            </w14:srgbClr>
          </w14:shadow>
        </w:rPr>
      </w:pPr>
    </w:p>
    <w:p w14:paraId="107FF69B" w14:textId="77777777" w:rsidR="005E5A10" w:rsidRPr="00C35CA8" w:rsidRDefault="005E5A10" w:rsidP="00AA7E7B">
      <w:pPr>
        <w:rPr>
          <w14:shadow w14:blurRad="50800" w14:dist="38100" w14:dir="2700000" w14:sx="100000" w14:sy="100000" w14:kx="0" w14:ky="0" w14:algn="tl">
            <w14:srgbClr w14:val="000000">
              <w14:alpha w14:val="60000"/>
            </w14:srgbClr>
          </w14:shadow>
        </w:rPr>
      </w:pPr>
    </w:p>
    <w:p w14:paraId="18244199" w14:textId="77777777" w:rsidR="005E5A10" w:rsidRPr="00C35CA8" w:rsidRDefault="005E5A10" w:rsidP="00AA7E7B">
      <w:pPr>
        <w:rPr>
          <w14:shadow w14:blurRad="50800" w14:dist="38100" w14:dir="2700000" w14:sx="100000" w14:sy="100000" w14:kx="0" w14:ky="0" w14:algn="tl">
            <w14:srgbClr w14:val="000000">
              <w14:alpha w14:val="60000"/>
            </w14:srgbClr>
          </w14:shadow>
        </w:rPr>
      </w:pPr>
    </w:p>
    <w:p w14:paraId="41F54148" w14:textId="77777777" w:rsidR="005E5A10" w:rsidRPr="00C35CA8" w:rsidRDefault="005E5A10" w:rsidP="00AA7E7B">
      <w:pPr>
        <w:jc w:val="center"/>
        <w:rPr>
          <w14:shadow w14:blurRad="50800" w14:dist="38100" w14:dir="2700000" w14:sx="100000" w14:sy="100000" w14:kx="0" w14:ky="0" w14:algn="tl">
            <w14:srgbClr w14:val="000000">
              <w14:alpha w14:val="60000"/>
            </w14:srgbClr>
          </w14:shadow>
        </w:rPr>
      </w:pPr>
    </w:p>
    <w:p w14:paraId="78D6318F" w14:textId="77777777" w:rsidR="005E5A10" w:rsidRPr="00C35CA8" w:rsidRDefault="005E5A10" w:rsidP="00AA7E7B">
      <w:pPr>
        <w:spacing w:before="120" w:after="0"/>
        <w:ind w:firstLine="0"/>
        <w:jc w:val="center"/>
        <w:rPr>
          <w:rFonts w:ascii="Calibri" w:hAnsi="Calibri"/>
          <w:caps/>
          <w14:shadow w14:blurRad="50800" w14:dist="38100" w14:dir="2700000" w14:sx="100000" w14:sy="100000" w14:kx="0" w14:ky="0" w14:algn="tl">
            <w14:srgbClr w14:val="000000">
              <w14:alpha w14:val="60000"/>
            </w14:srgbClr>
          </w14:shadow>
        </w:rPr>
      </w:pPr>
      <w:r w:rsidRPr="00C35CA8">
        <w:rPr>
          <w:rFonts w:ascii="Calibri" w:hAnsi="Calibri"/>
          <w:caps/>
          <w14:shadow w14:blurRad="50800" w14:dist="38100" w14:dir="2700000" w14:sx="100000" w14:sy="100000" w14:kx="0" w14:ky="0" w14:algn="tl">
            <w14:srgbClr w14:val="000000">
              <w14:alpha w14:val="60000"/>
            </w14:srgbClr>
          </w14:shadow>
        </w:rPr>
        <w:t>Sekcia služieb zamestnanosti</w:t>
      </w:r>
    </w:p>
    <w:p w14:paraId="4C3822F3"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20A1A29D"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73E82ECF"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2D58A9DF"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14:paraId="3D798E6D" w14:textId="77777777" w:rsidR="005E5A10" w:rsidRPr="00C35CA8" w:rsidRDefault="005E5A10" w:rsidP="00AA7E7B">
      <w:pPr>
        <w:tabs>
          <w:tab w:val="left" w:pos="3195"/>
          <w:tab w:val="center" w:pos="4536"/>
        </w:tabs>
        <w:spacing w:before="120" w:after="0"/>
        <w:ind w:firstLine="0"/>
        <w:rPr>
          <w:rFonts w:ascii="Calibri" w:hAnsi="Calibri"/>
          <w:b/>
          <w:caps/>
          <w:sz w:val="36"/>
          <w14:shadow w14:blurRad="50800" w14:dist="38100" w14:dir="2700000" w14:sx="100000" w14:sy="100000" w14:kx="0" w14:ky="0" w14:algn="tl">
            <w14:srgbClr w14:val="000000">
              <w14:alpha w14:val="60000"/>
            </w14:srgbClr>
          </w14:shadow>
        </w:rPr>
      </w:pPr>
    </w:p>
    <w:p w14:paraId="7B59D132" w14:textId="77777777" w:rsidR="005E5A10" w:rsidRPr="00C35CA8" w:rsidRDefault="005E5A10" w:rsidP="00AA7E7B">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C35CA8">
        <w:rPr>
          <w:rFonts w:ascii="Calibri" w:hAnsi="Calibri"/>
          <w:b/>
          <w:caps/>
          <w:sz w:val="36"/>
          <w14:shadow w14:blurRad="50800" w14:dist="38100" w14:dir="2700000" w14:sx="100000" w14:sy="100000" w14:kx="0" w14:ky="0" w14:algn="tl">
            <w14:srgbClr w14:val="000000">
              <w14:alpha w14:val="60000"/>
            </w14:srgbClr>
          </w14:shadow>
        </w:rPr>
        <w:t>Vyhodnotenie</w:t>
      </w:r>
    </w:p>
    <w:p w14:paraId="3FBB770E" w14:textId="77777777" w:rsidR="005E5A10" w:rsidRPr="00C35CA8" w:rsidRDefault="005E5A10" w:rsidP="00AA7E7B">
      <w:pPr>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C35CA8">
        <w:rPr>
          <w:rFonts w:ascii="Calibri" w:hAnsi="Calibri"/>
          <w:b/>
          <w:caps/>
          <w:sz w:val="36"/>
          <w14:shadow w14:blurRad="50800" w14:dist="38100" w14:dir="2700000" w14:sx="100000" w14:sy="100000" w14:kx="0" w14:ky="0" w14:algn="tl">
            <w14:srgbClr w14:val="000000">
              <w14:alpha w14:val="60000"/>
            </w14:srgbClr>
          </w14:shadow>
        </w:rPr>
        <w:t xml:space="preserve">uplatňovania aktívnych opatrení na trhu práce </w:t>
      </w:r>
    </w:p>
    <w:p w14:paraId="15D332B9" w14:textId="18516D72" w:rsidR="005E5A10" w:rsidRPr="00C35CA8" w:rsidRDefault="005E5A10" w:rsidP="00AA7E7B">
      <w:pPr>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C35CA8">
        <w:rPr>
          <w:rFonts w:ascii="Calibri" w:hAnsi="Calibri"/>
          <w:b/>
          <w:caps/>
          <w:sz w:val="36"/>
          <w14:shadow w14:blurRad="50800" w14:dist="38100" w14:dir="2700000" w14:sx="100000" w14:sy="100000" w14:kx="0" w14:ky="0" w14:algn="tl">
            <w14:srgbClr w14:val="000000">
              <w14:alpha w14:val="60000"/>
            </w14:srgbClr>
          </w14:shadow>
        </w:rPr>
        <w:t>za rok 20</w:t>
      </w:r>
      <w:r w:rsidR="00E71F5D" w:rsidRPr="00C35CA8">
        <w:rPr>
          <w:rFonts w:ascii="Calibri" w:hAnsi="Calibri"/>
          <w:b/>
          <w:caps/>
          <w:sz w:val="36"/>
          <w14:shadow w14:blurRad="50800" w14:dist="38100" w14:dir="2700000" w14:sx="100000" w14:sy="100000" w14:kx="0" w14:ky="0" w14:algn="tl">
            <w14:srgbClr w14:val="000000">
              <w14:alpha w14:val="60000"/>
            </w14:srgbClr>
          </w14:shadow>
        </w:rPr>
        <w:t>2</w:t>
      </w:r>
      <w:r w:rsidR="003F0C22" w:rsidRPr="00C35CA8">
        <w:rPr>
          <w:rFonts w:ascii="Calibri" w:hAnsi="Calibri"/>
          <w:b/>
          <w:caps/>
          <w:sz w:val="36"/>
          <w14:shadow w14:blurRad="50800" w14:dist="38100" w14:dir="2700000" w14:sx="100000" w14:sy="100000" w14:kx="0" w14:ky="0" w14:algn="tl">
            <w14:srgbClr w14:val="000000">
              <w14:alpha w14:val="60000"/>
            </w14:srgbClr>
          </w14:shadow>
        </w:rPr>
        <w:t>3</w:t>
      </w:r>
    </w:p>
    <w:p w14:paraId="624DA67E" w14:textId="77777777" w:rsidR="005E5A10" w:rsidRPr="00C35CA8" w:rsidRDefault="005E5A10" w:rsidP="00AA7E7B">
      <w:pPr>
        <w:spacing w:before="120" w:after="0"/>
        <w:ind w:firstLine="0"/>
        <w:jc w:val="center"/>
        <w:rPr>
          <w:rFonts w:ascii="Calibri" w:hAnsi="Calibri"/>
          <w:b/>
          <w:caps/>
          <w:highlight w:val="yellow"/>
          <w:u w:val="thick"/>
          <w14:shadow w14:blurRad="50800" w14:dist="38100" w14:dir="2700000" w14:sx="100000" w14:sy="100000" w14:kx="0" w14:ky="0" w14:algn="tl">
            <w14:srgbClr w14:val="000000">
              <w14:alpha w14:val="60000"/>
            </w14:srgbClr>
          </w14:shadow>
        </w:rPr>
      </w:pPr>
    </w:p>
    <w:p w14:paraId="57F90DF5"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08995636"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7D8CFFCC"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253E3F6E"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60141E6C"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7EE00FAA" w14:textId="77777777" w:rsidR="005E5A10" w:rsidRPr="00C35CA8" w:rsidRDefault="005E5A10" w:rsidP="00AA7E7B">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14:paraId="74C5E551" w14:textId="77777777" w:rsidR="005E5A10" w:rsidRPr="00C35CA8" w:rsidRDefault="005E5A10" w:rsidP="00AA7E7B">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14:paraId="66FB384E" w14:textId="77777777" w:rsidR="00F974A4" w:rsidRPr="00C35CA8" w:rsidRDefault="00F974A4" w:rsidP="00AA7E7B">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14:paraId="4EABE71F" w14:textId="77777777" w:rsidR="00F974A4" w:rsidRPr="00C35CA8" w:rsidRDefault="00F974A4" w:rsidP="00AA7E7B">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14:paraId="33CE617C" w14:textId="77777777" w:rsidR="005E5A10" w:rsidRPr="00C35CA8" w:rsidRDefault="005E5A10" w:rsidP="00AA7E7B">
      <w:pPr>
        <w:ind w:firstLine="0"/>
        <w:rPr>
          <w:highlight w:val="yellow"/>
          <w14:shadow w14:blurRad="50800" w14:dist="38100" w14:dir="2700000" w14:sx="100000" w14:sy="100000" w14:kx="0" w14:ky="0" w14:algn="tl">
            <w14:srgbClr w14:val="000000">
              <w14:alpha w14:val="60000"/>
            </w14:srgbClr>
          </w14:shadow>
        </w:rPr>
      </w:pPr>
    </w:p>
    <w:p w14:paraId="0F7EA7FE" w14:textId="77777777" w:rsidR="00EA625D" w:rsidRPr="00C35CA8" w:rsidRDefault="00EA625D" w:rsidP="00AA7E7B">
      <w:pPr>
        <w:ind w:firstLine="0"/>
        <w:rPr>
          <w:highlight w:val="yellow"/>
          <w14:shadow w14:blurRad="50800" w14:dist="38100" w14:dir="2700000" w14:sx="100000" w14:sy="100000" w14:kx="0" w14:ky="0" w14:algn="tl">
            <w14:srgbClr w14:val="000000">
              <w14:alpha w14:val="60000"/>
            </w14:srgbClr>
          </w14:shadow>
        </w:rPr>
      </w:pPr>
    </w:p>
    <w:p w14:paraId="08FF7BDE" w14:textId="77777777" w:rsidR="005E5A10" w:rsidRPr="00C35CA8" w:rsidRDefault="005E5A10" w:rsidP="00AA7E7B">
      <w:pPr>
        <w:rPr>
          <w:highlight w:val="yellow"/>
          <w14:shadow w14:blurRad="50800" w14:dist="38100" w14:dir="2700000" w14:sx="100000" w14:sy="100000" w14:kx="0" w14:ky="0" w14:algn="tl">
            <w14:srgbClr w14:val="000000">
              <w14:alpha w14:val="60000"/>
            </w14:srgbClr>
          </w14:shadow>
        </w:rPr>
      </w:pPr>
    </w:p>
    <w:p w14:paraId="4C3F96CA" w14:textId="5B01C896" w:rsidR="005E5A10" w:rsidRPr="00C35CA8" w:rsidRDefault="005E5A10" w:rsidP="00AA7E7B">
      <w:pPr>
        <w:pBdr>
          <w:top w:val="single" w:sz="4" w:space="1" w:color="auto"/>
        </w:pBdr>
        <w:spacing w:after="0"/>
        <w:ind w:firstLine="0"/>
        <w:jc w:val="center"/>
        <w:rPr>
          <w:rFonts w:ascii="Calibri" w:hAnsi="Calibri"/>
          <w:caps/>
          <w14:shadow w14:blurRad="50800" w14:dist="38100" w14:dir="2700000" w14:sx="100000" w14:sy="100000" w14:kx="0" w14:ky="0" w14:algn="tl">
            <w14:srgbClr w14:val="000000">
              <w14:alpha w14:val="60000"/>
            </w14:srgbClr>
          </w14:shadow>
        </w:rPr>
      </w:pPr>
      <w:r w:rsidRPr="00C35CA8">
        <w:rPr>
          <w:rFonts w:ascii="Calibri" w:hAnsi="Calibri"/>
          <w14:shadow w14:blurRad="50800" w14:dist="38100" w14:dir="2700000" w14:sx="100000" w14:sy="100000" w14:kx="0" w14:ky="0" w14:algn="tl">
            <w14:srgbClr w14:val="000000">
              <w14:alpha w14:val="60000"/>
            </w14:srgbClr>
          </w14:shadow>
        </w:rPr>
        <w:t>máj</w:t>
      </w:r>
      <w:r w:rsidR="00811839" w:rsidRPr="00C35CA8">
        <w:rPr>
          <w:rFonts w:ascii="Calibri" w:hAnsi="Calibri"/>
          <w:caps/>
          <w14:shadow w14:blurRad="50800" w14:dist="38100" w14:dir="2700000" w14:sx="100000" w14:sy="100000" w14:kx="0" w14:ky="0" w14:algn="tl">
            <w14:srgbClr w14:val="000000">
              <w14:alpha w14:val="60000"/>
            </w14:srgbClr>
          </w14:shadow>
        </w:rPr>
        <w:t xml:space="preserve"> 202</w:t>
      </w:r>
      <w:r w:rsidR="003F0C22" w:rsidRPr="00C35CA8">
        <w:rPr>
          <w:rFonts w:ascii="Calibri" w:hAnsi="Calibri"/>
          <w:caps/>
          <w14:shadow w14:blurRad="50800" w14:dist="38100" w14:dir="2700000" w14:sx="100000" w14:sy="100000" w14:kx="0" w14:ky="0" w14:algn="tl">
            <w14:srgbClr w14:val="000000">
              <w14:alpha w14:val="60000"/>
            </w14:srgbClr>
          </w14:shadow>
        </w:rPr>
        <w:t>4</w:t>
      </w:r>
    </w:p>
    <w:p w14:paraId="3E88A47E" w14:textId="77777777" w:rsidR="007D1D81" w:rsidRPr="00C35CA8" w:rsidRDefault="007D1D81" w:rsidP="00AA7E7B">
      <w:pPr>
        <w:rPr>
          <w:rFonts w:asciiTheme="minorHAnsi" w:hAnsiTheme="minorHAnsi" w:cstheme="minorHAnsi"/>
          <w:b/>
          <w14:shadow w14:blurRad="50800" w14:dist="38100" w14:dir="2700000" w14:sx="100000" w14:sy="100000" w14:kx="0" w14:ky="0" w14:algn="tl">
            <w14:srgbClr w14:val="000000">
              <w14:alpha w14:val="60000"/>
            </w14:srgbClr>
          </w14:shadow>
        </w:rPr>
      </w:pPr>
      <w:bookmarkStart w:id="1" w:name="_Toc263155249"/>
    </w:p>
    <w:p w14:paraId="1B1B38D6" w14:textId="77777777" w:rsidR="000431CF" w:rsidRPr="00C35CA8" w:rsidRDefault="000431CF" w:rsidP="00AA7E7B">
      <w:pPr>
        <w:rPr>
          <w:b/>
          <w14:shadow w14:blurRad="50800" w14:dist="38100" w14:dir="2700000" w14:sx="100000" w14:sy="100000" w14:kx="0" w14:ky="0" w14:algn="tl">
            <w14:srgbClr w14:val="000000">
              <w14:alpha w14:val="60000"/>
            </w14:srgbClr>
          </w14:shadow>
        </w:rPr>
      </w:pPr>
      <w:r w:rsidRPr="00C35CA8">
        <w:rPr>
          <w:b/>
          <w14:shadow w14:blurRad="50800" w14:dist="38100" w14:dir="2700000" w14:sx="100000" w14:sy="100000" w14:kx="0" w14:ky="0" w14:algn="tl">
            <w14:srgbClr w14:val="000000">
              <w14:alpha w14:val="60000"/>
            </w14:srgbClr>
          </w14:shadow>
        </w:rPr>
        <w:lastRenderedPageBreak/>
        <w:t>OBSAH</w:t>
      </w:r>
    </w:p>
    <w:p w14:paraId="09410477" w14:textId="362B47CE" w:rsidR="005002DD" w:rsidRDefault="000431CF">
      <w:pPr>
        <w:pStyle w:val="Obsah1"/>
        <w:rPr>
          <w:rFonts w:asciiTheme="minorHAnsi" w:eastAsiaTheme="minorEastAsia" w:hAnsiTheme="minorHAnsi" w:cstheme="minorBidi"/>
          <w:b w:val="0"/>
          <w:bCs w:val="0"/>
          <w:caps w:val="0"/>
          <w:sz w:val="22"/>
          <w:szCs w:val="22"/>
          <w:lang w:eastAsia="sk-SK"/>
        </w:rPr>
      </w:pPr>
      <w:r w:rsidRPr="00C35CA8">
        <w:rPr>
          <w:noProof w:val="0"/>
          <w:color w:val="548DD4" w:themeColor="text2" w:themeTint="99"/>
        </w:rPr>
        <w:fldChar w:fldCharType="begin"/>
      </w:r>
      <w:r w:rsidRPr="00C35CA8">
        <w:rPr>
          <w:noProof w:val="0"/>
        </w:rPr>
        <w:instrText xml:space="preserve"> TOC \o "1-3" \h \z \u </w:instrText>
      </w:r>
      <w:r w:rsidRPr="00C35CA8">
        <w:rPr>
          <w:noProof w:val="0"/>
          <w:color w:val="548DD4" w:themeColor="text2" w:themeTint="99"/>
        </w:rPr>
        <w:fldChar w:fldCharType="separate"/>
      </w:r>
      <w:hyperlink w:anchor="_Toc173741536" w:history="1">
        <w:r w:rsidR="005002DD" w:rsidRPr="00252C47">
          <w:rPr>
            <w:rStyle w:val="Hypertextovprepojenie"/>
          </w:rPr>
          <w:t>1 AKTÍVNA POLITIKA TRHU PRÁCE - NÁSTROJ ZNIŽOVANIA NEROVNOVÁHY NA TRHU PRÁCE</w:t>
        </w:r>
        <w:r w:rsidR="005002DD">
          <w:rPr>
            <w:webHidden/>
          </w:rPr>
          <w:tab/>
        </w:r>
        <w:r w:rsidR="005002DD">
          <w:rPr>
            <w:webHidden/>
          </w:rPr>
          <w:fldChar w:fldCharType="begin"/>
        </w:r>
        <w:r w:rsidR="005002DD">
          <w:rPr>
            <w:webHidden/>
          </w:rPr>
          <w:instrText xml:space="preserve"> PAGEREF _Toc173741536 \h </w:instrText>
        </w:r>
        <w:r w:rsidR="005002DD">
          <w:rPr>
            <w:webHidden/>
          </w:rPr>
        </w:r>
        <w:r w:rsidR="005002DD">
          <w:rPr>
            <w:webHidden/>
          </w:rPr>
          <w:fldChar w:fldCharType="separate"/>
        </w:r>
        <w:r w:rsidR="004C31AB">
          <w:rPr>
            <w:webHidden/>
          </w:rPr>
          <w:t>6</w:t>
        </w:r>
        <w:r w:rsidR="005002DD">
          <w:rPr>
            <w:webHidden/>
          </w:rPr>
          <w:fldChar w:fldCharType="end"/>
        </w:r>
      </w:hyperlink>
    </w:p>
    <w:p w14:paraId="1E55004E" w14:textId="352F8824" w:rsidR="005002DD" w:rsidRDefault="00D64CEB">
      <w:pPr>
        <w:pStyle w:val="Obsah2"/>
        <w:rPr>
          <w:rFonts w:asciiTheme="minorHAnsi" w:eastAsiaTheme="minorEastAsia" w:hAnsiTheme="minorHAnsi" w:cstheme="minorBidi"/>
          <w:b w:val="0"/>
          <w:bCs w:val="0"/>
          <w:sz w:val="22"/>
          <w:szCs w:val="22"/>
        </w:rPr>
      </w:pPr>
      <w:hyperlink w:anchor="_Toc173741537" w:history="1">
        <w:r w:rsidR="005002DD" w:rsidRPr="00252C47">
          <w:rPr>
            <w:rStyle w:val="Hypertextovprepojenie"/>
          </w:rPr>
          <w:t>1.2</w:t>
        </w:r>
        <w:r w:rsidR="005002DD">
          <w:rPr>
            <w:rFonts w:asciiTheme="minorHAnsi" w:eastAsiaTheme="minorEastAsia" w:hAnsiTheme="minorHAnsi" w:cstheme="minorBidi"/>
            <w:b w:val="0"/>
            <w:bCs w:val="0"/>
            <w:sz w:val="22"/>
            <w:szCs w:val="22"/>
          </w:rPr>
          <w:tab/>
        </w:r>
        <w:r w:rsidR="005002DD" w:rsidRPr="00252C47">
          <w:rPr>
            <w:rStyle w:val="Hypertextovprepojenie"/>
          </w:rPr>
          <w:t>Aktívne opatrenia na trhu práce</w:t>
        </w:r>
        <w:r w:rsidR="005002DD">
          <w:rPr>
            <w:webHidden/>
          </w:rPr>
          <w:tab/>
        </w:r>
        <w:r w:rsidR="005002DD">
          <w:rPr>
            <w:webHidden/>
          </w:rPr>
          <w:fldChar w:fldCharType="begin"/>
        </w:r>
        <w:r w:rsidR="005002DD">
          <w:rPr>
            <w:webHidden/>
          </w:rPr>
          <w:instrText xml:space="preserve"> PAGEREF _Toc173741537 \h </w:instrText>
        </w:r>
        <w:r w:rsidR="005002DD">
          <w:rPr>
            <w:webHidden/>
          </w:rPr>
        </w:r>
        <w:r w:rsidR="005002DD">
          <w:rPr>
            <w:webHidden/>
          </w:rPr>
          <w:fldChar w:fldCharType="separate"/>
        </w:r>
        <w:r w:rsidR="004C31AB">
          <w:rPr>
            <w:webHidden/>
          </w:rPr>
          <w:t>13</w:t>
        </w:r>
        <w:r w:rsidR="005002DD">
          <w:rPr>
            <w:webHidden/>
          </w:rPr>
          <w:fldChar w:fldCharType="end"/>
        </w:r>
      </w:hyperlink>
    </w:p>
    <w:p w14:paraId="3DF97738" w14:textId="1D118C6C" w:rsidR="005002DD" w:rsidRDefault="00D64CEB">
      <w:pPr>
        <w:pStyle w:val="Obsah3"/>
        <w:rPr>
          <w:rFonts w:asciiTheme="minorHAnsi" w:eastAsiaTheme="minorEastAsia" w:hAnsiTheme="minorHAnsi" w:cstheme="minorBidi"/>
          <w:iCs w:val="0"/>
          <w:sz w:val="22"/>
          <w:szCs w:val="22"/>
        </w:rPr>
      </w:pPr>
      <w:hyperlink w:anchor="_Toc173741538" w:history="1">
        <w:r w:rsidR="005002DD" w:rsidRPr="00252C47">
          <w:rPr>
            <w:rStyle w:val="Hypertextovprepojenie"/>
          </w:rPr>
          <w:t>1.2.1</w:t>
        </w:r>
        <w:r w:rsidR="005002DD">
          <w:rPr>
            <w:rFonts w:asciiTheme="minorHAnsi" w:eastAsiaTheme="minorEastAsia" w:hAnsiTheme="minorHAnsi" w:cstheme="minorBidi"/>
            <w:iCs w:val="0"/>
            <w:sz w:val="22"/>
            <w:szCs w:val="22"/>
          </w:rPr>
          <w:tab/>
        </w:r>
        <w:r w:rsidR="005002DD" w:rsidRPr="00252C47">
          <w:rPr>
            <w:rStyle w:val="Hypertextovprepojenie"/>
          </w:rPr>
          <w:t>Zvyšovanie zamestnateľnosti</w:t>
        </w:r>
        <w:r w:rsidR="005002DD">
          <w:rPr>
            <w:webHidden/>
          </w:rPr>
          <w:tab/>
        </w:r>
        <w:r w:rsidR="005002DD">
          <w:rPr>
            <w:webHidden/>
          </w:rPr>
          <w:fldChar w:fldCharType="begin"/>
        </w:r>
        <w:r w:rsidR="005002DD">
          <w:rPr>
            <w:webHidden/>
          </w:rPr>
          <w:instrText xml:space="preserve"> PAGEREF _Toc173741538 \h </w:instrText>
        </w:r>
        <w:r w:rsidR="005002DD">
          <w:rPr>
            <w:webHidden/>
          </w:rPr>
        </w:r>
        <w:r w:rsidR="005002DD">
          <w:rPr>
            <w:webHidden/>
          </w:rPr>
          <w:fldChar w:fldCharType="separate"/>
        </w:r>
        <w:r w:rsidR="004C31AB">
          <w:rPr>
            <w:webHidden/>
          </w:rPr>
          <w:t>13</w:t>
        </w:r>
        <w:r w:rsidR="005002DD">
          <w:rPr>
            <w:webHidden/>
          </w:rPr>
          <w:fldChar w:fldCharType="end"/>
        </w:r>
      </w:hyperlink>
    </w:p>
    <w:p w14:paraId="265F72BE" w14:textId="3FCA2EC5" w:rsidR="005002DD" w:rsidRDefault="00D64CEB">
      <w:pPr>
        <w:pStyle w:val="Obsah3"/>
        <w:rPr>
          <w:rFonts w:asciiTheme="minorHAnsi" w:eastAsiaTheme="minorEastAsia" w:hAnsiTheme="minorHAnsi" w:cstheme="minorBidi"/>
          <w:iCs w:val="0"/>
          <w:sz w:val="22"/>
          <w:szCs w:val="22"/>
        </w:rPr>
      </w:pPr>
      <w:hyperlink w:anchor="_Toc173741539" w:history="1">
        <w:r w:rsidR="005002DD" w:rsidRPr="00252C47">
          <w:rPr>
            <w:rStyle w:val="Hypertextovprepojenie"/>
          </w:rPr>
          <w:t>1.2.2</w:t>
        </w:r>
        <w:r w:rsidR="005002DD">
          <w:rPr>
            <w:rFonts w:asciiTheme="minorHAnsi" w:eastAsiaTheme="minorEastAsia" w:hAnsiTheme="minorHAnsi" w:cstheme="minorBidi"/>
            <w:iCs w:val="0"/>
            <w:sz w:val="22"/>
            <w:szCs w:val="22"/>
          </w:rPr>
          <w:tab/>
        </w:r>
        <w:r w:rsidR="005002DD" w:rsidRPr="00252C47">
          <w:rPr>
            <w:rStyle w:val="Hypertextovprepojenie"/>
          </w:rPr>
          <w:t>Zvyšovanie zamestnanosti</w:t>
        </w:r>
        <w:r w:rsidR="005002DD">
          <w:rPr>
            <w:webHidden/>
          </w:rPr>
          <w:tab/>
        </w:r>
        <w:r w:rsidR="005002DD">
          <w:rPr>
            <w:webHidden/>
          </w:rPr>
          <w:fldChar w:fldCharType="begin"/>
        </w:r>
        <w:r w:rsidR="005002DD">
          <w:rPr>
            <w:webHidden/>
          </w:rPr>
          <w:instrText xml:space="preserve"> PAGEREF _Toc173741539 \h </w:instrText>
        </w:r>
        <w:r w:rsidR="005002DD">
          <w:rPr>
            <w:webHidden/>
          </w:rPr>
        </w:r>
        <w:r w:rsidR="005002DD">
          <w:rPr>
            <w:webHidden/>
          </w:rPr>
          <w:fldChar w:fldCharType="separate"/>
        </w:r>
        <w:r w:rsidR="004C31AB">
          <w:rPr>
            <w:webHidden/>
          </w:rPr>
          <w:t>13</w:t>
        </w:r>
        <w:r w:rsidR="005002DD">
          <w:rPr>
            <w:webHidden/>
          </w:rPr>
          <w:fldChar w:fldCharType="end"/>
        </w:r>
      </w:hyperlink>
    </w:p>
    <w:p w14:paraId="36C19CDE" w14:textId="2477DB61" w:rsidR="005002DD" w:rsidRDefault="00D64CEB">
      <w:pPr>
        <w:pStyle w:val="Obsah3"/>
        <w:rPr>
          <w:rFonts w:asciiTheme="minorHAnsi" w:eastAsiaTheme="minorEastAsia" w:hAnsiTheme="minorHAnsi" w:cstheme="minorBidi"/>
          <w:iCs w:val="0"/>
          <w:sz w:val="22"/>
          <w:szCs w:val="22"/>
        </w:rPr>
      </w:pPr>
      <w:hyperlink w:anchor="_Toc173741540" w:history="1">
        <w:r w:rsidR="005002DD" w:rsidRPr="00252C47">
          <w:rPr>
            <w:rStyle w:val="Hypertextovprepojenie"/>
          </w:rPr>
          <w:t>1.2.3</w:t>
        </w:r>
        <w:r w:rsidR="005002DD">
          <w:rPr>
            <w:rFonts w:asciiTheme="minorHAnsi" w:eastAsiaTheme="minorEastAsia" w:hAnsiTheme="minorHAnsi" w:cstheme="minorBidi"/>
            <w:iCs w:val="0"/>
            <w:sz w:val="22"/>
            <w:szCs w:val="22"/>
          </w:rPr>
          <w:tab/>
        </w:r>
        <w:r w:rsidR="005002DD" w:rsidRPr="00252C47">
          <w:rPr>
            <w:rStyle w:val="Hypertextovprepojenie"/>
          </w:rPr>
          <w:t>Udržanie existujúcich pracovných miest</w:t>
        </w:r>
        <w:r w:rsidR="005002DD">
          <w:rPr>
            <w:webHidden/>
          </w:rPr>
          <w:tab/>
        </w:r>
        <w:r w:rsidR="005002DD">
          <w:rPr>
            <w:webHidden/>
          </w:rPr>
          <w:fldChar w:fldCharType="begin"/>
        </w:r>
        <w:r w:rsidR="005002DD">
          <w:rPr>
            <w:webHidden/>
          </w:rPr>
          <w:instrText xml:space="preserve"> PAGEREF _Toc173741540 \h </w:instrText>
        </w:r>
        <w:r w:rsidR="005002DD">
          <w:rPr>
            <w:webHidden/>
          </w:rPr>
        </w:r>
        <w:r w:rsidR="005002DD">
          <w:rPr>
            <w:webHidden/>
          </w:rPr>
          <w:fldChar w:fldCharType="separate"/>
        </w:r>
        <w:r w:rsidR="004C31AB">
          <w:rPr>
            <w:webHidden/>
          </w:rPr>
          <w:t>14</w:t>
        </w:r>
        <w:r w:rsidR="005002DD">
          <w:rPr>
            <w:webHidden/>
          </w:rPr>
          <w:fldChar w:fldCharType="end"/>
        </w:r>
      </w:hyperlink>
    </w:p>
    <w:p w14:paraId="3CABD32E" w14:textId="75E97E9E" w:rsidR="005002DD" w:rsidRDefault="00D64CEB">
      <w:pPr>
        <w:pStyle w:val="Obsah2"/>
        <w:rPr>
          <w:rFonts w:asciiTheme="minorHAnsi" w:eastAsiaTheme="minorEastAsia" w:hAnsiTheme="minorHAnsi" w:cstheme="minorBidi"/>
          <w:b w:val="0"/>
          <w:bCs w:val="0"/>
          <w:sz w:val="22"/>
          <w:szCs w:val="22"/>
        </w:rPr>
      </w:pPr>
      <w:hyperlink w:anchor="_Toc173741541" w:history="1">
        <w:r w:rsidR="005002DD" w:rsidRPr="00252C47">
          <w:rPr>
            <w:rStyle w:val="Hypertextovprepojenie"/>
          </w:rPr>
          <w:t>1.3</w:t>
        </w:r>
        <w:r w:rsidR="005002DD">
          <w:rPr>
            <w:rFonts w:asciiTheme="minorHAnsi" w:eastAsiaTheme="minorEastAsia" w:hAnsiTheme="minorHAnsi" w:cstheme="minorBidi"/>
            <w:b w:val="0"/>
            <w:bCs w:val="0"/>
            <w:sz w:val="22"/>
            <w:szCs w:val="22"/>
          </w:rPr>
          <w:tab/>
        </w:r>
        <w:r w:rsidR="005002DD" w:rsidRPr="00252C47">
          <w:rPr>
            <w:rStyle w:val="Hypertextovprepojenie"/>
          </w:rPr>
          <w:t>Využívanie aktívnych opatrení trhu práce v roku 2023</w:t>
        </w:r>
        <w:r w:rsidR="005002DD">
          <w:rPr>
            <w:webHidden/>
          </w:rPr>
          <w:tab/>
        </w:r>
        <w:r w:rsidR="005002DD">
          <w:rPr>
            <w:webHidden/>
          </w:rPr>
          <w:fldChar w:fldCharType="begin"/>
        </w:r>
        <w:r w:rsidR="005002DD">
          <w:rPr>
            <w:webHidden/>
          </w:rPr>
          <w:instrText xml:space="preserve"> PAGEREF _Toc173741541 \h </w:instrText>
        </w:r>
        <w:r w:rsidR="005002DD">
          <w:rPr>
            <w:webHidden/>
          </w:rPr>
        </w:r>
        <w:r w:rsidR="005002DD">
          <w:rPr>
            <w:webHidden/>
          </w:rPr>
          <w:fldChar w:fldCharType="separate"/>
        </w:r>
        <w:r w:rsidR="004C31AB">
          <w:rPr>
            <w:webHidden/>
          </w:rPr>
          <w:t>14</w:t>
        </w:r>
        <w:r w:rsidR="005002DD">
          <w:rPr>
            <w:webHidden/>
          </w:rPr>
          <w:fldChar w:fldCharType="end"/>
        </w:r>
      </w:hyperlink>
    </w:p>
    <w:p w14:paraId="26D16015" w14:textId="1C06B23A" w:rsidR="005002DD" w:rsidRDefault="00D64CEB">
      <w:pPr>
        <w:pStyle w:val="Obsah1"/>
        <w:rPr>
          <w:rFonts w:asciiTheme="minorHAnsi" w:eastAsiaTheme="minorEastAsia" w:hAnsiTheme="minorHAnsi" w:cstheme="minorBidi"/>
          <w:b w:val="0"/>
          <w:bCs w:val="0"/>
          <w:caps w:val="0"/>
          <w:sz w:val="22"/>
          <w:szCs w:val="22"/>
          <w:lang w:eastAsia="sk-SK"/>
        </w:rPr>
      </w:pPr>
      <w:hyperlink w:anchor="_Toc173741542" w:history="1">
        <w:r w:rsidR="005002DD" w:rsidRPr="00252C47">
          <w:rPr>
            <w:rStyle w:val="Hypertextovprepojenie"/>
          </w:rPr>
          <w:t>2</w:t>
        </w:r>
        <w:r w:rsidR="005002DD">
          <w:rPr>
            <w:rFonts w:asciiTheme="minorHAnsi" w:eastAsiaTheme="minorEastAsia" w:hAnsiTheme="minorHAnsi" w:cstheme="minorBidi"/>
            <w:b w:val="0"/>
            <w:bCs w:val="0"/>
            <w:caps w:val="0"/>
            <w:sz w:val="22"/>
            <w:szCs w:val="22"/>
            <w:lang w:eastAsia="sk-SK"/>
          </w:rPr>
          <w:tab/>
        </w:r>
        <w:r w:rsidR="005002DD" w:rsidRPr="00252C47">
          <w:rPr>
            <w:rStyle w:val="Hypertextovprepojenie"/>
          </w:rPr>
          <w:t>VYHODNOTENIE ČINNOSTI INFORMAČNÝCH A  SPROSTREDKOVATEĽSKÝCH SLUŽIEB ZA ROK 2022 V PÔSOBNOSTI ÚSTREDIA A ÚRADOV - § 32, § 42 ZÁKONA O SLUŽBÁCH ZAMESTNANOSTI</w:t>
        </w:r>
        <w:r w:rsidR="005002DD">
          <w:rPr>
            <w:webHidden/>
          </w:rPr>
          <w:tab/>
        </w:r>
        <w:r w:rsidR="005002DD">
          <w:rPr>
            <w:webHidden/>
          </w:rPr>
          <w:fldChar w:fldCharType="begin"/>
        </w:r>
        <w:r w:rsidR="005002DD">
          <w:rPr>
            <w:webHidden/>
          </w:rPr>
          <w:instrText xml:space="preserve"> PAGEREF _Toc173741542 \h </w:instrText>
        </w:r>
        <w:r w:rsidR="005002DD">
          <w:rPr>
            <w:webHidden/>
          </w:rPr>
        </w:r>
        <w:r w:rsidR="005002DD">
          <w:rPr>
            <w:webHidden/>
          </w:rPr>
          <w:fldChar w:fldCharType="separate"/>
        </w:r>
        <w:r w:rsidR="004C31AB">
          <w:rPr>
            <w:webHidden/>
          </w:rPr>
          <w:t>15</w:t>
        </w:r>
        <w:r w:rsidR="005002DD">
          <w:rPr>
            <w:webHidden/>
          </w:rPr>
          <w:fldChar w:fldCharType="end"/>
        </w:r>
      </w:hyperlink>
    </w:p>
    <w:p w14:paraId="495FCD56" w14:textId="4226B8E3" w:rsidR="005002DD" w:rsidRDefault="00D64CEB">
      <w:pPr>
        <w:pStyle w:val="Obsah2"/>
        <w:rPr>
          <w:rFonts w:asciiTheme="minorHAnsi" w:eastAsiaTheme="minorEastAsia" w:hAnsiTheme="minorHAnsi" w:cstheme="minorBidi"/>
          <w:b w:val="0"/>
          <w:bCs w:val="0"/>
          <w:sz w:val="22"/>
          <w:szCs w:val="22"/>
        </w:rPr>
      </w:pPr>
      <w:hyperlink w:anchor="_Toc173741543" w:history="1">
        <w:r w:rsidR="005002DD" w:rsidRPr="00252C47">
          <w:rPr>
            <w:rStyle w:val="Hypertextovprepojenie"/>
          </w:rPr>
          <w:t xml:space="preserve">2.1 </w:t>
        </w:r>
        <w:r w:rsidR="005002DD">
          <w:rPr>
            <w:rFonts w:asciiTheme="minorHAnsi" w:eastAsiaTheme="minorEastAsia" w:hAnsiTheme="minorHAnsi" w:cstheme="minorBidi"/>
            <w:b w:val="0"/>
            <w:bCs w:val="0"/>
            <w:sz w:val="22"/>
            <w:szCs w:val="22"/>
          </w:rPr>
          <w:tab/>
        </w:r>
        <w:r w:rsidR="005002DD" w:rsidRPr="00252C47">
          <w:rPr>
            <w:rStyle w:val="Hypertextovprepojenie"/>
          </w:rPr>
          <w:t>Vyhodnotenie činnosti úradov</w:t>
        </w:r>
        <w:r w:rsidR="005002DD">
          <w:rPr>
            <w:webHidden/>
          </w:rPr>
          <w:tab/>
        </w:r>
        <w:r w:rsidR="005002DD">
          <w:rPr>
            <w:webHidden/>
          </w:rPr>
          <w:fldChar w:fldCharType="begin"/>
        </w:r>
        <w:r w:rsidR="005002DD">
          <w:rPr>
            <w:webHidden/>
          </w:rPr>
          <w:instrText xml:space="preserve"> PAGEREF _Toc173741543 \h </w:instrText>
        </w:r>
        <w:r w:rsidR="005002DD">
          <w:rPr>
            <w:webHidden/>
          </w:rPr>
        </w:r>
        <w:r w:rsidR="005002DD">
          <w:rPr>
            <w:webHidden/>
          </w:rPr>
          <w:fldChar w:fldCharType="separate"/>
        </w:r>
        <w:r w:rsidR="004C31AB">
          <w:rPr>
            <w:webHidden/>
          </w:rPr>
          <w:t>15</w:t>
        </w:r>
        <w:r w:rsidR="005002DD">
          <w:rPr>
            <w:webHidden/>
          </w:rPr>
          <w:fldChar w:fldCharType="end"/>
        </w:r>
      </w:hyperlink>
    </w:p>
    <w:p w14:paraId="7B552F8F" w14:textId="42E0E58A" w:rsidR="005002DD" w:rsidRDefault="00D64CEB">
      <w:pPr>
        <w:pStyle w:val="Obsah3"/>
        <w:rPr>
          <w:rFonts w:asciiTheme="minorHAnsi" w:eastAsiaTheme="minorEastAsia" w:hAnsiTheme="minorHAnsi" w:cstheme="minorBidi"/>
          <w:iCs w:val="0"/>
          <w:sz w:val="22"/>
          <w:szCs w:val="22"/>
        </w:rPr>
      </w:pPr>
      <w:hyperlink w:anchor="_Toc173741544" w:history="1">
        <w:r w:rsidR="005002DD" w:rsidRPr="00252C47">
          <w:rPr>
            <w:rStyle w:val="Hypertextovprepojenie"/>
            <w:lang w:eastAsia="en-US"/>
          </w:rPr>
          <w:t>2.1.1 Spolupráca so zamestnávateľmi</w:t>
        </w:r>
        <w:r w:rsidR="005002DD">
          <w:rPr>
            <w:webHidden/>
          </w:rPr>
          <w:tab/>
        </w:r>
        <w:r w:rsidR="005002DD">
          <w:rPr>
            <w:webHidden/>
          </w:rPr>
          <w:fldChar w:fldCharType="begin"/>
        </w:r>
        <w:r w:rsidR="005002DD">
          <w:rPr>
            <w:webHidden/>
          </w:rPr>
          <w:instrText xml:space="preserve"> PAGEREF _Toc173741544 \h </w:instrText>
        </w:r>
        <w:r w:rsidR="005002DD">
          <w:rPr>
            <w:webHidden/>
          </w:rPr>
        </w:r>
        <w:r w:rsidR="005002DD">
          <w:rPr>
            <w:webHidden/>
          </w:rPr>
          <w:fldChar w:fldCharType="separate"/>
        </w:r>
        <w:r w:rsidR="004C31AB">
          <w:rPr>
            <w:webHidden/>
          </w:rPr>
          <w:t>15</w:t>
        </w:r>
        <w:r w:rsidR="005002DD">
          <w:rPr>
            <w:webHidden/>
          </w:rPr>
          <w:fldChar w:fldCharType="end"/>
        </w:r>
      </w:hyperlink>
    </w:p>
    <w:p w14:paraId="0E0E808E" w14:textId="301B9D6F" w:rsidR="005002DD" w:rsidRDefault="00D64CEB">
      <w:pPr>
        <w:pStyle w:val="Obsah3"/>
        <w:rPr>
          <w:rFonts w:asciiTheme="minorHAnsi" w:eastAsiaTheme="minorEastAsia" w:hAnsiTheme="minorHAnsi" w:cstheme="minorBidi"/>
          <w:iCs w:val="0"/>
          <w:sz w:val="22"/>
          <w:szCs w:val="22"/>
        </w:rPr>
      </w:pPr>
      <w:hyperlink w:anchor="_Toc173741545" w:history="1">
        <w:r w:rsidR="005002DD" w:rsidRPr="00252C47">
          <w:rPr>
            <w:rStyle w:val="Hypertextovprepojenie"/>
          </w:rPr>
          <w:t>2.1.2 Kontakt so zamestnávateľmi</w:t>
        </w:r>
        <w:r w:rsidR="005002DD">
          <w:rPr>
            <w:webHidden/>
          </w:rPr>
          <w:tab/>
        </w:r>
        <w:r w:rsidR="005002DD">
          <w:rPr>
            <w:webHidden/>
          </w:rPr>
          <w:fldChar w:fldCharType="begin"/>
        </w:r>
        <w:r w:rsidR="005002DD">
          <w:rPr>
            <w:webHidden/>
          </w:rPr>
          <w:instrText xml:space="preserve"> PAGEREF _Toc173741545 \h </w:instrText>
        </w:r>
        <w:r w:rsidR="005002DD">
          <w:rPr>
            <w:webHidden/>
          </w:rPr>
        </w:r>
        <w:r w:rsidR="005002DD">
          <w:rPr>
            <w:webHidden/>
          </w:rPr>
          <w:fldChar w:fldCharType="separate"/>
        </w:r>
        <w:r w:rsidR="004C31AB">
          <w:rPr>
            <w:webHidden/>
          </w:rPr>
          <w:t>16</w:t>
        </w:r>
        <w:r w:rsidR="005002DD">
          <w:rPr>
            <w:webHidden/>
          </w:rPr>
          <w:fldChar w:fldCharType="end"/>
        </w:r>
      </w:hyperlink>
    </w:p>
    <w:p w14:paraId="5D6687F3" w14:textId="42A4901B" w:rsidR="005002DD" w:rsidRDefault="00D64CEB">
      <w:pPr>
        <w:pStyle w:val="Obsah3"/>
        <w:rPr>
          <w:rFonts w:asciiTheme="minorHAnsi" w:eastAsiaTheme="minorEastAsia" w:hAnsiTheme="minorHAnsi" w:cstheme="minorBidi"/>
          <w:iCs w:val="0"/>
          <w:sz w:val="22"/>
          <w:szCs w:val="22"/>
        </w:rPr>
      </w:pPr>
      <w:hyperlink w:anchor="_Toc173741546" w:history="1">
        <w:r w:rsidR="005002DD" w:rsidRPr="00252C47">
          <w:rPr>
            <w:rStyle w:val="Hypertextovprepojenie"/>
          </w:rPr>
          <w:t>2.1.3 Výberové konania</w:t>
        </w:r>
        <w:r w:rsidR="005002DD">
          <w:rPr>
            <w:webHidden/>
          </w:rPr>
          <w:tab/>
        </w:r>
        <w:r w:rsidR="005002DD">
          <w:rPr>
            <w:webHidden/>
          </w:rPr>
          <w:fldChar w:fldCharType="begin"/>
        </w:r>
        <w:r w:rsidR="005002DD">
          <w:rPr>
            <w:webHidden/>
          </w:rPr>
          <w:instrText xml:space="preserve"> PAGEREF _Toc173741546 \h </w:instrText>
        </w:r>
        <w:r w:rsidR="005002DD">
          <w:rPr>
            <w:webHidden/>
          </w:rPr>
        </w:r>
        <w:r w:rsidR="005002DD">
          <w:rPr>
            <w:webHidden/>
          </w:rPr>
          <w:fldChar w:fldCharType="separate"/>
        </w:r>
        <w:r w:rsidR="004C31AB">
          <w:rPr>
            <w:webHidden/>
          </w:rPr>
          <w:t>16</w:t>
        </w:r>
        <w:r w:rsidR="005002DD">
          <w:rPr>
            <w:webHidden/>
          </w:rPr>
          <w:fldChar w:fldCharType="end"/>
        </w:r>
      </w:hyperlink>
    </w:p>
    <w:p w14:paraId="417A503E" w14:textId="0C5EB581" w:rsidR="005002DD" w:rsidRDefault="00D64CEB">
      <w:pPr>
        <w:pStyle w:val="Obsah3"/>
        <w:rPr>
          <w:rFonts w:asciiTheme="minorHAnsi" w:eastAsiaTheme="minorEastAsia" w:hAnsiTheme="minorHAnsi" w:cstheme="minorBidi"/>
          <w:iCs w:val="0"/>
          <w:sz w:val="22"/>
          <w:szCs w:val="22"/>
        </w:rPr>
      </w:pPr>
      <w:hyperlink w:anchor="_Toc173741547" w:history="1">
        <w:r w:rsidR="005002DD" w:rsidRPr="00252C47">
          <w:rPr>
            <w:rStyle w:val="Hypertextovprepojenie"/>
          </w:rPr>
          <w:t>2.1.4</w:t>
        </w:r>
        <w:r w:rsidR="005002DD">
          <w:rPr>
            <w:rFonts w:asciiTheme="minorHAnsi" w:eastAsiaTheme="minorEastAsia" w:hAnsiTheme="minorHAnsi" w:cstheme="minorBidi"/>
            <w:iCs w:val="0"/>
            <w:sz w:val="22"/>
            <w:szCs w:val="22"/>
          </w:rPr>
          <w:tab/>
        </w:r>
        <w:r w:rsidR="005002DD" w:rsidRPr="00252C47">
          <w:rPr>
            <w:rStyle w:val="Hypertextovprepojenie"/>
          </w:rPr>
          <w:t>Burzy práce a informácií</w:t>
        </w:r>
        <w:r w:rsidR="005002DD">
          <w:rPr>
            <w:webHidden/>
          </w:rPr>
          <w:tab/>
        </w:r>
        <w:r w:rsidR="005002DD">
          <w:rPr>
            <w:webHidden/>
          </w:rPr>
          <w:fldChar w:fldCharType="begin"/>
        </w:r>
        <w:r w:rsidR="005002DD">
          <w:rPr>
            <w:webHidden/>
          </w:rPr>
          <w:instrText xml:space="preserve"> PAGEREF _Toc173741547 \h </w:instrText>
        </w:r>
        <w:r w:rsidR="005002DD">
          <w:rPr>
            <w:webHidden/>
          </w:rPr>
        </w:r>
        <w:r w:rsidR="005002DD">
          <w:rPr>
            <w:webHidden/>
          </w:rPr>
          <w:fldChar w:fldCharType="separate"/>
        </w:r>
        <w:r w:rsidR="004C31AB">
          <w:rPr>
            <w:webHidden/>
          </w:rPr>
          <w:t>16</w:t>
        </w:r>
        <w:r w:rsidR="005002DD">
          <w:rPr>
            <w:webHidden/>
          </w:rPr>
          <w:fldChar w:fldCharType="end"/>
        </w:r>
      </w:hyperlink>
    </w:p>
    <w:p w14:paraId="0C6521A2" w14:textId="02D3988B" w:rsidR="005002DD" w:rsidRDefault="00D64CEB">
      <w:pPr>
        <w:pStyle w:val="Obsah3"/>
        <w:rPr>
          <w:rFonts w:asciiTheme="minorHAnsi" w:eastAsiaTheme="minorEastAsia" w:hAnsiTheme="minorHAnsi" w:cstheme="minorBidi"/>
          <w:iCs w:val="0"/>
          <w:sz w:val="22"/>
          <w:szCs w:val="22"/>
        </w:rPr>
      </w:pPr>
      <w:hyperlink w:anchor="_Toc173741548" w:history="1">
        <w:r w:rsidR="005002DD" w:rsidRPr="00252C47">
          <w:rPr>
            <w:rStyle w:val="Hypertextovprepojenie"/>
          </w:rPr>
          <w:t>2.1.6</w:t>
        </w:r>
        <w:r w:rsidR="005002DD">
          <w:rPr>
            <w:rFonts w:asciiTheme="minorHAnsi" w:eastAsiaTheme="minorEastAsia" w:hAnsiTheme="minorHAnsi" w:cstheme="minorBidi"/>
            <w:iCs w:val="0"/>
            <w:sz w:val="22"/>
            <w:szCs w:val="22"/>
          </w:rPr>
          <w:tab/>
        </w:r>
        <w:r w:rsidR="005002DD" w:rsidRPr="00252C47">
          <w:rPr>
            <w:rStyle w:val="Hypertextovprepojenie"/>
          </w:rPr>
          <w:t>Európske služby zamestnanosti /EURES/ pre zamestnávateľov – NP SHP II.</w:t>
        </w:r>
        <w:r w:rsidR="005002DD">
          <w:rPr>
            <w:webHidden/>
          </w:rPr>
          <w:tab/>
        </w:r>
        <w:r w:rsidR="005002DD">
          <w:rPr>
            <w:webHidden/>
          </w:rPr>
          <w:fldChar w:fldCharType="begin"/>
        </w:r>
        <w:r w:rsidR="005002DD">
          <w:rPr>
            <w:webHidden/>
          </w:rPr>
          <w:instrText xml:space="preserve"> PAGEREF _Toc173741548 \h </w:instrText>
        </w:r>
        <w:r w:rsidR="005002DD">
          <w:rPr>
            <w:webHidden/>
          </w:rPr>
        </w:r>
        <w:r w:rsidR="005002DD">
          <w:rPr>
            <w:webHidden/>
          </w:rPr>
          <w:fldChar w:fldCharType="separate"/>
        </w:r>
        <w:r w:rsidR="004C31AB">
          <w:rPr>
            <w:webHidden/>
          </w:rPr>
          <w:t>18</w:t>
        </w:r>
        <w:r w:rsidR="005002DD">
          <w:rPr>
            <w:webHidden/>
          </w:rPr>
          <w:fldChar w:fldCharType="end"/>
        </w:r>
      </w:hyperlink>
    </w:p>
    <w:p w14:paraId="1EC805CA" w14:textId="18028721" w:rsidR="005002DD" w:rsidRDefault="00D64CEB">
      <w:pPr>
        <w:pStyle w:val="Obsah3"/>
        <w:rPr>
          <w:rFonts w:asciiTheme="minorHAnsi" w:eastAsiaTheme="minorEastAsia" w:hAnsiTheme="minorHAnsi" w:cstheme="minorBidi"/>
          <w:iCs w:val="0"/>
          <w:sz w:val="22"/>
          <w:szCs w:val="22"/>
        </w:rPr>
      </w:pPr>
      <w:hyperlink w:anchor="_Toc173741549" w:history="1">
        <w:r w:rsidR="005002DD" w:rsidRPr="00252C47">
          <w:rPr>
            <w:rStyle w:val="Hypertextovprepojenie"/>
          </w:rPr>
          <w:t>2.1.7</w:t>
        </w:r>
        <w:r w:rsidR="005002DD">
          <w:rPr>
            <w:rFonts w:asciiTheme="minorHAnsi" w:eastAsiaTheme="minorEastAsia" w:hAnsiTheme="minorHAnsi" w:cstheme="minorBidi"/>
            <w:iCs w:val="0"/>
            <w:sz w:val="22"/>
            <w:szCs w:val="22"/>
          </w:rPr>
          <w:tab/>
        </w:r>
        <w:r w:rsidR="005002DD" w:rsidRPr="00252C47">
          <w:rPr>
            <w:rStyle w:val="Hypertextovprepojenie"/>
          </w:rPr>
          <w:t>Výberové pohovory pre záujemcov o prácu v krajinách EÚ/EHP</w:t>
        </w:r>
        <w:r w:rsidR="005002DD">
          <w:rPr>
            <w:webHidden/>
          </w:rPr>
          <w:tab/>
        </w:r>
        <w:r w:rsidR="005002DD">
          <w:rPr>
            <w:webHidden/>
          </w:rPr>
          <w:fldChar w:fldCharType="begin"/>
        </w:r>
        <w:r w:rsidR="005002DD">
          <w:rPr>
            <w:webHidden/>
          </w:rPr>
          <w:instrText xml:space="preserve"> PAGEREF _Toc173741549 \h </w:instrText>
        </w:r>
        <w:r w:rsidR="005002DD">
          <w:rPr>
            <w:webHidden/>
          </w:rPr>
        </w:r>
        <w:r w:rsidR="005002DD">
          <w:rPr>
            <w:webHidden/>
          </w:rPr>
          <w:fldChar w:fldCharType="separate"/>
        </w:r>
        <w:r w:rsidR="004C31AB">
          <w:rPr>
            <w:webHidden/>
          </w:rPr>
          <w:t>18</w:t>
        </w:r>
        <w:r w:rsidR="005002DD">
          <w:rPr>
            <w:webHidden/>
          </w:rPr>
          <w:fldChar w:fldCharType="end"/>
        </w:r>
      </w:hyperlink>
    </w:p>
    <w:p w14:paraId="7A92EA39" w14:textId="11270C90" w:rsidR="005002DD" w:rsidRDefault="00D64CEB">
      <w:pPr>
        <w:pStyle w:val="Obsah2"/>
        <w:rPr>
          <w:rFonts w:asciiTheme="minorHAnsi" w:eastAsiaTheme="minorEastAsia" w:hAnsiTheme="minorHAnsi" w:cstheme="minorBidi"/>
          <w:b w:val="0"/>
          <w:bCs w:val="0"/>
          <w:sz w:val="22"/>
          <w:szCs w:val="22"/>
        </w:rPr>
      </w:pPr>
      <w:hyperlink w:anchor="_Toc173741550" w:history="1">
        <w:r w:rsidR="005002DD" w:rsidRPr="00252C47">
          <w:rPr>
            <w:rStyle w:val="Hypertextovprepojenie"/>
          </w:rPr>
          <w:t>2.2</w:t>
        </w:r>
        <w:r w:rsidR="005002DD">
          <w:rPr>
            <w:rFonts w:asciiTheme="minorHAnsi" w:eastAsiaTheme="minorEastAsia" w:hAnsiTheme="minorHAnsi" w:cstheme="minorBidi"/>
            <w:b w:val="0"/>
            <w:bCs w:val="0"/>
            <w:sz w:val="22"/>
            <w:szCs w:val="22"/>
          </w:rPr>
          <w:tab/>
        </w:r>
        <w:r w:rsidR="005002DD" w:rsidRPr="00252C47">
          <w:rPr>
            <w:rStyle w:val="Hypertextovprepojenie"/>
          </w:rPr>
          <w:t>Sprostredkovanie zamestnania</w:t>
        </w:r>
        <w:r w:rsidR="005002DD">
          <w:rPr>
            <w:webHidden/>
          </w:rPr>
          <w:tab/>
        </w:r>
        <w:r w:rsidR="005002DD">
          <w:rPr>
            <w:webHidden/>
          </w:rPr>
          <w:fldChar w:fldCharType="begin"/>
        </w:r>
        <w:r w:rsidR="005002DD">
          <w:rPr>
            <w:webHidden/>
          </w:rPr>
          <w:instrText xml:space="preserve"> PAGEREF _Toc173741550 \h </w:instrText>
        </w:r>
        <w:r w:rsidR="005002DD">
          <w:rPr>
            <w:webHidden/>
          </w:rPr>
        </w:r>
        <w:r w:rsidR="005002DD">
          <w:rPr>
            <w:webHidden/>
          </w:rPr>
          <w:fldChar w:fldCharType="separate"/>
        </w:r>
        <w:r w:rsidR="004C31AB">
          <w:rPr>
            <w:webHidden/>
          </w:rPr>
          <w:t>19</w:t>
        </w:r>
        <w:r w:rsidR="005002DD">
          <w:rPr>
            <w:webHidden/>
          </w:rPr>
          <w:fldChar w:fldCharType="end"/>
        </w:r>
      </w:hyperlink>
    </w:p>
    <w:p w14:paraId="713096B9" w14:textId="3AB4DBD6" w:rsidR="005002DD" w:rsidRDefault="00D64CEB">
      <w:pPr>
        <w:pStyle w:val="Obsah2"/>
        <w:rPr>
          <w:rFonts w:asciiTheme="minorHAnsi" w:eastAsiaTheme="minorEastAsia" w:hAnsiTheme="minorHAnsi" w:cstheme="minorBidi"/>
          <w:b w:val="0"/>
          <w:bCs w:val="0"/>
          <w:sz w:val="22"/>
          <w:szCs w:val="22"/>
        </w:rPr>
      </w:pPr>
      <w:hyperlink w:anchor="_Toc173741551" w:history="1">
        <w:r w:rsidR="005002DD" w:rsidRPr="00252C47">
          <w:rPr>
            <w:rStyle w:val="Hypertextovprepojenie"/>
          </w:rPr>
          <w:t>2.3</w:t>
        </w:r>
        <w:r w:rsidR="005002DD">
          <w:rPr>
            <w:rFonts w:asciiTheme="minorHAnsi" w:eastAsiaTheme="minorEastAsia" w:hAnsiTheme="minorHAnsi" w:cstheme="minorBidi"/>
            <w:b w:val="0"/>
            <w:bCs w:val="0"/>
            <w:sz w:val="22"/>
            <w:szCs w:val="22"/>
          </w:rPr>
          <w:tab/>
        </w:r>
        <w:r w:rsidR="005002DD" w:rsidRPr="00252C47">
          <w:rPr>
            <w:rStyle w:val="Hypertextovprepojenie"/>
          </w:rPr>
          <w:t>Informačné a poradenské služby pre uchádzačov o zamestnanie a záujemcov           o zamestnanie</w:t>
        </w:r>
        <w:r w:rsidR="005002DD">
          <w:rPr>
            <w:webHidden/>
          </w:rPr>
          <w:tab/>
        </w:r>
        <w:r w:rsidR="005002DD">
          <w:rPr>
            <w:webHidden/>
          </w:rPr>
          <w:fldChar w:fldCharType="begin"/>
        </w:r>
        <w:r w:rsidR="005002DD">
          <w:rPr>
            <w:webHidden/>
          </w:rPr>
          <w:instrText xml:space="preserve"> PAGEREF _Toc173741551 \h </w:instrText>
        </w:r>
        <w:r w:rsidR="005002DD">
          <w:rPr>
            <w:webHidden/>
          </w:rPr>
        </w:r>
        <w:r w:rsidR="005002DD">
          <w:rPr>
            <w:webHidden/>
          </w:rPr>
          <w:fldChar w:fldCharType="separate"/>
        </w:r>
        <w:r w:rsidR="004C31AB">
          <w:rPr>
            <w:webHidden/>
          </w:rPr>
          <w:t>19</w:t>
        </w:r>
        <w:r w:rsidR="005002DD">
          <w:rPr>
            <w:webHidden/>
          </w:rPr>
          <w:fldChar w:fldCharType="end"/>
        </w:r>
      </w:hyperlink>
    </w:p>
    <w:p w14:paraId="70132786" w14:textId="6CD8E549" w:rsidR="005002DD" w:rsidRDefault="00D64CEB">
      <w:pPr>
        <w:pStyle w:val="Obsah2"/>
        <w:rPr>
          <w:rFonts w:asciiTheme="minorHAnsi" w:eastAsiaTheme="minorEastAsia" w:hAnsiTheme="minorHAnsi" w:cstheme="minorBidi"/>
          <w:b w:val="0"/>
          <w:bCs w:val="0"/>
          <w:sz w:val="22"/>
          <w:szCs w:val="22"/>
        </w:rPr>
      </w:pPr>
      <w:hyperlink w:anchor="_Toc173741552" w:history="1">
        <w:r w:rsidR="005002DD" w:rsidRPr="00252C47">
          <w:rPr>
            <w:rStyle w:val="Hypertextovprepojenie"/>
          </w:rPr>
          <w:t>2.4</w:t>
        </w:r>
        <w:r w:rsidR="005002DD">
          <w:rPr>
            <w:rFonts w:asciiTheme="minorHAnsi" w:eastAsiaTheme="minorEastAsia" w:hAnsiTheme="minorHAnsi" w:cstheme="minorBidi"/>
            <w:b w:val="0"/>
            <w:bCs w:val="0"/>
            <w:sz w:val="22"/>
            <w:szCs w:val="22"/>
          </w:rPr>
          <w:tab/>
        </w:r>
        <w:r w:rsidR="005002DD" w:rsidRPr="00252C47">
          <w:rPr>
            <w:rStyle w:val="Hypertextovprepojenie"/>
          </w:rPr>
          <w:t>Európske služby zamestnanosti /EURES/ pre uchádzačov o zamestnanie,           záujemcov o zamestnanie a nezamestnaných</w:t>
        </w:r>
        <w:r w:rsidR="005002DD">
          <w:rPr>
            <w:webHidden/>
          </w:rPr>
          <w:tab/>
        </w:r>
        <w:r w:rsidR="005002DD">
          <w:rPr>
            <w:webHidden/>
          </w:rPr>
          <w:fldChar w:fldCharType="begin"/>
        </w:r>
        <w:r w:rsidR="005002DD">
          <w:rPr>
            <w:webHidden/>
          </w:rPr>
          <w:instrText xml:space="preserve"> PAGEREF _Toc173741552 \h </w:instrText>
        </w:r>
        <w:r w:rsidR="005002DD">
          <w:rPr>
            <w:webHidden/>
          </w:rPr>
        </w:r>
        <w:r w:rsidR="005002DD">
          <w:rPr>
            <w:webHidden/>
          </w:rPr>
          <w:fldChar w:fldCharType="separate"/>
        </w:r>
        <w:r w:rsidR="004C31AB">
          <w:rPr>
            <w:webHidden/>
          </w:rPr>
          <w:t>20</w:t>
        </w:r>
        <w:r w:rsidR="005002DD">
          <w:rPr>
            <w:webHidden/>
          </w:rPr>
          <w:fldChar w:fldCharType="end"/>
        </w:r>
      </w:hyperlink>
    </w:p>
    <w:p w14:paraId="29E0244F" w14:textId="5835110B" w:rsidR="005002DD" w:rsidRDefault="00D64CEB">
      <w:pPr>
        <w:pStyle w:val="Obsah2"/>
        <w:rPr>
          <w:rFonts w:asciiTheme="minorHAnsi" w:eastAsiaTheme="minorEastAsia" w:hAnsiTheme="minorHAnsi" w:cstheme="minorBidi"/>
          <w:b w:val="0"/>
          <w:bCs w:val="0"/>
          <w:sz w:val="22"/>
          <w:szCs w:val="22"/>
        </w:rPr>
      </w:pPr>
      <w:hyperlink w:anchor="_Toc173741553" w:history="1">
        <w:r w:rsidR="005002DD" w:rsidRPr="00252C47">
          <w:rPr>
            <w:rStyle w:val="Hypertextovprepojenie"/>
          </w:rPr>
          <w:t>2.5</w:t>
        </w:r>
        <w:r w:rsidR="005002DD">
          <w:rPr>
            <w:rFonts w:asciiTheme="minorHAnsi" w:eastAsiaTheme="minorEastAsia" w:hAnsiTheme="minorHAnsi" w:cstheme="minorBidi"/>
            <w:b w:val="0"/>
            <w:bCs w:val="0"/>
            <w:sz w:val="22"/>
            <w:szCs w:val="22"/>
          </w:rPr>
          <w:tab/>
        </w:r>
        <w:r w:rsidR="005002DD" w:rsidRPr="00252C47">
          <w:rPr>
            <w:rStyle w:val="Hypertextovprepojenie"/>
          </w:rPr>
          <w:t>Projekty úradov v rámci partnerstiev</w:t>
        </w:r>
        <w:r w:rsidR="005002DD">
          <w:rPr>
            <w:webHidden/>
          </w:rPr>
          <w:tab/>
        </w:r>
        <w:r w:rsidR="005002DD">
          <w:rPr>
            <w:webHidden/>
          </w:rPr>
          <w:fldChar w:fldCharType="begin"/>
        </w:r>
        <w:r w:rsidR="005002DD">
          <w:rPr>
            <w:webHidden/>
          </w:rPr>
          <w:instrText xml:space="preserve"> PAGEREF _Toc173741553 \h </w:instrText>
        </w:r>
        <w:r w:rsidR="005002DD">
          <w:rPr>
            <w:webHidden/>
          </w:rPr>
        </w:r>
        <w:r w:rsidR="005002DD">
          <w:rPr>
            <w:webHidden/>
          </w:rPr>
          <w:fldChar w:fldCharType="separate"/>
        </w:r>
        <w:r w:rsidR="004C31AB">
          <w:rPr>
            <w:webHidden/>
          </w:rPr>
          <w:t>21</w:t>
        </w:r>
        <w:r w:rsidR="005002DD">
          <w:rPr>
            <w:webHidden/>
          </w:rPr>
          <w:fldChar w:fldCharType="end"/>
        </w:r>
      </w:hyperlink>
    </w:p>
    <w:p w14:paraId="16DDC271" w14:textId="50E406F8" w:rsidR="005002DD" w:rsidRDefault="00D64CEB">
      <w:pPr>
        <w:pStyle w:val="Obsah1"/>
        <w:rPr>
          <w:rFonts w:asciiTheme="minorHAnsi" w:eastAsiaTheme="minorEastAsia" w:hAnsiTheme="minorHAnsi" w:cstheme="minorBidi"/>
          <w:b w:val="0"/>
          <w:bCs w:val="0"/>
          <w:caps w:val="0"/>
          <w:sz w:val="22"/>
          <w:szCs w:val="22"/>
          <w:lang w:eastAsia="sk-SK"/>
        </w:rPr>
      </w:pPr>
      <w:hyperlink w:anchor="_Toc173741554" w:history="1">
        <w:r w:rsidR="005002DD" w:rsidRPr="00252C47">
          <w:rPr>
            <w:rStyle w:val="Hypertextovprepojenie"/>
          </w:rPr>
          <w:t>3</w:t>
        </w:r>
        <w:r w:rsidR="005002DD">
          <w:rPr>
            <w:rFonts w:asciiTheme="minorHAnsi" w:eastAsiaTheme="minorEastAsia" w:hAnsiTheme="minorHAnsi" w:cstheme="minorBidi"/>
            <w:b w:val="0"/>
            <w:bCs w:val="0"/>
            <w:caps w:val="0"/>
            <w:sz w:val="22"/>
            <w:szCs w:val="22"/>
            <w:lang w:eastAsia="sk-SK"/>
          </w:rPr>
          <w:tab/>
        </w:r>
        <w:r w:rsidR="005002DD" w:rsidRPr="00252C47">
          <w:rPr>
            <w:rStyle w:val="Hypertextovprepojenie"/>
          </w:rPr>
          <w:t>VYHODNOTENIE UPLATŇOVANIA AKTÍVNYCH OPATRENÍ TRHU PRÁCE NA PODPORU ZAMESTNATEĽNOSTI</w:t>
        </w:r>
        <w:r w:rsidR="005002DD">
          <w:rPr>
            <w:webHidden/>
          </w:rPr>
          <w:tab/>
        </w:r>
        <w:r w:rsidR="005002DD">
          <w:rPr>
            <w:webHidden/>
          </w:rPr>
          <w:fldChar w:fldCharType="begin"/>
        </w:r>
        <w:r w:rsidR="005002DD">
          <w:rPr>
            <w:webHidden/>
          </w:rPr>
          <w:instrText xml:space="preserve"> PAGEREF _Toc173741554 \h </w:instrText>
        </w:r>
        <w:r w:rsidR="005002DD">
          <w:rPr>
            <w:webHidden/>
          </w:rPr>
        </w:r>
        <w:r w:rsidR="005002DD">
          <w:rPr>
            <w:webHidden/>
          </w:rPr>
          <w:fldChar w:fldCharType="separate"/>
        </w:r>
        <w:r w:rsidR="004C31AB">
          <w:rPr>
            <w:webHidden/>
          </w:rPr>
          <w:t>21</w:t>
        </w:r>
        <w:r w:rsidR="005002DD">
          <w:rPr>
            <w:webHidden/>
          </w:rPr>
          <w:fldChar w:fldCharType="end"/>
        </w:r>
      </w:hyperlink>
    </w:p>
    <w:p w14:paraId="5479376D" w14:textId="6DC06FCD" w:rsidR="005002DD" w:rsidRDefault="00D64CEB">
      <w:pPr>
        <w:pStyle w:val="Obsah2"/>
        <w:rPr>
          <w:rFonts w:asciiTheme="minorHAnsi" w:eastAsiaTheme="minorEastAsia" w:hAnsiTheme="minorHAnsi" w:cstheme="minorBidi"/>
          <w:b w:val="0"/>
          <w:bCs w:val="0"/>
          <w:sz w:val="22"/>
          <w:szCs w:val="22"/>
        </w:rPr>
      </w:pPr>
      <w:hyperlink w:anchor="_Toc173741555" w:history="1">
        <w:r w:rsidR="005002DD" w:rsidRPr="00252C47">
          <w:rPr>
            <w:rStyle w:val="Hypertextovprepojenie"/>
            <w:caps/>
          </w:rPr>
          <w:t xml:space="preserve">3.1  </w:t>
        </w:r>
        <w:r w:rsidR="005002DD" w:rsidRPr="00252C47">
          <w:rPr>
            <w:rStyle w:val="Hypertextovprepojenie"/>
          </w:rPr>
          <w:t>Náhrada časti cestovných výdavkov UoZ, ktoré súvisia s absolvovaním vstupného          pohovoru alebo VK u zamestnávateľa, alebo s účasťou na skupinovom          sprostredkovaní zamestnania, ktoré organ</w:t>
        </w:r>
        <w:r w:rsidR="004C31AB">
          <w:rPr>
            <w:rStyle w:val="Hypertextovprepojenie"/>
          </w:rPr>
          <w:t xml:space="preserve">izuje ústredie alebo úrad  </w:t>
        </w:r>
        <w:r w:rsidR="005002DD" w:rsidRPr="00252C47">
          <w:rPr>
            <w:rStyle w:val="Hypertextovprepojenie"/>
          </w:rPr>
          <w:t>na území SR pre zamestnávateľa, alebo pre zamestnávat</w:t>
        </w:r>
        <w:r w:rsidR="004C31AB">
          <w:rPr>
            <w:rStyle w:val="Hypertextovprepojenie"/>
          </w:rPr>
          <w:t>eľa z členského štátu EÚ</w:t>
        </w:r>
        <w:r w:rsidR="005002DD" w:rsidRPr="00252C47">
          <w:rPr>
            <w:rStyle w:val="Hypertextovprepojenie"/>
          </w:rPr>
          <w:t xml:space="preserve"> - § 32 ods. 11 písm. d) zákona o službách zamestnanosti</w:t>
        </w:r>
        <w:r w:rsidR="005002DD">
          <w:rPr>
            <w:webHidden/>
          </w:rPr>
          <w:tab/>
        </w:r>
        <w:r w:rsidR="005002DD">
          <w:rPr>
            <w:webHidden/>
          </w:rPr>
          <w:fldChar w:fldCharType="begin"/>
        </w:r>
        <w:r w:rsidR="005002DD">
          <w:rPr>
            <w:webHidden/>
          </w:rPr>
          <w:instrText xml:space="preserve"> PAGEREF _Toc173741555 \h </w:instrText>
        </w:r>
        <w:r w:rsidR="005002DD">
          <w:rPr>
            <w:webHidden/>
          </w:rPr>
        </w:r>
        <w:r w:rsidR="005002DD">
          <w:rPr>
            <w:webHidden/>
          </w:rPr>
          <w:fldChar w:fldCharType="separate"/>
        </w:r>
        <w:r w:rsidR="004C31AB">
          <w:rPr>
            <w:webHidden/>
          </w:rPr>
          <w:t>21</w:t>
        </w:r>
        <w:r w:rsidR="005002DD">
          <w:rPr>
            <w:webHidden/>
          </w:rPr>
          <w:fldChar w:fldCharType="end"/>
        </w:r>
      </w:hyperlink>
    </w:p>
    <w:p w14:paraId="49502A49" w14:textId="626603D8" w:rsidR="005002DD" w:rsidRDefault="00D64CEB">
      <w:pPr>
        <w:pStyle w:val="Obsah2"/>
        <w:rPr>
          <w:rFonts w:asciiTheme="minorHAnsi" w:eastAsiaTheme="minorEastAsia" w:hAnsiTheme="minorHAnsi" w:cstheme="minorBidi"/>
          <w:b w:val="0"/>
          <w:bCs w:val="0"/>
          <w:sz w:val="22"/>
          <w:szCs w:val="22"/>
        </w:rPr>
      </w:pPr>
      <w:hyperlink w:anchor="_Toc173741556" w:history="1">
        <w:r w:rsidR="005002DD" w:rsidRPr="00252C47">
          <w:rPr>
            <w:rStyle w:val="Hypertextovprepojenie"/>
          </w:rPr>
          <w:t>3.2</w:t>
        </w:r>
        <w:r w:rsidR="005002DD">
          <w:rPr>
            <w:rFonts w:asciiTheme="minorHAnsi" w:eastAsiaTheme="minorEastAsia" w:hAnsiTheme="minorHAnsi" w:cstheme="minorBidi"/>
            <w:b w:val="0"/>
            <w:bCs w:val="0"/>
            <w:sz w:val="22"/>
            <w:szCs w:val="22"/>
          </w:rPr>
          <w:tab/>
        </w:r>
        <w:r w:rsidR="005002DD" w:rsidRPr="00252C47">
          <w:rPr>
            <w:rStyle w:val="Hypertextovprepojenie"/>
          </w:rPr>
          <w:t>Informačné a poradenské služby pri voľbe povolania - § 42 ods. 2 písm. a zákona o službách zamestnanosti</w:t>
        </w:r>
        <w:r w:rsidR="005002DD">
          <w:rPr>
            <w:webHidden/>
          </w:rPr>
          <w:tab/>
        </w:r>
        <w:r w:rsidR="005002DD">
          <w:rPr>
            <w:webHidden/>
          </w:rPr>
          <w:fldChar w:fldCharType="begin"/>
        </w:r>
        <w:r w:rsidR="005002DD">
          <w:rPr>
            <w:webHidden/>
          </w:rPr>
          <w:instrText xml:space="preserve"> PAGEREF _Toc173741556 \h </w:instrText>
        </w:r>
        <w:r w:rsidR="005002DD">
          <w:rPr>
            <w:webHidden/>
          </w:rPr>
        </w:r>
        <w:r w:rsidR="005002DD">
          <w:rPr>
            <w:webHidden/>
          </w:rPr>
          <w:fldChar w:fldCharType="separate"/>
        </w:r>
        <w:r w:rsidR="004C31AB">
          <w:rPr>
            <w:webHidden/>
          </w:rPr>
          <w:t>21</w:t>
        </w:r>
        <w:r w:rsidR="005002DD">
          <w:rPr>
            <w:webHidden/>
          </w:rPr>
          <w:fldChar w:fldCharType="end"/>
        </w:r>
      </w:hyperlink>
    </w:p>
    <w:p w14:paraId="23731C9F" w14:textId="77DA60A9" w:rsidR="005002DD" w:rsidRDefault="00D64CEB">
      <w:pPr>
        <w:pStyle w:val="Obsah2"/>
        <w:rPr>
          <w:rFonts w:asciiTheme="minorHAnsi" w:eastAsiaTheme="minorEastAsia" w:hAnsiTheme="minorHAnsi" w:cstheme="minorBidi"/>
          <w:b w:val="0"/>
          <w:bCs w:val="0"/>
          <w:sz w:val="22"/>
          <w:szCs w:val="22"/>
        </w:rPr>
      </w:pPr>
      <w:hyperlink w:anchor="_Toc173741557" w:history="1">
        <w:r w:rsidR="005002DD" w:rsidRPr="00252C47">
          <w:rPr>
            <w:rStyle w:val="Hypertextovprepojenie"/>
          </w:rPr>
          <w:t>3.3 Odborné poradenské služby – § 43 zákona o službách zamestnanosti</w:t>
        </w:r>
        <w:r w:rsidR="005002DD">
          <w:rPr>
            <w:webHidden/>
          </w:rPr>
          <w:tab/>
        </w:r>
        <w:r w:rsidR="005002DD">
          <w:rPr>
            <w:webHidden/>
          </w:rPr>
          <w:fldChar w:fldCharType="begin"/>
        </w:r>
        <w:r w:rsidR="005002DD">
          <w:rPr>
            <w:webHidden/>
          </w:rPr>
          <w:instrText xml:space="preserve"> PAGEREF _Toc173741557 \h </w:instrText>
        </w:r>
        <w:r w:rsidR="005002DD">
          <w:rPr>
            <w:webHidden/>
          </w:rPr>
        </w:r>
        <w:r w:rsidR="005002DD">
          <w:rPr>
            <w:webHidden/>
          </w:rPr>
          <w:fldChar w:fldCharType="separate"/>
        </w:r>
        <w:r w:rsidR="004C31AB">
          <w:rPr>
            <w:webHidden/>
          </w:rPr>
          <w:t>22</w:t>
        </w:r>
        <w:r w:rsidR="005002DD">
          <w:rPr>
            <w:webHidden/>
          </w:rPr>
          <w:fldChar w:fldCharType="end"/>
        </w:r>
      </w:hyperlink>
    </w:p>
    <w:p w14:paraId="121DBB08" w14:textId="76D49D73" w:rsidR="005002DD" w:rsidRDefault="00D64CEB">
      <w:pPr>
        <w:pStyle w:val="Obsah2"/>
        <w:rPr>
          <w:rFonts w:asciiTheme="minorHAnsi" w:eastAsiaTheme="minorEastAsia" w:hAnsiTheme="minorHAnsi" w:cstheme="minorBidi"/>
          <w:b w:val="0"/>
          <w:bCs w:val="0"/>
          <w:sz w:val="22"/>
          <w:szCs w:val="22"/>
        </w:rPr>
      </w:pPr>
      <w:hyperlink w:anchor="_Toc173741558" w:history="1">
        <w:r w:rsidR="005002DD" w:rsidRPr="00252C47">
          <w:rPr>
            <w:rStyle w:val="Hypertextovprepojenie"/>
          </w:rPr>
          <w:t>3.4</w:t>
        </w:r>
        <w:r w:rsidR="005002DD">
          <w:rPr>
            <w:rFonts w:asciiTheme="minorHAnsi" w:eastAsiaTheme="minorEastAsia" w:hAnsiTheme="minorHAnsi" w:cstheme="minorBidi"/>
            <w:b w:val="0"/>
            <w:bCs w:val="0"/>
            <w:sz w:val="22"/>
            <w:szCs w:val="22"/>
          </w:rPr>
          <w:tab/>
        </w:r>
        <w:r w:rsidR="005002DD" w:rsidRPr="00252C47">
          <w:rPr>
            <w:rStyle w:val="Hypertextovprepojenie"/>
          </w:rPr>
          <w:t>Príspevok na aktivačnú činnosť formou menších obecných služieb pre obec alebo formou menších služieb pre samosprávny kraj - § 52 zákona o službách zamestnanosti</w:t>
        </w:r>
        <w:r w:rsidR="005002DD">
          <w:rPr>
            <w:webHidden/>
          </w:rPr>
          <w:tab/>
        </w:r>
        <w:r w:rsidR="005002DD">
          <w:rPr>
            <w:webHidden/>
          </w:rPr>
          <w:fldChar w:fldCharType="begin"/>
        </w:r>
        <w:r w:rsidR="005002DD">
          <w:rPr>
            <w:webHidden/>
          </w:rPr>
          <w:instrText xml:space="preserve"> PAGEREF _Toc173741558 \h </w:instrText>
        </w:r>
        <w:r w:rsidR="005002DD">
          <w:rPr>
            <w:webHidden/>
          </w:rPr>
        </w:r>
        <w:r w:rsidR="005002DD">
          <w:rPr>
            <w:webHidden/>
          </w:rPr>
          <w:fldChar w:fldCharType="separate"/>
        </w:r>
        <w:r w:rsidR="004C31AB">
          <w:rPr>
            <w:webHidden/>
          </w:rPr>
          <w:t>26</w:t>
        </w:r>
        <w:r w:rsidR="005002DD">
          <w:rPr>
            <w:webHidden/>
          </w:rPr>
          <w:fldChar w:fldCharType="end"/>
        </w:r>
      </w:hyperlink>
    </w:p>
    <w:p w14:paraId="199CEF63" w14:textId="22FE8A0B" w:rsidR="005002DD" w:rsidRDefault="00D64CEB">
      <w:pPr>
        <w:pStyle w:val="Obsah2"/>
        <w:rPr>
          <w:rFonts w:asciiTheme="minorHAnsi" w:eastAsiaTheme="minorEastAsia" w:hAnsiTheme="minorHAnsi" w:cstheme="minorBidi"/>
          <w:b w:val="0"/>
          <w:bCs w:val="0"/>
          <w:sz w:val="22"/>
          <w:szCs w:val="22"/>
        </w:rPr>
      </w:pPr>
      <w:hyperlink w:anchor="_Toc173741559" w:history="1">
        <w:r w:rsidR="005002DD" w:rsidRPr="00252C47">
          <w:rPr>
            <w:rStyle w:val="Hypertextovprepojenie"/>
          </w:rPr>
          <w:t>3.5</w:t>
        </w:r>
        <w:r w:rsidR="005002DD">
          <w:rPr>
            <w:rFonts w:asciiTheme="minorHAnsi" w:eastAsiaTheme="minorEastAsia" w:hAnsiTheme="minorHAnsi" w:cstheme="minorBidi"/>
            <w:b w:val="0"/>
            <w:bCs w:val="0"/>
            <w:sz w:val="22"/>
            <w:szCs w:val="22"/>
          </w:rPr>
          <w:tab/>
        </w:r>
        <w:r w:rsidR="005002DD" w:rsidRPr="00252C47">
          <w:rPr>
            <w:rStyle w:val="Hypertextovprepojenie"/>
          </w:rPr>
          <w:t xml:space="preserve">Príspevok na </w:t>
        </w:r>
        <w:r w:rsidR="005002DD" w:rsidRPr="00252C47">
          <w:rPr>
            <w:rStyle w:val="Hypertextovprepojenie"/>
            <w:rFonts w:eastAsia="Calibri"/>
            <w:lang w:eastAsia="en-US"/>
          </w:rPr>
          <w:t xml:space="preserve">rekvalifikačný kurz (REPAS+) - § 54 ods. 1 písm. d)  zákona             </w:t>
        </w:r>
        <w:r w:rsidR="005002DD" w:rsidRPr="00252C47">
          <w:rPr>
            <w:rStyle w:val="Hypertextovprepojenie"/>
          </w:rPr>
          <w:t>o službách zamestnanosti</w:t>
        </w:r>
        <w:r w:rsidR="005002DD">
          <w:rPr>
            <w:webHidden/>
          </w:rPr>
          <w:tab/>
        </w:r>
        <w:r w:rsidR="005002DD">
          <w:rPr>
            <w:webHidden/>
          </w:rPr>
          <w:fldChar w:fldCharType="begin"/>
        </w:r>
        <w:r w:rsidR="005002DD">
          <w:rPr>
            <w:webHidden/>
          </w:rPr>
          <w:instrText xml:space="preserve"> PAGEREF _Toc173741559 \h </w:instrText>
        </w:r>
        <w:r w:rsidR="005002DD">
          <w:rPr>
            <w:webHidden/>
          </w:rPr>
        </w:r>
        <w:r w:rsidR="005002DD">
          <w:rPr>
            <w:webHidden/>
          </w:rPr>
          <w:fldChar w:fldCharType="separate"/>
        </w:r>
        <w:r w:rsidR="004C31AB">
          <w:rPr>
            <w:webHidden/>
          </w:rPr>
          <w:t>29</w:t>
        </w:r>
        <w:r w:rsidR="005002DD">
          <w:rPr>
            <w:webHidden/>
          </w:rPr>
          <w:fldChar w:fldCharType="end"/>
        </w:r>
      </w:hyperlink>
    </w:p>
    <w:p w14:paraId="34985566" w14:textId="26B830F2" w:rsidR="005002DD" w:rsidRDefault="00D64CEB">
      <w:pPr>
        <w:pStyle w:val="Obsah2"/>
        <w:rPr>
          <w:rFonts w:asciiTheme="minorHAnsi" w:eastAsiaTheme="minorEastAsia" w:hAnsiTheme="minorHAnsi" w:cstheme="minorBidi"/>
          <w:b w:val="0"/>
          <w:bCs w:val="0"/>
          <w:sz w:val="22"/>
          <w:szCs w:val="22"/>
        </w:rPr>
      </w:pPr>
      <w:hyperlink w:anchor="_Toc173741560" w:history="1">
        <w:r w:rsidR="005002DD" w:rsidRPr="00252C47">
          <w:rPr>
            <w:rStyle w:val="Hypertextovprepojenie"/>
          </w:rPr>
          <w:t>3.6</w:t>
        </w:r>
        <w:r w:rsidR="005002DD">
          <w:rPr>
            <w:rFonts w:asciiTheme="minorHAnsi" w:eastAsiaTheme="minorEastAsia" w:hAnsiTheme="minorHAnsi" w:cstheme="minorBidi"/>
            <w:b w:val="0"/>
            <w:bCs w:val="0"/>
            <w:sz w:val="22"/>
            <w:szCs w:val="22"/>
          </w:rPr>
          <w:tab/>
        </w:r>
        <w:r w:rsidR="005002DD" w:rsidRPr="00252C47">
          <w:rPr>
            <w:rStyle w:val="Hypertextovprepojenie"/>
          </w:rPr>
          <w:t>Príspevok na kompetenčný kurz (KOMPAS+) podľa § 54 ods. 1 písm. d) zákona o službách zamestnanosti</w:t>
        </w:r>
        <w:r w:rsidR="005002DD">
          <w:rPr>
            <w:webHidden/>
          </w:rPr>
          <w:tab/>
        </w:r>
        <w:r w:rsidR="005002DD">
          <w:rPr>
            <w:webHidden/>
          </w:rPr>
          <w:fldChar w:fldCharType="begin"/>
        </w:r>
        <w:r w:rsidR="005002DD">
          <w:rPr>
            <w:webHidden/>
          </w:rPr>
          <w:instrText xml:space="preserve"> PAGEREF _Toc173741560 \h </w:instrText>
        </w:r>
        <w:r w:rsidR="005002DD">
          <w:rPr>
            <w:webHidden/>
          </w:rPr>
        </w:r>
        <w:r w:rsidR="005002DD">
          <w:rPr>
            <w:webHidden/>
          </w:rPr>
          <w:fldChar w:fldCharType="separate"/>
        </w:r>
        <w:r w:rsidR="004C31AB">
          <w:rPr>
            <w:webHidden/>
          </w:rPr>
          <w:t>32</w:t>
        </w:r>
        <w:r w:rsidR="005002DD">
          <w:rPr>
            <w:webHidden/>
          </w:rPr>
          <w:fldChar w:fldCharType="end"/>
        </w:r>
      </w:hyperlink>
    </w:p>
    <w:p w14:paraId="5310F8E1" w14:textId="1FCBAC90" w:rsidR="005002DD" w:rsidRDefault="00D64CEB">
      <w:pPr>
        <w:pStyle w:val="Obsah2"/>
        <w:rPr>
          <w:rFonts w:asciiTheme="minorHAnsi" w:eastAsiaTheme="minorEastAsia" w:hAnsiTheme="minorHAnsi" w:cstheme="minorBidi"/>
          <w:b w:val="0"/>
          <w:bCs w:val="0"/>
          <w:sz w:val="22"/>
          <w:szCs w:val="22"/>
        </w:rPr>
      </w:pPr>
      <w:hyperlink w:anchor="_Toc173741561" w:history="1">
        <w:r w:rsidR="005002DD" w:rsidRPr="00252C47">
          <w:rPr>
            <w:rStyle w:val="Hypertextovprepojenie"/>
          </w:rPr>
          <w:t>3.7</w:t>
        </w:r>
        <w:r w:rsidR="005002DD">
          <w:rPr>
            <w:rFonts w:asciiTheme="minorHAnsi" w:eastAsiaTheme="minorEastAsia" w:hAnsiTheme="minorHAnsi" w:cstheme="minorBidi"/>
            <w:b w:val="0"/>
            <w:bCs w:val="0"/>
            <w:sz w:val="22"/>
            <w:szCs w:val="22"/>
          </w:rPr>
          <w:tab/>
        </w:r>
        <w:r w:rsidR="005002DD" w:rsidRPr="00252C47">
          <w:rPr>
            <w:rStyle w:val="Hypertextovprepojenie"/>
            <w:rFonts w:eastAsia="Calibri"/>
            <w:lang w:eastAsia="en-US"/>
          </w:rPr>
          <w:t xml:space="preserve">Národný projekt  Nestrať prácu – vzdelávaj sa podľa § 54 ods. 1 písm. d)  zákona </w:t>
        </w:r>
        <w:r w:rsidR="005002DD" w:rsidRPr="00252C47">
          <w:rPr>
            <w:rStyle w:val="Hypertextovprepojenie"/>
          </w:rPr>
          <w:t>o službách zamestnanosti</w:t>
        </w:r>
        <w:r w:rsidR="005002DD">
          <w:rPr>
            <w:webHidden/>
          </w:rPr>
          <w:tab/>
        </w:r>
        <w:r w:rsidR="005002DD">
          <w:rPr>
            <w:webHidden/>
          </w:rPr>
          <w:fldChar w:fldCharType="begin"/>
        </w:r>
        <w:r w:rsidR="005002DD">
          <w:rPr>
            <w:webHidden/>
          </w:rPr>
          <w:instrText xml:space="preserve"> PAGEREF _Toc173741561 \h </w:instrText>
        </w:r>
        <w:r w:rsidR="005002DD">
          <w:rPr>
            <w:webHidden/>
          </w:rPr>
        </w:r>
        <w:r w:rsidR="005002DD">
          <w:rPr>
            <w:webHidden/>
          </w:rPr>
          <w:fldChar w:fldCharType="separate"/>
        </w:r>
        <w:r w:rsidR="004C31AB">
          <w:rPr>
            <w:webHidden/>
          </w:rPr>
          <w:t>35</w:t>
        </w:r>
        <w:r w:rsidR="005002DD">
          <w:rPr>
            <w:webHidden/>
          </w:rPr>
          <w:fldChar w:fldCharType="end"/>
        </w:r>
      </w:hyperlink>
    </w:p>
    <w:p w14:paraId="4D28ACE0" w14:textId="00FA86A6" w:rsidR="005002DD" w:rsidRDefault="00D64CEB">
      <w:pPr>
        <w:pStyle w:val="Obsah1"/>
        <w:rPr>
          <w:rFonts w:asciiTheme="minorHAnsi" w:eastAsiaTheme="minorEastAsia" w:hAnsiTheme="minorHAnsi" w:cstheme="minorBidi"/>
          <w:b w:val="0"/>
          <w:bCs w:val="0"/>
          <w:caps w:val="0"/>
          <w:sz w:val="22"/>
          <w:szCs w:val="22"/>
          <w:lang w:eastAsia="sk-SK"/>
        </w:rPr>
      </w:pPr>
      <w:hyperlink w:anchor="_Toc173741562" w:history="1">
        <w:r w:rsidR="005002DD" w:rsidRPr="00252C47">
          <w:rPr>
            <w:rStyle w:val="Hypertextovprepojenie"/>
          </w:rPr>
          <w:t>4</w:t>
        </w:r>
        <w:r w:rsidR="005002DD">
          <w:rPr>
            <w:rFonts w:asciiTheme="minorHAnsi" w:eastAsiaTheme="minorEastAsia" w:hAnsiTheme="minorHAnsi" w:cstheme="minorBidi"/>
            <w:b w:val="0"/>
            <w:bCs w:val="0"/>
            <w:caps w:val="0"/>
            <w:sz w:val="22"/>
            <w:szCs w:val="22"/>
            <w:lang w:eastAsia="sk-SK"/>
          </w:rPr>
          <w:tab/>
        </w:r>
        <w:r w:rsidR="005002DD" w:rsidRPr="00252C47">
          <w:rPr>
            <w:rStyle w:val="Hypertextovprepojenie"/>
          </w:rPr>
          <w:t>VYHODNOTENIE UPLATŇOVANIA AKTÍVNYCH OPATRENÍ TRHU PRÁCE ZAMERANÝCH NA ZVÝŠENIE ZAMESTNANOSTI</w:t>
        </w:r>
        <w:r w:rsidR="005002DD">
          <w:rPr>
            <w:webHidden/>
          </w:rPr>
          <w:tab/>
        </w:r>
        <w:r w:rsidR="005002DD">
          <w:rPr>
            <w:webHidden/>
          </w:rPr>
          <w:fldChar w:fldCharType="begin"/>
        </w:r>
        <w:r w:rsidR="005002DD">
          <w:rPr>
            <w:webHidden/>
          </w:rPr>
          <w:instrText xml:space="preserve"> PAGEREF _Toc173741562 \h </w:instrText>
        </w:r>
        <w:r w:rsidR="005002DD">
          <w:rPr>
            <w:webHidden/>
          </w:rPr>
        </w:r>
        <w:r w:rsidR="005002DD">
          <w:rPr>
            <w:webHidden/>
          </w:rPr>
          <w:fldChar w:fldCharType="separate"/>
        </w:r>
        <w:r w:rsidR="004C31AB">
          <w:rPr>
            <w:webHidden/>
          </w:rPr>
          <w:t>38</w:t>
        </w:r>
        <w:r w:rsidR="005002DD">
          <w:rPr>
            <w:webHidden/>
          </w:rPr>
          <w:fldChar w:fldCharType="end"/>
        </w:r>
      </w:hyperlink>
    </w:p>
    <w:p w14:paraId="2C7CDEC0" w14:textId="0AF70825" w:rsidR="005002DD" w:rsidRDefault="00D64CEB">
      <w:pPr>
        <w:pStyle w:val="Obsah2"/>
        <w:rPr>
          <w:rFonts w:asciiTheme="minorHAnsi" w:eastAsiaTheme="minorEastAsia" w:hAnsiTheme="minorHAnsi" w:cstheme="minorBidi"/>
          <w:b w:val="0"/>
          <w:bCs w:val="0"/>
          <w:sz w:val="22"/>
          <w:szCs w:val="22"/>
        </w:rPr>
      </w:pPr>
      <w:hyperlink w:anchor="_Toc173741563" w:history="1">
        <w:r w:rsidR="005002DD" w:rsidRPr="00252C47">
          <w:rPr>
            <w:rStyle w:val="Hypertextovprepojenie"/>
          </w:rPr>
          <w:t>4.1 Príspevok na vytvorenie nového pracovného miesta - § 53d zákona o službách         zamestnanosti</w:t>
        </w:r>
        <w:r w:rsidR="005002DD">
          <w:rPr>
            <w:webHidden/>
          </w:rPr>
          <w:tab/>
        </w:r>
        <w:r w:rsidR="005002DD">
          <w:rPr>
            <w:webHidden/>
          </w:rPr>
          <w:fldChar w:fldCharType="begin"/>
        </w:r>
        <w:r w:rsidR="005002DD">
          <w:rPr>
            <w:webHidden/>
          </w:rPr>
          <w:instrText xml:space="preserve"> PAGEREF _Toc173741563 \h </w:instrText>
        </w:r>
        <w:r w:rsidR="005002DD">
          <w:rPr>
            <w:webHidden/>
          </w:rPr>
        </w:r>
        <w:r w:rsidR="005002DD">
          <w:rPr>
            <w:webHidden/>
          </w:rPr>
          <w:fldChar w:fldCharType="separate"/>
        </w:r>
        <w:r w:rsidR="004C31AB">
          <w:rPr>
            <w:webHidden/>
          </w:rPr>
          <w:t>38</w:t>
        </w:r>
        <w:r w:rsidR="005002DD">
          <w:rPr>
            <w:webHidden/>
          </w:rPr>
          <w:fldChar w:fldCharType="end"/>
        </w:r>
      </w:hyperlink>
    </w:p>
    <w:p w14:paraId="4D7A2944" w14:textId="1FA6CEB2" w:rsidR="005002DD" w:rsidRDefault="00D64CEB">
      <w:pPr>
        <w:pStyle w:val="Obsah2"/>
        <w:rPr>
          <w:rFonts w:asciiTheme="minorHAnsi" w:eastAsiaTheme="minorEastAsia" w:hAnsiTheme="minorHAnsi" w:cstheme="minorBidi"/>
          <w:b w:val="0"/>
          <w:bCs w:val="0"/>
          <w:sz w:val="22"/>
          <w:szCs w:val="22"/>
        </w:rPr>
      </w:pPr>
      <w:hyperlink w:anchor="_Toc173741564" w:history="1">
        <w:r w:rsidR="005002DD" w:rsidRPr="00252C47">
          <w:rPr>
            <w:rStyle w:val="Hypertextovprepojenie"/>
          </w:rPr>
          <w:t>4.2   Umiestňovací príspevok - § 19a zákona o sociálnej ekonomike</w:t>
        </w:r>
        <w:r w:rsidR="005002DD">
          <w:rPr>
            <w:webHidden/>
          </w:rPr>
          <w:tab/>
        </w:r>
        <w:r w:rsidR="005002DD">
          <w:rPr>
            <w:webHidden/>
          </w:rPr>
          <w:fldChar w:fldCharType="begin"/>
        </w:r>
        <w:r w:rsidR="005002DD">
          <w:rPr>
            <w:webHidden/>
          </w:rPr>
          <w:instrText xml:space="preserve"> PAGEREF _Toc173741564 \h </w:instrText>
        </w:r>
        <w:r w:rsidR="005002DD">
          <w:rPr>
            <w:webHidden/>
          </w:rPr>
        </w:r>
        <w:r w:rsidR="005002DD">
          <w:rPr>
            <w:webHidden/>
          </w:rPr>
          <w:fldChar w:fldCharType="separate"/>
        </w:r>
        <w:r w:rsidR="004C31AB">
          <w:rPr>
            <w:webHidden/>
          </w:rPr>
          <w:t>38</w:t>
        </w:r>
        <w:r w:rsidR="005002DD">
          <w:rPr>
            <w:webHidden/>
          </w:rPr>
          <w:fldChar w:fldCharType="end"/>
        </w:r>
      </w:hyperlink>
    </w:p>
    <w:p w14:paraId="628DF469" w14:textId="28ADFB94" w:rsidR="005002DD" w:rsidRDefault="00D64CEB">
      <w:pPr>
        <w:pStyle w:val="Obsah1"/>
        <w:rPr>
          <w:rFonts w:asciiTheme="minorHAnsi" w:eastAsiaTheme="minorEastAsia" w:hAnsiTheme="minorHAnsi" w:cstheme="minorBidi"/>
          <w:b w:val="0"/>
          <w:bCs w:val="0"/>
          <w:caps w:val="0"/>
          <w:sz w:val="22"/>
          <w:szCs w:val="22"/>
          <w:lang w:eastAsia="sk-SK"/>
        </w:rPr>
      </w:pPr>
      <w:hyperlink w:anchor="_Toc173741565" w:history="1">
        <w:r w:rsidR="005002DD" w:rsidRPr="00252C47">
          <w:rPr>
            <w:rStyle w:val="Hypertextovprepojenie"/>
          </w:rPr>
          <w:t>5</w:t>
        </w:r>
        <w:r w:rsidR="005002DD">
          <w:rPr>
            <w:rFonts w:asciiTheme="minorHAnsi" w:eastAsiaTheme="minorEastAsia" w:hAnsiTheme="minorHAnsi" w:cstheme="minorBidi"/>
            <w:b w:val="0"/>
            <w:bCs w:val="0"/>
            <w:caps w:val="0"/>
            <w:sz w:val="22"/>
            <w:szCs w:val="22"/>
            <w:lang w:eastAsia="sk-SK"/>
          </w:rPr>
          <w:tab/>
        </w:r>
        <w:r w:rsidR="005002DD" w:rsidRPr="00252C47">
          <w:rPr>
            <w:rStyle w:val="Hypertextovprepojenie"/>
          </w:rPr>
          <w:t xml:space="preserve"> VYHODNOTENIE UPLATŇOVANIA AOTP ZAMERANÝCH NA UDRŽANIE ZAMESTNANOSTI (UDRŽANIE EXISTUJÚCICH PRACOVNÝCH MIEST)</w:t>
        </w:r>
        <w:r w:rsidR="005002DD">
          <w:rPr>
            <w:webHidden/>
          </w:rPr>
          <w:tab/>
        </w:r>
        <w:r w:rsidR="005002DD">
          <w:rPr>
            <w:webHidden/>
          </w:rPr>
          <w:fldChar w:fldCharType="begin"/>
        </w:r>
        <w:r w:rsidR="005002DD">
          <w:rPr>
            <w:webHidden/>
          </w:rPr>
          <w:instrText xml:space="preserve"> PAGEREF _Toc173741565 \h </w:instrText>
        </w:r>
        <w:r w:rsidR="005002DD">
          <w:rPr>
            <w:webHidden/>
          </w:rPr>
        </w:r>
        <w:r w:rsidR="005002DD">
          <w:rPr>
            <w:webHidden/>
          </w:rPr>
          <w:fldChar w:fldCharType="separate"/>
        </w:r>
        <w:r w:rsidR="004C31AB">
          <w:rPr>
            <w:webHidden/>
          </w:rPr>
          <w:t>39</w:t>
        </w:r>
        <w:r w:rsidR="005002DD">
          <w:rPr>
            <w:webHidden/>
          </w:rPr>
          <w:fldChar w:fldCharType="end"/>
        </w:r>
      </w:hyperlink>
    </w:p>
    <w:p w14:paraId="7AE650C2" w14:textId="6E65F100" w:rsidR="005002DD" w:rsidRDefault="00D64CEB">
      <w:pPr>
        <w:pStyle w:val="Obsah2"/>
        <w:rPr>
          <w:rFonts w:asciiTheme="minorHAnsi" w:eastAsiaTheme="minorEastAsia" w:hAnsiTheme="minorHAnsi" w:cstheme="minorBidi"/>
          <w:b w:val="0"/>
          <w:bCs w:val="0"/>
          <w:sz w:val="22"/>
          <w:szCs w:val="22"/>
        </w:rPr>
      </w:pPr>
      <w:hyperlink w:anchor="_Toc173741566" w:history="1">
        <w:r w:rsidR="005002DD" w:rsidRPr="00252C47">
          <w:rPr>
            <w:rStyle w:val="Hypertextovprepojenie"/>
          </w:rPr>
          <w:t>5.1</w:t>
        </w:r>
        <w:r w:rsidR="005002DD">
          <w:rPr>
            <w:rFonts w:asciiTheme="minorHAnsi" w:eastAsiaTheme="minorEastAsia" w:hAnsiTheme="minorHAnsi" w:cstheme="minorBidi"/>
            <w:b w:val="0"/>
            <w:bCs w:val="0"/>
            <w:sz w:val="22"/>
            <w:szCs w:val="22"/>
          </w:rPr>
          <w:tab/>
        </w:r>
        <w:r w:rsidR="005002DD" w:rsidRPr="00252C47">
          <w:rPr>
            <w:rStyle w:val="Hypertextovprepojenie"/>
          </w:rPr>
          <w:t>Príspevok na dochádzku za prácou - § 53 zákona o službách zamestnanosti</w:t>
        </w:r>
        <w:r w:rsidR="005002DD">
          <w:rPr>
            <w:webHidden/>
          </w:rPr>
          <w:tab/>
        </w:r>
        <w:r w:rsidR="005002DD">
          <w:rPr>
            <w:webHidden/>
          </w:rPr>
          <w:fldChar w:fldCharType="begin"/>
        </w:r>
        <w:r w:rsidR="005002DD">
          <w:rPr>
            <w:webHidden/>
          </w:rPr>
          <w:instrText xml:space="preserve"> PAGEREF _Toc173741566 \h </w:instrText>
        </w:r>
        <w:r w:rsidR="005002DD">
          <w:rPr>
            <w:webHidden/>
          </w:rPr>
        </w:r>
        <w:r w:rsidR="005002DD">
          <w:rPr>
            <w:webHidden/>
          </w:rPr>
          <w:fldChar w:fldCharType="separate"/>
        </w:r>
        <w:r w:rsidR="004C31AB">
          <w:rPr>
            <w:webHidden/>
          </w:rPr>
          <w:t>39</w:t>
        </w:r>
        <w:r w:rsidR="005002DD">
          <w:rPr>
            <w:webHidden/>
          </w:rPr>
          <w:fldChar w:fldCharType="end"/>
        </w:r>
      </w:hyperlink>
    </w:p>
    <w:p w14:paraId="70B522E7" w14:textId="6DA1E027" w:rsidR="005002DD" w:rsidRDefault="00D64CEB">
      <w:pPr>
        <w:pStyle w:val="Obsah2"/>
        <w:rPr>
          <w:rFonts w:asciiTheme="minorHAnsi" w:eastAsiaTheme="minorEastAsia" w:hAnsiTheme="minorHAnsi" w:cstheme="minorBidi"/>
          <w:b w:val="0"/>
          <w:bCs w:val="0"/>
          <w:sz w:val="22"/>
          <w:szCs w:val="22"/>
        </w:rPr>
      </w:pPr>
      <w:hyperlink w:anchor="_Toc173741567" w:history="1">
        <w:r w:rsidR="005002DD" w:rsidRPr="00252C47">
          <w:rPr>
            <w:rStyle w:val="Hypertextovprepojenie"/>
          </w:rPr>
          <w:t>5.2  Príspevok na podporu mobility za prácou - § 53a zákona o službách zamestnanosti</w:t>
        </w:r>
        <w:r w:rsidR="005002DD">
          <w:rPr>
            <w:webHidden/>
          </w:rPr>
          <w:tab/>
        </w:r>
        <w:r w:rsidR="005002DD">
          <w:rPr>
            <w:webHidden/>
          </w:rPr>
          <w:fldChar w:fldCharType="begin"/>
        </w:r>
        <w:r w:rsidR="005002DD">
          <w:rPr>
            <w:webHidden/>
          </w:rPr>
          <w:instrText xml:space="preserve"> PAGEREF _Toc173741567 \h </w:instrText>
        </w:r>
        <w:r w:rsidR="005002DD">
          <w:rPr>
            <w:webHidden/>
          </w:rPr>
        </w:r>
        <w:r w:rsidR="005002DD">
          <w:rPr>
            <w:webHidden/>
          </w:rPr>
          <w:fldChar w:fldCharType="separate"/>
        </w:r>
        <w:r w:rsidR="004C31AB">
          <w:rPr>
            <w:webHidden/>
          </w:rPr>
          <w:t>40</w:t>
        </w:r>
        <w:r w:rsidR="005002DD">
          <w:rPr>
            <w:webHidden/>
          </w:rPr>
          <w:fldChar w:fldCharType="end"/>
        </w:r>
      </w:hyperlink>
    </w:p>
    <w:p w14:paraId="7008DEA4" w14:textId="06AA0CA0" w:rsidR="005002DD" w:rsidRDefault="00D64CEB">
      <w:pPr>
        <w:pStyle w:val="Obsah2"/>
        <w:rPr>
          <w:rFonts w:asciiTheme="minorHAnsi" w:eastAsiaTheme="minorEastAsia" w:hAnsiTheme="minorHAnsi" w:cstheme="minorBidi"/>
          <w:b w:val="0"/>
          <w:bCs w:val="0"/>
          <w:sz w:val="22"/>
          <w:szCs w:val="22"/>
        </w:rPr>
      </w:pPr>
      <w:hyperlink w:anchor="_Toc173741568" w:history="1">
        <w:r w:rsidR="005002DD" w:rsidRPr="00252C47">
          <w:rPr>
            <w:rStyle w:val="Hypertextovprepojenie"/>
          </w:rPr>
          <w:t>5.3</w:t>
        </w:r>
        <w:r w:rsidR="005002DD">
          <w:rPr>
            <w:rFonts w:asciiTheme="minorHAnsi" w:eastAsiaTheme="minorEastAsia" w:hAnsiTheme="minorHAnsi" w:cstheme="minorBidi"/>
            <w:b w:val="0"/>
            <w:bCs w:val="0"/>
            <w:sz w:val="22"/>
            <w:szCs w:val="22"/>
          </w:rPr>
          <w:tab/>
        </w:r>
        <w:r w:rsidR="005002DD" w:rsidRPr="00252C47">
          <w:rPr>
            <w:rStyle w:val="Hypertextovprepojenie"/>
          </w:rPr>
          <w:t>Príspevok na činnosť pracovného asistenta - § 59 zákona o službách zamestnanosti</w:t>
        </w:r>
        <w:r w:rsidR="005002DD">
          <w:rPr>
            <w:webHidden/>
          </w:rPr>
          <w:tab/>
        </w:r>
        <w:r w:rsidR="005002DD">
          <w:rPr>
            <w:webHidden/>
          </w:rPr>
          <w:fldChar w:fldCharType="begin"/>
        </w:r>
        <w:r w:rsidR="005002DD">
          <w:rPr>
            <w:webHidden/>
          </w:rPr>
          <w:instrText xml:space="preserve"> PAGEREF _Toc173741568 \h </w:instrText>
        </w:r>
        <w:r w:rsidR="005002DD">
          <w:rPr>
            <w:webHidden/>
          </w:rPr>
        </w:r>
        <w:r w:rsidR="005002DD">
          <w:rPr>
            <w:webHidden/>
          </w:rPr>
          <w:fldChar w:fldCharType="separate"/>
        </w:r>
        <w:r w:rsidR="004C31AB">
          <w:rPr>
            <w:webHidden/>
          </w:rPr>
          <w:t>42</w:t>
        </w:r>
        <w:r w:rsidR="005002DD">
          <w:rPr>
            <w:webHidden/>
          </w:rPr>
          <w:fldChar w:fldCharType="end"/>
        </w:r>
      </w:hyperlink>
    </w:p>
    <w:p w14:paraId="1F523AFB" w14:textId="435A8094" w:rsidR="005002DD" w:rsidRDefault="00D64CEB">
      <w:pPr>
        <w:pStyle w:val="Obsah2"/>
        <w:rPr>
          <w:rFonts w:asciiTheme="minorHAnsi" w:eastAsiaTheme="minorEastAsia" w:hAnsiTheme="minorHAnsi" w:cstheme="minorBidi"/>
          <w:b w:val="0"/>
          <w:bCs w:val="0"/>
          <w:sz w:val="22"/>
          <w:szCs w:val="22"/>
        </w:rPr>
      </w:pPr>
      <w:hyperlink w:anchor="_Toc173741569" w:history="1">
        <w:r w:rsidR="005002DD" w:rsidRPr="00252C47">
          <w:rPr>
            <w:rStyle w:val="Hypertextovprepojenie"/>
          </w:rPr>
          <w:t>5.4  Príspevok na úhradu prevádzkových nákladov chránenej dielne alebo chráneného          pracoviska a na úhradu nákladov na dopravu zamestnancov - § 60 zákona          o službách zamestnanosti</w:t>
        </w:r>
        <w:r w:rsidR="005002DD">
          <w:rPr>
            <w:webHidden/>
          </w:rPr>
          <w:tab/>
        </w:r>
        <w:r w:rsidR="005002DD">
          <w:rPr>
            <w:webHidden/>
          </w:rPr>
          <w:fldChar w:fldCharType="begin"/>
        </w:r>
        <w:r w:rsidR="005002DD">
          <w:rPr>
            <w:webHidden/>
          </w:rPr>
          <w:instrText xml:space="preserve"> PAGEREF _Toc173741569 \h </w:instrText>
        </w:r>
        <w:r w:rsidR="005002DD">
          <w:rPr>
            <w:webHidden/>
          </w:rPr>
        </w:r>
        <w:r w:rsidR="005002DD">
          <w:rPr>
            <w:webHidden/>
          </w:rPr>
          <w:fldChar w:fldCharType="separate"/>
        </w:r>
        <w:r w:rsidR="004C31AB">
          <w:rPr>
            <w:webHidden/>
          </w:rPr>
          <w:t>43</w:t>
        </w:r>
        <w:r w:rsidR="005002DD">
          <w:rPr>
            <w:webHidden/>
          </w:rPr>
          <w:fldChar w:fldCharType="end"/>
        </w:r>
      </w:hyperlink>
    </w:p>
    <w:p w14:paraId="30AD7D56" w14:textId="09E45E71" w:rsidR="005002DD" w:rsidRDefault="00D64CEB">
      <w:pPr>
        <w:pStyle w:val="Obsah2"/>
        <w:rPr>
          <w:rFonts w:asciiTheme="minorHAnsi" w:eastAsiaTheme="minorEastAsia" w:hAnsiTheme="minorHAnsi" w:cstheme="minorBidi"/>
          <w:b w:val="0"/>
          <w:bCs w:val="0"/>
          <w:sz w:val="22"/>
          <w:szCs w:val="22"/>
        </w:rPr>
      </w:pPr>
      <w:hyperlink w:anchor="_Toc173741570" w:history="1">
        <w:r w:rsidR="005002DD" w:rsidRPr="00252C47">
          <w:rPr>
            <w:rStyle w:val="Hypertextovprepojenie"/>
          </w:rPr>
          <w:t>5.5  Vyrovnávací príspevok - § 19b zákona o sociálnej ekonomike</w:t>
        </w:r>
        <w:r w:rsidR="005002DD">
          <w:rPr>
            <w:webHidden/>
          </w:rPr>
          <w:tab/>
        </w:r>
        <w:r w:rsidR="005002DD">
          <w:rPr>
            <w:webHidden/>
          </w:rPr>
          <w:fldChar w:fldCharType="begin"/>
        </w:r>
        <w:r w:rsidR="005002DD">
          <w:rPr>
            <w:webHidden/>
          </w:rPr>
          <w:instrText xml:space="preserve"> PAGEREF _Toc173741570 \h </w:instrText>
        </w:r>
        <w:r w:rsidR="005002DD">
          <w:rPr>
            <w:webHidden/>
          </w:rPr>
        </w:r>
        <w:r w:rsidR="005002DD">
          <w:rPr>
            <w:webHidden/>
          </w:rPr>
          <w:fldChar w:fldCharType="separate"/>
        </w:r>
        <w:r w:rsidR="004C31AB">
          <w:rPr>
            <w:webHidden/>
          </w:rPr>
          <w:t>44</w:t>
        </w:r>
        <w:r w:rsidR="005002DD">
          <w:rPr>
            <w:webHidden/>
          </w:rPr>
          <w:fldChar w:fldCharType="end"/>
        </w:r>
      </w:hyperlink>
    </w:p>
    <w:p w14:paraId="0AAE1108" w14:textId="7B58528C" w:rsidR="005002DD" w:rsidRDefault="00D64CEB">
      <w:pPr>
        <w:pStyle w:val="Obsah1"/>
        <w:rPr>
          <w:rFonts w:asciiTheme="minorHAnsi" w:eastAsiaTheme="minorEastAsia" w:hAnsiTheme="minorHAnsi" w:cstheme="minorBidi"/>
          <w:b w:val="0"/>
          <w:bCs w:val="0"/>
          <w:caps w:val="0"/>
          <w:sz w:val="22"/>
          <w:szCs w:val="22"/>
          <w:lang w:eastAsia="sk-SK"/>
        </w:rPr>
      </w:pPr>
      <w:hyperlink w:anchor="_Toc173741571" w:history="1">
        <w:r w:rsidR="005002DD" w:rsidRPr="00252C47">
          <w:rPr>
            <w:rStyle w:val="Hypertextovprepojenie"/>
          </w:rPr>
          <w:t>6</w:t>
        </w:r>
        <w:r w:rsidR="005002DD">
          <w:rPr>
            <w:rFonts w:asciiTheme="minorHAnsi" w:eastAsiaTheme="minorEastAsia" w:hAnsiTheme="minorHAnsi" w:cstheme="minorBidi"/>
            <w:b w:val="0"/>
            <w:bCs w:val="0"/>
            <w:caps w:val="0"/>
            <w:sz w:val="22"/>
            <w:szCs w:val="22"/>
            <w:lang w:eastAsia="sk-SK"/>
          </w:rPr>
          <w:tab/>
        </w:r>
        <w:r w:rsidR="005002DD" w:rsidRPr="00252C47">
          <w:rPr>
            <w:rStyle w:val="Hypertextovprepojenie"/>
          </w:rPr>
          <w:t>PROJEKTY A PROGRAMY - § 54 ZÁKONA O SLUŽBÁCH ZAMESTNANOSTI</w:t>
        </w:r>
        <w:r w:rsidR="005002DD">
          <w:rPr>
            <w:webHidden/>
          </w:rPr>
          <w:tab/>
        </w:r>
        <w:r w:rsidR="005002DD">
          <w:rPr>
            <w:webHidden/>
          </w:rPr>
          <w:fldChar w:fldCharType="begin"/>
        </w:r>
        <w:r w:rsidR="005002DD">
          <w:rPr>
            <w:webHidden/>
          </w:rPr>
          <w:instrText xml:space="preserve"> PAGEREF _Toc173741571 \h </w:instrText>
        </w:r>
        <w:r w:rsidR="005002DD">
          <w:rPr>
            <w:webHidden/>
          </w:rPr>
        </w:r>
        <w:r w:rsidR="005002DD">
          <w:rPr>
            <w:webHidden/>
          </w:rPr>
          <w:fldChar w:fldCharType="separate"/>
        </w:r>
        <w:r w:rsidR="004C31AB">
          <w:rPr>
            <w:webHidden/>
          </w:rPr>
          <w:t>45</w:t>
        </w:r>
        <w:r w:rsidR="005002DD">
          <w:rPr>
            <w:webHidden/>
          </w:rPr>
          <w:fldChar w:fldCharType="end"/>
        </w:r>
      </w:hyperlink>
    </w:p>
    <w:p w14:paraId="52D009A4" w14:textId="797D949C" w:rsidR="005002DD" w:rsidRDefault="00D64CEB">
      <w:pPr>
        <w:pStyle w:val="Obsah2"/>
        <w:rPr>
          <w:rFonts w:asciiTheme="minorHAnsi" w:eastAsiaTheme="minorEastAsia" w:hAnsiTheme="minorHAnsi" w:cstheme="minorBidi"/>
          <w:b w:val="0"/>
          <w:bCs w:val="0"/>
          <w:sz w:val="22"/>
          <w:szCs w:val="22"/>
        </w:rPr>
      </w:pPr>
      <w:hyperlink w:anchor="_Toc173741572" w:history="1">
        <w:r w:rsidR="005002DD" w:rsidRPr="00252C47">
          <w:rPr>
            <w:rStyle w:val="Hypertextovprepojenie"/>
          </w:rPr>
          <w:t>6.1</w:t>
        </w:r>
        <w:r w:rsidR="005002DD">
          <w:rPr>
            <w:rFonts w:asciiTheme="minorHAnsi" w:eastAsiaTheme="minorEastAsia" w:hAnsiTheme="minorHAnsi" w:cstheme="minorBidi"/>
            <w:b w:val="0"/>
            <w:bCs w:val="0"/>
            <w:sz w:val="22"/>
            <w:szCs w:val="22"/>
          </w:rPr>
          <w:tab/>
        </w:r>
        <w:r w:rsidR="005002DD" w:rsidRPr="00252C47">
          <w:rPr>
            <w:rStyle w:val="Hypertextovprepojenie"/>
          </w:rPr>
          <w:t>Národné projekty realizované podľa § 54 zákona v rámci Operačného programu           Ľudské zdroje</w:t>
        </w:r>
        <w:r w:rsidR="005002DD" w:rsidRPr="00252C47">
          <w:rPr>
            <w:rStyle w:val="Hypertextovprepojenie"/>
            <w:lang w:eastAsia="en-US"/>
          </w:rPr>
          <w:t xml:space="preserve"> zamerané na zavedenie záruky pre mladých nezamestnaných ľudí           (UoZ), ktorí patria k NEET, zvýšenie zamestnanosti, zamestnateľnosti a účasti           mladých ľudí na trhu práce - Prioritná os 2: Iniciatíva na podporu zamestnanosti           mladých ľudí</w:t>
        </w:r>
        <w:r w:rsidR="005002DD">
          <w:rPr>
            <w:webHidden/>
          </w:rPr>
          <w:tab/>
        </w:r>
        <w:r w:rsidR="005002DD">
          <w:rPr>
            <w:webHidden/>
          </w:rPr>
          <w:fldChar w:fldCharType="begin"/>
        </w:r>
        <w:r w:rsidR="005002DD">
          <w:rPr>
            <w:webHidden/>
          </w:rPr>
          <w:instrText xml:space="preserve"> PAGEREF _Toc173741572 \h </w:instrText>
        </w:r>
        <w:r w:rsidR="005002DD">
          <w:rPr>
            <w:webHidden/>
          </w:rPr>
        </w:r>
        <w:r w:rsidR="005002DD">
          <w:rPr>
            <w:webHidden/>
          </w:rPr>
          <w:fldChar w:fldCharType="separate"/>
        </w:r>
        <w:r w:rsidR="004C31AB">
          <w:rPr>
            <w:webHidden/>
          </w:rPr>
          <w:t>45</w:t>
        </w:r>
        <w:r w:rsidR="005002DD">
          <w:rPr>
            <w:webHidden/>
          </w:rPr>
          <w:fldChar w:fldCharType="end"/>
        </w:r>
      </w:hyperlink>
    </w:p>
    <w:p w14:paraId="120EB917" w14:textId="62778B24" w:rsidR="005002DD" w:rsidRDefault="00D64CEB">
      <w:pPr>
        <w:pStyle w:val="Obsah3"/>
        <w:rPr>
          <w:rFonts w:asciiTheme="minorHAnsi" w:eastAsiaTheme="minorEastAsia" w:hAnsiTheme="minorHAnsi" w:cstheme="minorBidi"/>
          <w:iCs w:val="0"/>
          <w:sz w:val="22"/>
          <w:szCs w:val="22"/>
        </w:rPr>
      </w:pPr>
      <w:hyperlink w:anchor="_Toc173741573" w:history="1">
        <w:r w:rsidR="005002DD" w:rsidRPr="00252C47">
          <w:rPr>
            <w:rStyle w:val="Hypertextovprepojenie"/>
          </w:rPr>
          <w:t>6.1.1</w:t>
        </w:r>
        <w:r w:rsidR="005002DD">
          <w:rPr>
            <w:rFonts w:asciiTheme="minorHAnsi" w:eastAsiaTheme="minorEastAsia" w:hAnsiTheme="minorHAnsi" w:cstheme="minorBidi"/>
            <w:iCs w:val="0"/>
            <w:sz w:val="22"/>
            <w:szCs w:val="22"/>
          </w:rPr>
          <w:tab/>
        </w:r>
        <w:r w:rsidR="005002DD" w:rsidRPr="00252C47">
          <w:rPr>
            <w:rStyle w:val="Hypertextovprepojenie"/>
            <w:bCs/>
          </w:rPr>
          <w:t>Národný projekt  „Prax pre</w:t>
        </w:r>
        <w:r w:rsidR="005002DD" w:rsidRPr="00252C47">
          <w:rPr>
            <w:rStyle w:val="Hypertextovprepojenie"/>
          </w:rPr>
          <w:t xml:space="preserve"> mladých“</w:t>
        </w:r>
        <w:r w:rsidR="005002DD">
          <w:rPr>
            <w:webHidden/>
          </w:rPr>
          <w:tab/>
        </w:r>
        <w:r w:rsidR="005002DD">
          <w:rPr>
            <w:webHidden/>
          </w:rPr>
          <w:fldChar w:fldCharType="begin"/>
        </w:r>
        <w:r w:rsidR="005002DD">
          <w:rPr>
            <w:webHidden/>
          </w:rPr>
          <w:instrText xml:space="preserve"> PAGEREF _Toc173741573 \h </w:instrText>
        </w:r>
        <w:r w:rsidR="005002DD">
          <w:rPr>
            <w:webHidden/>
          </w:rPr>
        </w:r>
        <w:r w:rsidR="005002DD">
          <w:rPr>
            <w:webHidden/>
          </w:rPr>
          <w:fldChar w:fldCharType="separate"/>
        </w:r>
        <w:r w:rsidR="004C31AB">
          <w:rPr>
            <w:webHidden/>
          </w:rPr>
          <w:t>45</w:t>
        </w:r>
        <w:r w:rsidR="005002DD">
          <w:rPr>
            <w:webHidden/>
          </w:rPr>
          <w:fldChar w:fldCharType="end"/>
        </w:r>
      </w:hyperlink>
    </w:p>
    <w:p w14:paraId="59DF5908" w14:textId="7B489905" w:rsidR="005002DD" w:rsidRDefault="00D64CEB">
      <w:pPr>
        <w:pStyle w:val="Obsah2"/>
        <w:rPr>
          <w:rFonts w:asciiTheme="minorHAnsi" w:eastAsiaTheme="minorEastAsia" w:hAnsiTheme="minorHAnsi" w:cstheme="minorBidi"/>
          <w:b w:val="0"/>
          <w:bCs w:val="0"/>
          <w:sz w:val="22"/>
          <w:szCs w:val="22"/>
        </w:rPr>
      </w:pPr>
      <w:hyperlink w:anchor="_Toc173741574" w:history="1">
        <w:r w:rsidR="005002DD" w:rsidRPr="00252C47">
          <w:rPr>
            <w:rStyle w:val="Hypertextovprepojenie"/>
          </w:rPr>
          <w:t>6.2</w:t>
        </w:r>
        <w:r w:rsidR="005002DD">
          <w:rPr>
            <w:rFonts w:asciiTheme="minorHAnsi" w:eastAsiaTheme="minorEastAsia" w:hAnsiTheme="minorHAnsi" w:cstheme="minorBidi"/>
            <w:b w:val="0"/>
            <w:bCs w:val="0"/>
            <w:sz w:val="22"/>
            <w:szCs w:val="22"/>
          </w:rPr>
          <w:tab/>
        </w:r>
        <w:r w:rsidR="005002DD" w:rsidRPr="00252C47">
          <w:rPr>
            <w:rStyle w:val="Hypertextovprepojenie"/>
          </w:rPr>
          <w:t>Národné projekty realizované podľa § 54 zákona v rámci operačného programu          Ľudské zdroje zamerané na podporu  zvýšenia zamestnateľnosti a zamestnanosti          s  dôrazom na dlhodobo nezamestnaných, nízko kvalifikovaných, starších ľudí          a zdravotne postihnuté osoby - Prioritná os 3: Zamestnanosť</w:t>
        </w:r>
        <w:r w:rsidR="005002DD">
          <w:rPr>
            <w:webHidden/>
          </w:rPr>
          <w:tab/>
        </w:r>
        <w:r w:rsidR="005002DD">
          <w:rPr>
            <w:webHidden/>
          </w:rPr>
          <w:fldChar w:fldCharType="begin"/>
        </w:r>
        <w:r w:rsidR="005002DD">
          <w:rPr>
            <w:webHidden/>
          </w:rPr>
          <w:instrText xml:space="preserve"> PAGEREF _Toc173741574 \h </w:instrText>
        </w:r>
        <w:r w:rsidR="005002DD">
          <w:rPr>
            <w:webHidden/>
          </w:rPr>
        </w:r>
        <w:r w:rsidR="005002DD">
          <w:rPr>
            <w:webHidden/>
          </w:rPr>
          <w:fldChar w:fldCharType="separate"/>
        </w:r>
        <w:r w:rsidR="004C31AB">
          <w:rPr>
            <w:webHidden/>
          </w:rPr>
          <w:t>48</w:t>
        </w:r>
        <w:r w:rsidR="005002DD">
          <w:rPr>
            <w:webHidden/>
          </w:rPr>
          <w:fldChar w:fldCharType="end"/>
        </w:r>
      </w:hyperlink>
    </w:p>
    <w:p w14:paraId="68677227" w14:textId="5C5201A1" w:rsidR="005002DD" w:rsidRDefault="00D64CEB">
      <w:pPr>
        <w:pStyle w:val="Obsah3"/>
        <w:rPr>
          <w:rFonts w:asciiTheme="minorHAnsi" w:eastAsiaTheme="minorEastAsia" w:hAnsiTheme="minorHAnsi" w:cstheme="minorBidi"/>
          <w:iCs w:val="0"/>
          <w:sz w:val="22"/>
          <w:szCs w:val="22"/>
        </w:rPr>
      </w:pPr>
      <w:hyperlink w:anchor="_Toc173741575" w:history="1">
        <w:r w:rsidR="005002DD" w:rsidRPr="00252C47">
          <w:rPr>
            <w:rStyle w:val="Hypertextovprepojenie"/>
          </w:rPr>
          <w:t>6.2.1</w:t>
        </w:r>
        <w:r w:rsidR="005002DD">
          <w:rPr>
            <w:rFonts w:asciiTheme="minorHAnsi" w:eastAsiaTheme="minorEastAsia" w:hAnsiTheme="minorHAnsi" w:cstheme="minorBidi"/>
            <w:iCs w:val="0"/>
            <w:sz w:val="22"/>
            <w:szCs w:val="22"/>
          </w:rPr>
          <w:tab/>
        </w:r>
        <w:r w:rsidR="005002DD" w:rsidRPr="00252C47">
          <w:rPr>
            <w:rStyle w:val="Hypertextovprepojenie"/>
          </w:rPr>
          <w:t>Národný projekt  „Spoločne hľadáme prácu II“</w:t>
        </w:r>
        <w:r w:rsidR="005002DD">
          <w:rPr>
            <w:webHidden/>
          </w:rPr>
          <w:tab/>
        </w:r>
        <w:r w:rsidR="005002DD">
          <w:rPr>
            <w:webHidden/>
          </w:rPr>
          <w:fldChar w:fldCharType="begin"/>
        </w:r>
        <w:r w:rsidR="005002DD">
          <w:rPr>
            <w:webHidden/>
          </w:rPr>
          <w:instrText xml:space="preserve"> PAGEREF _Toc173741575 \h </w:instrText>
        </w:r>
        <w:r w:rsidR="005002DD">
          <w:rPr>
            <w:webHidden/>
          </w:rPr>
        </w:r>
        <w:r w:rsidR="005002DD">
          <w:rPr>
            <w:webHidden/>
          </w:rPr>
          <w:fldChar w:fldCharType="separate"/>
        </w:r>
        <w:r w:rsidR="004C31AB">
          <w:rPr>
            <w:webHidden/>
          </w:rPr>
          <w:t>48</w:t>
        </w:r>
        <w:r w:rsidR="005002DD">
          <w:rPr>
            <w:webHidden/>
          </w:rPr>
          <w:fldChar w:fldCharType="end"/>
        </w:r>
      </w:hyperlink>
    </w:p>
    <w:p w14:paraId="639331BC" w14:textId="7417C3F2" w:rsidR="005002DD" w:rsidRDefault="00D64CEB">
      <w:pPr>
        <w:pStyle w:val="Obsah3"/>
        <w:rPr>
          <w:rFonts w:asciiTheme="minorHAnsi" w:eastAsiaTheme="minorEastAsia" w:hAnsiTheme="minorHAnsi" w:cstheme="minorBidi"/>
          <w:iCs w:val="0"/>
          <w:sz w:val="22"/>
          <w:szCs w:val="22"/>
        </w:rPr>
      </w:pPr>
      <w:hyperlink w:anchor="_Toc173741576" w:history="1">
        <w:r w:rsidR="005002DD" w:rsidRPr="00252C47">
          <w:rPr>
            <w:rStyle w:val="Hypertextovprepojenie"/>
          </w:rPr>
          <w:t>6.2.2</w:t>
        </w:r>
        <w:r w:rsidR="005002DD">
          <w:rPr>
            <w:rFonts w:asciiTheme="minorHAnsi" w:eastAsiaTheme="minorEastAsia" w:hAnsiTheme="minorHAnsi" w:cstheme="minorBidi"/>
            <w:iCs w:val="0"/>
            <w:sz w:val="22"/>
            <w:szCs w:val="22"/>
          </w:rPr>
          <w:tab/>
        </w:r>
        <w:r w:rsidR="005002DD" w:rsidRPr="00252C47">
          <w:rPr>
            <w:rStyle w:val="Hypertextovprepojenie"/>
          </w:rPr>
          <w:t>Národný projekt „Cesta na trh práce 3“</w:t>
        </w:r>
        <w:r w:rsidR="005002DD">
          <w:rPr>
            <w:webHidden/>
          </w:rPr>
          <w:tab/>
        </w:r>
        <w:r w:rsidR="005002DD">
          <w:rPr>
            <w:webHidden/>
          </w:rPr>
          <w:fldChar w:fldCharType="begin"/>
        </w:r>
        <w:r w:rsidR="005002DD">
          <w:rPr>
            <w:webHidden/>
          </w:rPr>
          <w:instrText xml:space="preserve"> PAGEREF _Toc173741576 \h </w:instrText>
        </w:r>
        <w:r w:rsidR="005002DD">
          <w:rPr>
            <w:webHidden/>
          </w:rPr>
        </w:r>
        <w:r w:rsidR="005002DD">
          <w:rPr>
            <w:webHidden/>
          </w:rPr>
          <w:fldChar w:fldCharType="separate"/>
        </w:r>
        <w:r w:rsidR="004C31AB">
          <w:rPr>
            <w:webHidden/>
          </w:rPr>
          <w:t>58</w:t>
        </w:r>
        <w:r w:rsidR="005002DD">
          <w:rPr>
            <w:webHidden/>
          </w:rPr>
          <w:fldChar w:fldCharType="end"/>
        </w:r>
      </w:hyperlink>
    </w:p>
    <w:p w14:paraId="20E7E4E5" w14:textId="4A7CC61A" w:rsidR="005002DD" w:rsidRDefault="00D64CEB">
      <w:pPr>
        <w:pStyle w:val="Obsah3"/>
        <w:rPr>
          <w:rFonts w:asciiTheme="minorHAnsi" w:eastAsiaTheme="minorEastAsia" w:hAnsiTheme="minorHAnsi" w:cstheme="minorBidi"/>
          <w:iCs w:val="0"/>
          <w:sz w:val="22"/>
          <w:szCs w:val="22"/>
        </w:rPr>
      </w:pPr>
      <w:hyperlink w:anchor="_Toc173741577" w:history="1">
        <w:r w:rsidR="005002DD" w:rsidRPr="00252C47">
          <w:rPr>
            <w:rStyle w:val="Hypertextovprepojenie"/>
          </w:rPr>
          <w:t>6.2.3</w:t>
        </w:r>
        <w:r w:rsidR="005002DD">
          <w:rPr>
            <w:rFonts w:asciiTheme="minorHAnsi" w:eastAsiaTheme="minorEastAsia" w:hAnsiTheme="minorHAnsi" w:cstheme="minorBidi"/>
            <w:iCs w:val="0"/>
            <w:sz w:val="22"/>
            <w:szCs w:val="22"/>
          </w:rPr>
          <w:tab/>
        </w:r>
        <w:r w:rsidR="005002DD" w:rsidRPr="00252C47">
          <w:rPr>
            <w:rStyle w:val="Hypertextovprepojenie"/>
          </w:rPr>
          <w:t xml:space="preserve"> Národný projekt „Individualizované poradenstvo pre znevýhodnených UoZ”</w:t>
        </w:r>
        <w:r w:rsidR="005002DD">
          <w:rPr>
            <w:webHidden/>
          </w:rPr>
          <w:tab/>
        </w:r>
        <w:r w:rsidR="005002DD">
          <w:rPr>
            <w:webHidden/>
          </w:rPr>
          <w:fldChar w:fldCharType="begin"/>
        </w:r>
        <w:r w:rsidR="005002DD">
          <w:rPr>
            <w:webHidden/>
          </w:rPr>
          <w:instrText xml:space="preserve"> PAGEREF _Toc173741577 \h </w:instrText>
        </w:r>
        <w:r w:rsidR="005002DD">
          <w:rPr>
            <w:webHidden/>
          </w:rPr>
        </w:r>
        <w:r w:rsidR="005002DD">
          <w:rPr>
            <w:webHidden/>
          </w:rPr>
          <w:fldChar w:fldCharType="separate"/>
        </w:r>
        <w:r w:rsidR="004C31AB">
          <w:rPr>
            <w:webHidden/>
          </w:rPr>
          <w:t>58</w:t>
        </w:r>
        <w:r w:rsidR="005002DD">
          <w:rPr>
            <w:webHidden/>
          </w:rPr>
          <w:fldChar w:fldCharType="end"/>
        </w:r>
      </w:hyperlink>
    </w:p>
    <w:p w14:paraId="7B44F8BC" w14:textId="217B5B00" w:rsidR="005002DD" w:rsidRDefault="00D64CEB">
      <w:pPr>
        <w:pStyle w:val="Obsah3"/>
        <w:rPr>
          <w:rFonts w:asciiTheme="minorHAnsi" w:eastAsiaTheme="minorEastAsia" w:hAnsiTheme="minorHAnsi" w:cstheme="minorBidi"/>
          <w:iCs w:val="0"/>
          <w:sz w:val="22"/>
          <w:szCs w:val="22"/>
        </w:rPr>
      </w:pPr>
      <w:hyperlink w:anchor="_Toc173741578" w:history="1">
        <w:r w:rsidR="005002DD" w:rsidRPr="00252C47">
          <w:rPr>
            <w:rStyle w:val="Hypertextovprepojenie"/>
          </w:rPr>
          <w:t>6.2.4 Projekt „Pomáhame odídencom – poradenstvo“</w:t>
        </w:r>
        <w:r w:rsidR="005002DD">
          <w:rPr>
            <w:webHidden/>
          </w:rPr>
          <w:tab/>
        </w:r>
        <w:r w:rsidR="005002DD">
          <w:rPr>
            <w:webHidden/>
          </w:rPr>
          <w:fldChar w:fldCharType="begin"/>
        </w:r>
        <w:r w:rsidR="005002DD">
          <w:rPr>
            <w:webHidden/>
          </w:rPr>
          <w:instrText xml:space="preserve"> PAGEREF _Toc173741578 \h </w:instrText>
        </w:r>
        <w:r w:rsidR="005002DD">
          <w:rPr>
            <w:webHidden/>
          </w:rPr>
        </w:r>
        <w:r w:rsidR="005002DD">
          <w:rPr>
            <w:webHidden/>
          </w:rPr>
          <w:fldChar w:fldCharType="separate"/>
        </w:r>
        <w:r w:rsidR="004C31AB">
          <w:rPr>
            <w:webHidden/>
          </w:rPr>
          <w:t>60</w:t>
        </w:r>
        <w:r w:rsidR="005002DD">
          <w:rPr>
            <w:webHidden/>
          </w:rPr>
          <w:fldChar w:fldCharType="end"/>
        </w:r>
      </w:hyperlink>
    </w:p>
    <w:p w14:paraId="20073272" w14:textId="254F09AE" w:rsidR="005002DD" w:rsidRDefault="00D64CEB">
      <w:pPr>
        <w:pStyle w:val="Obsah3"/>
        <w:rPr>
          <w:rFonts w:asciiTheme="minorHAnsi" w:eastAsiaTheme="minorEastAsia" w:hAnsiTheme="minorHAnsi" w:cstheme="minorBidi"/>
          <w:iCs w:val="0"/>
          <w:sz w:val="22"/>
          <w:szCs w:val="22"/>
        </w:rPr>
      </w:pPr>
      <w:hyperlink w:anchor="_Toc173741579" w:history="1">
        <w:r w:rsidR="005002DD" w:rsidRPr="00252C47">
          <w:rPr>
            <w:rStyle w:val="Hypertextovprepojenie"/>
          </w:rPr>
          <w:t>6.2.5</w:t>
        </w:r>
        <w:r w:rsidR="005002DD">
          <w:rPr>
            <w:rFonts w:asciiTheme="minorHAnsi" w:eastAsiaTheme="minorEastAsia" w:hAnsiTheme="minorHAnsi" w:cstheme="minorBidi"/>
            <w:iCs w:val="0"/>
            <w:sz w:val="22"/>
            <w:szCs w:val="22"/>
          </w:rPr>
          <w:tab/>
        </w:r>
        <w:r w:rsidR="005002DD" w:rsidRPr="00252C47">
          <w:rPr>
            <w:rStyle w:val="Hypertextovprepojenie"/>
          </w:rPr>
          <w:t>Národný projekt „Podpora zamestnanosti“</w:t>
        </w:r>
        <w:r w:rsidR="005002DD">
          <w:rPr>
            <w:webHidden/>
          </w:rPr>
          <w:tab/>
        </w:r>
        <w:r w:rsidR="005002DD">
          <w:rPr>
            <w:webHidden/>
          </w:rPr>
          <w:fldChar w:fldCharType="begin"/>
        </w:r>
        <w:r w:rsidR="005002DD">
          <w:rPr>
            <w:webHidden/>
          </w:rPr>
          <w:instrText xml:space="preserve"> PAGEREF _Toc173741579 \h </w:instrText>
        </w:r>
        <w:r w:rsidR="005002DD">
          <w:rPr>
            <w:webHidden/>
          </w:rPr>
        </w:r>
        <w:r w:rsidR="005002DD">
          <w:rPr>
            <w:webHidden/>
          </w:rPr>
          <w:fldChar w:fldCharType="separate"/>
        </w:r>
        <w:r w:rsidR="004C31AB">
          <w:rPr>
            <w:webHidden/>
          </w:rPr>
          <w:t>60</w:t>
        </w:r>
        <w:r w:rsidR="005002DD">
          <w:rPr>
            <w:webHidden/>
          </w:rPr>
          <w:fldChar w:fldCharType="end"/>
        </w:r>
      </w:hyperlink>
    </w:p>
    <w:p w14:paraId="4F26F37D" w14:textId="046BF21D" w:rsidR="005002DD" w:rsidRDefault="00D64CEB">
      <w:pPr>
        <w:pStyle w:val="Obsah3"/>
        <w:rPr>
          <w:rFonts w:asciiTheme="minorHAnsi" w:eastAsiaTheme="minorEastAsia" w:hAnsiTheme="minorHAnsi" w:cstheme="minorBidi"/>
          <w:iCs w:val="0"/>
          <w:sz w:val="22"/>
          <w:szCs w:val="22"/>
        </w:rPr>
      </w:pPr>
      <w:hyperlink w:anchor="_Toc173741580" w:history="1">
        <w:r w:rsidR="005002DD" w:rsidRPr="00252C47">
          <w:rPr>
            <w:rStyle w:val="Hypertextovprepojenie"/>
          </w:rPr>
          <w:t>6.2.6 Národný projekt „Aktivácia znevýhodnených UoZ“</w:t>
        </w:r>
        <w:r w:rsidR="005002DD">
          <w:rPr>
            <w:webHidden/>
          </w:rPr>
          <w:tab/>
        </w:r>
        <w:r w:rsidR="005002DD">
          <w:rPr>
            <w:webHidden/>
          </w:rPr>
          <w:fldChar w:fldCharType="begin"/>
        </w:r>
        <w:r w:rsidR="005002DD">
          <w:rPr>
            <w:webHidden/>
          </w:rPr>
          <w:instrText xml:space="preserve"> PAGEREF _Toc173741580 \h </w:instrText>
        </w:r>
        <w:r w:rsidR="005002DD">
          <w:rPr>
            <w:webHidden/>
          </w:rPr>
        </w:r>
        <w:r w:rsidR="005002DD">
          <w:rPr>
            <w:webHidden/>
          </w:rPr>
          <w:fldChar w:fldCharType="separate"/>
        </w:r>
        <w:r w:rsidR="004C31AB">
          <w:rPr>
            <w:webHidden/>
          </w:rPr>
          <w:t>70</w:t>
        </w:r>
        <w:r w:rsidR="005002DD">
          <w:rPr>
            <w:webHidden/>
          </w:rPr>
          <w:fldChar w:fldCharType="end"/>
        </w:r>
      </w:hyperlink>
    </w:p>
    <w:p w14:paraId="2457E578" w14:textId="6F681754" w:rsidR="005002DD" w:rsidRDefault="00D64CEB">
      <w:pPr>
        <w:pStyle w:val="Obsah2"/>
        <w:rPr>
          <w:rFonts w:asciiTheme="minorHAnsi" w:eastAsiaTheme="minorEastAsia" w:hAnsiTheme="minorHAnsi" w:cstheme="minorBidi"/>
          <w:b w:val="0"/>
          <w:bCs w:val="0"/>
          <w:sz w:val="22"/>
          <w:szCs w:val="22"/>
        </w:rPr>
      </w:pPr>
      <w:hyperlink w:anchor="_Toc173741581" w:history="1">
        <w:r w:rsidR="005002DD" w:rsidRPr="00252C47">
          <w:rPr>
            <w:rStyle w:val="Hypertextovprepojenie"/>
            <w:lang w:eastAsia="en-US"/>
          </w:rPr>
          <w:t>6.3   Národné projekty realizované podľa § 54 zákona v rámci Operačného programu Ľudské zdroje – Prioritná os 8: REACT – EÚ</w:t>
        </w:r>
        <w:r w:rsidR="005002DD">
          <w:rPr>
            <w:webHidden/>
          </w:rPr>
          <w:tab/>
        </w:r>
        <w:r w:rsidR="005002DD">
          <w:rPr>
            <w:webHidden/>
          </w:rPr>
          <w:fldChar w:fldCharType="begin"/>
        </w:r>
        <w:r w:rsidR="005002DD">
          <w:rPr>
            <w:webHidden/>
          </w:rPr>
          <w:instrText xml:space="preserve"> PAGEREF _Toc173741581 \h </w:instrText>
        </w:r>
        <w:r w:rsidR="005002DD">
          <w:rPr>
            <w:webHidden/>
          </w:rPr>
        </w:r>
        <w:r w:rsidR="005002DD">
          <w:rPr>
            <w:webHidden/>
          </w:rPr>
          <w:fldChar w:fldCharType="separate"/>
        </w:r>
        <w:r w:rsidR="004C31AB">
          <w:rPr>
            <w:webHidden/>
          </w:rPr>
          <w:t>75</w:t>
        </w:r>
        <w:r w:rsidR="005002DD">
          <w:rPr>
            <w:webHidden/>
          </w:rPr>
          <w:fldChar w:fldCharType="end"/>
        </w:r>
      </w:hyperlink>
    </w:p>
    <w:p w14:paraId="5B0AE503" w14:textId="261558B6" w:rsidR="005002DD" w:rsidRDefault="00D64CEB">
      <w:pPr>
        <w:pStyle w:val="Obsah3"/>
        <w:rPr>
          <w:rFonts w:asciiTheme="minorHAnsi" w:eastAsiaTheme="minorEastAsia" w:hAnsiTheme="minorHAnsi" w:cstheme="minorBidi"/>
          <w:iCs w:val="0"/>
          <w:sz w:val="22"/>
          <w:szCs w:val="22"/>
        </w:rPr>
      </w:pPr>
      <w:hyperlink w:anchor="_Toc173741582" w:history="1">
        <w:r w:rsidR="005002DD" w:rsidRPr="00252C47">
          <w:rPr>
            <w:rStyle w:val="Hypertextovprepojenie"/>
          </w:rPr>
          <w:t>6.3.1</w:t>
        </w:r>
        <w:r w:rsidR="005002DD">
          <w:rPr>
            <w:rFonts w:asciiTheme="minorHAnsi" w:eastAsiaTheme="minorEastAsia" w:hAnsiTheme="minorHAnsi" w:cstheme="minorBidi"/>
            <w:iCs w:val="0"/>
            <w:sz w:val="22"/>
            <w:szCs w:val="22"/>
          </w:rPr>
          <w:tab/>
        </w:r>
        <w:r w:rsidR="005002DD" w:rsidRPr="00252C47">
          <w:rPr>
            <w:rStyle w:val="Hypertextovprepojenie"/>
          </w:rPr>
          <w:t>Národný projekt „Chyť sa svojej šance“</w:t>
        </w:r>
        <w:r w:rsidR="005002DD">
          <w:rPr>
            <w:webHidden/>
          </w:rPr>
          <w:tab/>
        </w:r>
        <w:r w:rsidR="005002DD">
          <w:rPr>
            <w:webHidden/>
          </w:rPr>
          <w:fldChar w:fldCharType="begin"/>
        </w:r>
        <w:r w:rsidR="005002DD">
          <w:rPr>
            <w:webHidden/>
          </w:rPr>
          <w:instrText xml:space="preserve"> PAGEREF _Toc173741582 \h </w:instrText>
        </w:r>
        <w:r w:rsidR="005002DD">
          <w:rPr>
            <w:webHidden/>
          </w:rPr>
        </w:r>
        <w:r w:rsidR="005002DD">
          <w:rPr>
            <w:webHidden/>
          </w:rPr>
          <w:fldChar w:fldCharType="separate"/>
        </w:r>
        <w:r w:rsidR="004C31AB">
          <w:rPr>
            <w:webHidden/>
          </w:rPr>
          <w:t>75</w:t>
        </w:r>
        <w:r w:rsidR="005002DD">
          <w:rPr>
            <w:webHidden/>
          </w:rPr>
          <w:fldChar w:fldCharType="end"/>
        </w:r>
      </w:hyperlink>
    </w:p>
    <w:p w14:paraId="4C009BAD" w14:textId="2EED9CB3" w:rsidR="005002DD" w:rsidRDefault="00D64CEB">
      <w:pPr>
        <w:pStyle w:val="Obsah2"/>
        <w:rPr>
          <w:rFonts w:asciiTheme="minorHAnsi" w:eastAsiaTheme="minorEastAsia" w:hAnsiTheme="minorHAnsi" w:cstheme="minorBidi"/>
          <w:b w:val="0"/>
          <w:bCs w:val="0"/>
          <w:sz w:val="22"/>
          <w:szCs w:val="22"/>
        </w:rPr>
      </w:pPr>
      <w:hyperlink w:anchor="_Toc173741583" w:history="1">
        <w:r w:rsidR="005002DD" w:rsidRPr="00252C47">
          <w:rPr>
            <w:rStyle w:val="Hypertextovprepojenie"/>
            <w:rFonts w:eastAsia="Calibri"/>
            <w:lang w:eastAsia="en-US"/>
          </w:rPr>
          <w:t>6.4  Projekty realizované podľa § 54 zákona o službách zamestnanosti, financované           zo štátneho rozpočtu Slovenskej republiky</w:t>
        </w:r>
        <w:r w:rsidR="005002DD">
          <w:rPr>
            <w:webHidden/>
          </w:rPr>
          <w:tab/>
        </w:r>
        <w:r w:rsidR="005002DD">
          <w:rPr>
            <w:webHidden/>
          </w:rPr>
          <w:fldChar w:fldCharType="begin"/>
        </w:r>
        <w:r w:rsidR="005002DD">
          <w:rPr>
            <w:webHidden/>
          </w:rPr>
          <w:instrText xml:space="preserve"> PAGEREF _Toc173741583 \h </w:instrText>
        </w:r>
        <w:r w:rsidR="005002DD">
          <w:rPr>
            <w:webHidden/>
          </w:rPr>
        </w:r>
        <w:r w:rsidR="005002DD">
          <w:rPr>
            <w:webHidden/>
          </w:rPr>
          <w:fldChar w:fldCharType="separate"/>
        </w:r>
        <w:r w:rsidR="004C31AB">
          <w:rPr>
            <w:webHidden/>
          </w:rPr>
          <w:t>84</w:t>
        </w:r>
        <w:r w:rsidR="005002DD">
          <w:rPr>
            <w:webHidden/>
          </w:rPr>
          <w:fldChar w:fldCharType="end"/>
        </w:r>
      </w:hyperlink>
    </w:p>
    <w:p w14:paraId="4E6111CA" w14:textId="56FA898C" w:rsidR="005002DD" w:rsidRDefault="00D64CEB">
      <w:pPr>
        <w:pStyle w:val="Obsah3"/>
        <w:rPr>
          <w:rFonts w:asciiTheme="minorHAnsi" w:eastAsiaTheme="minorEastAsia" w:hAnsiTheme="minorHAnsi" w:cstheme="minorBidi"/>
          <w:iCs w:val="0"/>
          <w:sz w:val="22"/>
          <w:szCs w:val="22"/>
        </w:rPr>
      </w:pPr>
      <w:hyperlink w:anchor="_Toc173741584" w:history="1">
        <w:r w:rsidR="005002DD" w:rsidRPr="00252C47">
          <w:rPr>
            <w:rStyle w:val="Hypertextovprepojenie"/>
          </w:rPr>
          <w:t>6.4.1</w:t>
        </w:r>
        <w:r w:rsidR="005002DD">
          <w:rPr>
            <w:rFonts w:asciiTheme="minorHAnsi" w:eastAsiaTheme="minorEastAsia" w:hAnsiTheme="minorHAnsi" w:cstheme="minorBidi"/>
            <w:iCs w:val="0"/>
            <w:sz w:val="22"/>
            <w:szCs w:val="22"/>
          </w:rPr>
          <w:tab/>
        </w:r>
        <w:r w:rsidR="005002DD" w:rsidRPr="00252C47">
          <w:rPr>
            <w:rStyle w:val="Hypertextovprepojenie"/>
          </w:rPr>
          <w:t>Motivačný interný projekt  pre mladých do 29 rokov „Buď aktívny, zamestnaj sa“</w:t>
        </w:r>
        <w:r w:rsidR="005002DD">
          <w:rPr>
            <w:webHidden/>
          </w:rPr>
          <w:tab/>
        </w:r>
        <w:r w:rsidR="005002DD">
          <w:rPr>
            <w:webHidden/>
          </w:rPr>
          <w:fldChar w:fldCharType="begin"/>
        </w:r>
        <w:r w:rsidR="005002DD">
          <w:rPr>
            <w:webHidden/>
          </w:rPr>
          <w:instrText xml:space="preserve"> PAGEREF _Toc173741584 \h </w:instrText>
        </w:r>
        <w:r w:rsidR="005002DD">
          <w:rPr>
            <w:webHidden/>
          </w:rPr>
        </w:r>
        <w:r w:rsidR="005002DD">
          <w:rPr>
            <w:webHidden/>
          </w:rPr>
          <w:fldChar w:fldCharType="separate"/>
        </w:r>
        <w:r w:rsidR="004C31AB">
          <w:rPr>
            <w:webHidden/>
          </w:rPr>
          <w:t>84</w:t>
        </w:r>
        <w:r w:rsidR="005002DD">
          <w:rPr>
            <w:webHidden/>
          </w:rPr>
          <w:fldChar w:fldCharType="end"/>
        </w:r>
      </w:hyperlink>
    </w:p>
    <w:p w14:paraId="7CF45955" w14:textId="43CB15B2" w:rsidR="005002DD" w:rsidRDefault="00D64CEB">
      <w:pPr>
        <w:pStyle w:val="Obsah3"/>
        <w:rPr>
          <w:rFonts w:asciiTheme="minorHAnsi" w:eastAsiaTheme="minorEastAsia" w:hAnsiTheme="minorHAnsi" w:cstheme="minorBidi"/>
          <w:iCs w:val="0"/>
          <w:sz w:val="22"/>
          <w:szCs w:val="22"/>
        </w:rPr>
      </w:pPr>
      <w:hyperlink w:anchor="_Toc173741585" w:history="1">
        <w:r w:rsidR="005002DD" w:rsidRPr="00252C47">
          <w:rPr>
            <w:rStyle w:val="Hypertextovprepojenie"/>
          </w:rPr>
          <w:t>6.4.2</w:t>
        </w:r>
        <w:r w:rsidR="005002DD">
          <w:rPr>
            <w:rFonts w:asciiTheme="minorHAnsi" w:eastAsiaTheme="minorEastAsia" w:hAnsiTheme="minorHAnsi" w:cstheme="minorBidi"/>
            <w:iCs w:val="0"/>
            <w:sz w:val="22"/>
            <w:szCs w:val="22"/>
          </w:rPr>
          <w:tab/>
        </w:r>
        <w:r w:rsidR="005002DD" w:rsidRPr="00252C47">
          <w:rPr>
            <w:rStyle w:val="Hypertextovprepojenie"/>
          </w:rPr>
          <w:t>Motivačný interný projekt pre dlhodobo evidovaných „Zvýšenou aktivitou          k zamestnaniu“</w:t>
        </w:r>
        <w:r w:rsidR="005002DD">
          <w:rPr>
            <w:webHidden/>
          </w:rPr>
          <w:tab/>
        </w:r>
        <w:r w:rsidR="005002DD">
          <w:rPr>
            <w:webHidden/>
          </w:rPr>
          <w:fldChar w:fldCharType="begin"/>
        </w:r>
        <w:r w:rsidR="005002DD">
          <w:rPr>
            <w:webHidden/>
          </w:rPr>
          <w:instrText xml:space="preserve"> PAGEREF _Toc173741585 \h </w:instrText>
        </w:r>
        <w:r w:rsidR="005002DD">
          <w:rPr>
            <w:webHidden/>
          </w:rPr>
        </w:r>
        <w:r w:rsidR="005002DD">
          <w:rPr>
            <w:webHidden/>
          </w:rPr>
          <w:fldChar w:fldCharType="separate"/>
        </w:r>
        <w:r w:rsidR="004C31AB">
          <w:rPr>
            <w:webHidden/>
          </w:rPr>
          <w:t>84</w:t>
        </w:r>
        <w:r w:rsidR="005002DD">
          <w:rPr>
            <w:webHidden/>
          </w:rPr>
          <w:fldChar w:fldCharType="end"/>
        </w:r>
      </w:hyperlink>
    </w:p>
    <w:p w14:paraId="451401BF" w14:textId="01AFB23A" w:rsidR="005002DD" w:rsidRDefault="00D64CEB">
      <w:pPr>
        <w:pStyle w:val="Obsah3"/>
        <w:rPr>
          <w:rFonts w:asciiTheme="minorHAnsi" w:eastAsiaTheme="minorEastAsia" w:hAnsiTheme="minorHAnsi" w:cstheme="minorBidi"/>
          <w:iCs w:val="0"/>
          <w:sz w:val="22"/>
          <w:szCs w:val="22"/>
        </w:rPr>
      </w:pPr>
      <w:hyperlink w:anchor="_Toc173741586" w:history="1">
        <w:r w:rsidR="005002DD" w:rsidRPr="00252C47">
          <w:rPr>
            <w:rStyle w:val="Hypertextovprepojenie"/>
          </w:rPr>
          <w:t>6.4.3 Projekt „Pomáhame odídencom“</w:t>
        </w:r>
        <w:r w:rsidR="005002DD">
          <w:rPr>
            <w:webHidden/>
          </w:rPr>
          <w:tab/>
        </w:r>
        <w:r w:rsidR="005002DD">
          <w:rPr>
            <w:webHidden/>
          </w:rPr>
          <w:fldChar w:fldCharType="begin"/>
        </w:r>
        <w:r w:rsidR="005002DD">
          <w:rPr>
            <w:webHidden/>
          </w:rPr>
          <w:instrText xml:space="preserve"> PAGEREF _Toc173741586 \h </w:instrText>
        </w:r>
        <w:r w:rsidR="005002DD">
          <w:rPr>
            <w:webHidden/>
          </w:rPr>
        </w:r>
        <w:r w:rsidR="005002DD">
          <w:rPr>
            <w:webHidden/>
          </w:rPr>
          <w:fldChar w:fldCharType="separate"/>
        </w:r>
        <w:r w:rsidR="004C31AB">
          <w:rPr>
            <w:webHidden/>
          </w:rPr>
          <w:t>85</w:t>
        </w:r>
        <w:r w:rsidR="005002DD">
          <w:rPr>
            <w:webHidden/>
          </w:rPr>
          <w:fldChar w:fldCharType="end"/>
        </w:r>
      </w:hyperlink>
    </w:p>
    <w:p w14:paraId="2B93DD92" w14:textId="6BAEC310" w:rsidR="005002DD" w:rsidRDefault="00D64CEB">
      <w:pPr>
        <w:pStyle w:val="Obsah3"/>
        <w:rPr>
          <w:rFonts w:asciiTheme="minorHAnsi" w:eastAsiaTheme="minorEastAsia" w:hAnsiTheme="minorHAnsi" w:cstheme="minorBidi"/>
          <w:iCs w:val="0"/>
          <w:sz w:val="22"/>
          <w:szCs w:val="22"/>
        </w:rPr>
      </w:pPr>
      <w:hyperlink w:anchor="_Toc173741587" w:history="1">
        <w:r w:rsidR="005002DD" w:rsidRPr="00252C47">
          <w:rPr>
            <w:rStyle w:val="Hypertextovprepojenie"/>
          </w:rPr>
          <w:t>6.4.4 Projekt „Podpora udržania pracovných návykov - PUPN“</w:t>
        </w:r>
        <w:r w:rsidR="005002DD">
          <w:rPr>
            <w:webHidden/>
          </w:rPr>
          <w:tab/>
        </w:r>
        <w:r w:rsidR="005002DD">
          <w:rPr>
            <w:webHidden/>
          </w:rPr>
          <w:fldChar w:fldCharType="begin"/>
        </w:r>
        <w:r w:rsidR="005002DD">
          <w:rPr>
            <w:webHidden/>
          </w:rPr>
          <w:instrText xml:space="preserve"> PAGEREF _Toc173741587 \h </w:instrText>
        </w:r>
        <w:r w:rsidR="005002DD">
          <w:rPr>
            <w:webHidden/>
          </w:rPr>
        </w:r>
        <w:r w:rsidR="005002DD">
          <w:rPr>
            <w:webHidden/>
          </w:rPr>
          <w:fldChar w:fldCharType="separate"/>
        </w:r>
        <w:r w:rsidR="004C31AB">
          <w:rPr>
            <w:webHidden/>
          </w:rPr>
          <w:t>91</w:t>
        </w:r>
        <w:r w:rsidR="005002DD">
          <w:rPr>
            <w:webHidden/>
          </w:rPr>
          <w:fldChar w:fldCharType="end"/>
        </w:r>
      </w:hyperlink>
    </w:p>
    <w:p w14:paraId="62A7F411" w14:textId="62BB3D49" w:rsidR="005002DD" w:rsidRDefault="00D64CEB">
      <w:pPr>
        <w:pStyle w:val="Obsah3"/>
        <w:rPr>
          <w:rFonts w:asciiTheme="minorHAnsi" w:eastAsiaTheme="minorEastAsia" w:hAnsiTheme="minorHAnsi" w:cstheme="minorBidi"/>
          <w:iCs w:val="0"/>
          <w:sz w:val="22"/>
          <w:szCs w:val="22"/>
        </w:rPr>
      </w:pPr>
      <w:hyperlink w:anchor="_Toc173741588" w:history="1">
        <w:r w:rsidR="005002DD" w:rsidRPr="00252C47">
          <w:rPr>
            <w:rStyle w:val="Hypertextovprepojenie"/>
          </w:rPr>
          <w:t>6.4.5 Projekt „Podpora obcí zasiahnutých zemetrasením“</w:t>
        </w:r>
        <w:r w:rsidR="005002DD">
          <w:rPr>
            <w:webHidden/>
          </w:rPr>
          <w:tab/>
        </w:r>
        <w:r w:rsidR="005002DD">
          <w:rPr>
            <w:webHidden/>
          </w:rPr>
          <w:fldChar w:fldCharType="begin"/>
        </w:r>
        <w:r w:rsidR="005002DD">
          <w:rPr>
            <w:webHidden/>
          </w:rPr>
          <w:instrText xml:space="preserve"> PAGEREF _Toc173741588 \h </w:instrText>
        </w:r>
        <w:r w:rsidR="005002DD">
          <w:rPr>
            <w:webHidden/>
          </w:rPr>
        </w:r>
        <w:r w:rsidR="005002DD">
          <w:rPr>
            <w:webHidden/>
          </w:rPr>
          <w:fldChar w:fldCharType="separate"/>
        </w:r>
        <w:r w:rsidR="004C31AB">
          <w:rPr>
            <w:webHidden/>
          </w:rPr>
          <w:t>95</w:t>
        </w:r>
        <w:r w:rsidR="005002DD">
          <w:rPr>
            <w:webHidden/>
          </w:rPr>
          <w:fldChar w:fldCharType="end"/>
        </w:r>
      </w:hyperlink>
    </w:p>
    <w:p w14:paraId="1C23E061" w14:textId="7105DECB" w:rsidR="00CD246D" w:rsidRPr="00C35CA8" w:rsidRDefault="000431CF" w:rsidP="00AA7E7B">
      <w:r w:rsidRPr="00C35CA8">
        <w:fldChar w:fldCharType="end"/>
      </w:r>
      <w:bookmarkStart w:id="2" w:name="_Toc360447281"/>
      <w:bookmarkStart w:id="3" w:name="_Toc37094576"/>
    </w:p>
    <w:p w14:paraId="27639EAA" w14:textId="77777777" w:rsidR="00CD246D" w:rsidRPr="00C35CA8" w:rsidRDefault="00CD246D" w:rsidP="00AA7E7B"/>
    <w:p w14:paraId="33CAA6CA" w14:textId="77777777" w:rsidR="00CD246D" w:rsidRPr="00C35CA8" w:rsidRDefault="00CD246D" w:rsidP="00AA7E7B"/>
    <w:p w14:paraId="006D74B8" w14:textId="77777777" w:rsidR="00CD246D" w:rsidRPr="00C35CA8" w:rsidRDefault="00CD246D" w:rsidP="00AA7E7B"/>
    <w:p w14:paraId="02236873" w14:textId="6FDC96C0" w:rsidR="00E60F53" w:rsidRDefault="00E60F53" w:rsidP="00AA7E7B"/>
    <w:p w14:paraId="7C9036C3" w14:textId="7D2EF4FA" w:rsidR="00A346AC" w:rsidRDefault="00A346AC" w:rsidP="00AA7E7B"/>
    <w:p w14:paraId="0D7906DF" w14:textId="2BBFF737" w:rsidR="00A346AC" w:rsidRDefault="00A346AC" w:rsidP="00AA7E7B"/>
    <w:p w14:paraId="7E7BC21B" w14:textId="6C9BE9FA" w:rsidR="00A346AC" w:rsidRDefault="00A346AC" w:rsidP="00AA7E7B"/>
    <w:p w14:paraId="346C0997" w14:textId="77777777" w:rsidR="004C31AB" w:rsidRDefault="004C31AB" w:rsidP="00AA7E7B"/>
    <w:p w14:paraId="19411DF5" w14:textId="77777777" w:rsidR="00A346AC" w:rsidRPr="00C35CA8" w:rsidRDefault="00A346AC" w:rsidP="00AA7E7B"/>
    <w:p w14:paraId="236AC0B3" w14:textId="767B4AEE" w:rsidR="00E60F53" w:rsidRDefault="00E60F53" w:rsidP="00AA7E7B"/>
    <w:p w14:paraId="72F68A0A" w14:textId="77777777" w:rsidR="00ED7654" w:rsidRPr="00C35CA8" w:rsidRDefault="00ED7654" w:rsidP="00AA7E7B"/>
    <w:p w14:paraId="516F457D" w14:textId="77777777" w:rsidR="00E60F53" w:rsidRPr="00C35CA8" w:rsidRDefault="00E60F53" w:rsidP="00AA7E7B"/>
    <w:p w14:paraId="0E1258AA" w14:textId="5FF949BB" w:rsidR="005E5A10" w:rsidRPr="00C35CA8" w:rsidRDefault="005E5A10" w:rsidP="00F669C2">
      <w:pPr>
        <w:ind w:firstLine="0"/>
        <w:rPr>
          <w:rFonts w:asciiTheme="minorHAnsi" w:hAnsiTheme="minorHAnsi" w:cstheme="minorHAnsi"/>
        </w:rPr>
      </w:pPr>
      <w:r w:rsidRPr="00C35CA8">
        <w:lastRenderedPageBreak/>
        <w:t>Zoznam použitých skratiek a symbolov</w:t>
      </w:r>
      <w:bookmarkEnd w:id="2"/>
      <w:bookmarkEnd w:id="3"/>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229"/>
      </w:tblGrid>
      <w:tr w:rsidR="00966BB0" w:rsidRPr="00C35CA8" w14:paraId="72826E9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0E0333E" w14:textId="77777777" w:rsidR="00966BB0" w:rsidRPr="00C35CA8" w:rsidRDefault="00966BB0" w:rsidP="00AA7E7B">
            <w:pPr>
              <w:jc w:val="left"/>
              <w:rPr>
                <w:sz w:val="18"/>
                <w:szCs w:val="18"/>
              </w:rPr>
            </w:pPr>
            <w:r w:rsidRPr="00C35CA8">
              <w:rPr>
                <w:sz w:val="18"/>
                <w:szCs w:val="18"/>
              </w:rPr>
              <w:t>AČ</w:t>
            </w:r>
          </w:p>
        </w:tc>
        <w:tc>
          <w:tcPr>
            <w:tcW w:w="7229" w:type="dxa"/>
            <w:tcBorders>
              <w:top w:val="single" w:sz="4" w:space="0" w:color="auto"/>
              <w:left w:val="single" w:sz="4" w:space="0" w:color="auto"/>
              <w:bottom w:val="single" w:sz="4" w:space="0" w:color="auto"/>
              <w:right w:val="single" w:sz="4" w:space="0" w:color="auto"/>
            </w:tcBorders>
            <w:noWrap/>
            <w:vAlign w:val="center"/>
          </w:tcPr>
          <w:p w14:paraId="641AC848" w14:textId="77777777" w:rsidR="00966BB0" w:rsidRPr="00C35CA8" w:rsidRDefault="00966BB0" w:rsidP="00AA7E7B">
            <w:pPr>
              <w:jc w:val="left"/>
              <w:rPr>
                <w:sz w:val="18"/>
                <w:szCs w:val="18"/>
              </w:rPr>
            </w:pPr>
            <w:r w:rsidRPr="00C35CA8">
              <w:rPr>
                <w:sz w:val="18"/>
                <w:szCs w:val="18"/>
              </w:rPr>
              <w:t>aktivačná činnosť</w:t>
            </w:r>
          </w:p>
        </w:tc>
      </w:tr>
      <w:tr w:rsidR="005E5A10" w:rsidRPr="00C35CA8" w14:paraId="68FDAD4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0DA4B90" w14:textId="77777777" w:rsidR="005E5A10" w:rsidRPr="00C35CA8" w:rsidRDefault="005E5A10" w:rsidP="00AA7E7B">
            <w:pPr>
              <w:jc w:val="left"/>
              <w:rPr>
                <w:sz w:val="18"/>
                <w:szCs w:val="18"/>
              </w:rPr>
            </w:pPr>
            <w:r w:rsidRPr="00C35CA8">
              <w:rPr>
                <w:sz w:val="18"/>
                <w:szCs w:val="18"/>
              </w:rPr>
              <w:t>ADZ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1919494" w14:textId="77777777" w:rsidR="005E5A10" w:rsidRPr="00C35CA8" w:rsidRDefault="005E5A10" w:rsidP="00AA7E7B">
            <w:pPr>
              <w:jc w:val="left"/>
              <w:rPr>
                <w:sz w:val="18"/>
                <w:szCs w:val="18"/>
              </w:rPr>
            </w:pPr>
            <w:r w:rsidRPr="00C35CA8">
              <w:rPr>
                <w:sz w:val="18"/>
                <w:szCs w:val="18"/>
              </w:rPr>
              <w:t>agentúra dočasného zamestnávania</w:t>
            </w:r>
          </w:p>
        </w:tc>
      </w:tr>
      <w:tr w:rsidR="005E5A10" w:rsidRPr="00C35CA8" w14:paraId="07396B8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6EC9F5B" w14:textId="77777777" w:rsidR="005E5A10" w:rsidRPr="00C35CA8" w:rsidRDefault="005E5A10" w:rsidP="00AA7E7B">
            <w:pPr>
              <w:jc w:val="left"/>
              <w:rPr>
                <w:sz w:val="18"/>
                <w:szCs w:val="18"/>
              </w:rPr>
            </w:pPr>
            <w:r w:rsidRPr="00C35CA8">
              <w:rPr>
                <w:sz w:val="18"/>
                <w:szCs w:val="18"/>
              </w:rPr>
              <w:t>AOTP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EAA52DB" w14:textId="77777777" w:rsidR="005E5A10" w:rsidRPr="00C35CA8" w:rsidRDefault="005E5A10" w:rsidP="00AA7E7B">
            <w:pPr>
              <w:jc w:val="left"/>
              <w:rPr>
                <w:sz w:val="18"/>
                <w:szCs w:val="18"/>
              </w:rPr>
            </w:pPr>
            <w:r w:rsidRPr="00C35CA8">
              <w:rPr>
                <w:sz w:val="18"/>
                <w:szCs w:val="18"/>
              </w:rPr>
              <w:t>aktívne opatrenia na trhu práce</w:t>
            </w:r>
          </w:p>
        </w:tc>
      </w:tr>
      <w:tr w:rsidR="005E5A10" w:rsidRPr="00C35CA8" w14:paraId="35BCDBD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0DE2CCC" w14:textId="77777777" w:rsidR="005E5A10" w:rsidRPr="00C35CA8" w:rsidRDefault="005E5A10" w:rsidP="00AA7E7B">
            <w:pPr>
              <w:jc w:val="left"/>
              <w:rPr>
                <w:sz w:val="18"/>
                <w:szCs w:val="18"/>
              </w:rPr>
            </w:pPr>
            <w:r w:rsidRPr="00C35CA8">
              <w:rPr>
                <w:sz w:val="18"/>
                <w:szCs w:val="18"/>
              </w:rPr>
              <w:t>APTP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6696E65" w14:textId="77777777" w:rsidR="005E5A10" w:rsidRPr="00C35CA8" w:rsidRDefault="005E5A10" w:rsidP="00AA7E7B">
            <w:pPr>
              <w:jc w:val="left"/>
              <w:rPr>
                <w:sz w:val="18"/>
                <w:szCs w:val="18"/>
              </w:rPr>
            </w:pPr>
            <w:r w:rsidRPr="00C35CA8">
              <w:rPr>
                <w:sz w:val="18"/>
                <w:szCs w:val="18"/>
              </w:rPr>
              <w:t>aktívna politika trhu práce</w:t>
            </w:r>
          </w:p>
        </w:tc>
      </w:tr>
      <w:tr w:rsidR="00DA3889" w:rsidRPr="00C35CA8" w14:paraId="5F1D4AD1"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294A2444" w14:textId="77777777" w:rsidR="00DA3889" w:rsidRPr="00C35CA8" w:rsidRDefault="00DA3889" w:rsidP="00AA7E7B">
            <w:pPr>
              <w:jc w:val="left"/>
              <w:rPr>
                <w:sz w:val="18"/>
                <w:szCs w:val="18"/>
              </w:rPr>
            </w:pPr>
            <w:r w:rsidRPr="00C35CA8">
              <w:rPr>
                <w:sz w:val="18"/>
                <w:szCs w:val="18"/>
              </w:rPr>
              <w:t>ADZ</w:t>
            </w:r>
          </w:p>
        </w:tc>
        <w:tc>
          <w:tcPr>
            <w:tcW w:w="7229" w:type="dxa"/>
            <w:tcBorders>
              <w:top w:val="single" w:sz="4" w:space="0" w:color="auto"/>
              <w:left w:val="single" w:sz="4" w:space="0" w:color="auto"/>
              <w:bottom w:val="single" w:sz="4" w:space="0" w:color="auto"/>
              <w:right w:val="single" w:sz="4" w:space="0" w:color="auto"/>
            </w:tcBorders>
            <w:noWrap/>
            <w:vAlign w:val="center"/>
          </w:tcPr>
          <w:p w14:paraId="1C5E0CC9" w14:textId="77777777" w:rsidR="00DA3889" w:rsidRPr="00C35CA8" w:rsidRDefault="00DA3889" w:rsidP="00AA7E7B">
            <w:pPr>
              <w:jc w:val="left"/>
              <w:rPr>
                <w:sz w:val="18"/>
                <w:szCs w:val="18"/>
              </w:rPr>
            </w:pPr>
            <w:r w:rsidRPr="00C35CA8">
              <w:rPr>
                <w:sz w:val="18"/>
                <w:szCs w:val="18"/>
              </w:rPr>
              <w:t>agentúra dočasného zamestnávania</w:t>
            </w:r>
          </w:p>
        </w:tc>
      </w:tr>
      <w:tr w:rsidR="00966BB0" w:rsidRPr="00C35CA8" w14:paraId="236DC8B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1CC1EED" w14:textId="77777777" w:rsidR="00966BB0" w:rsidRPr="00C35CA8" w:rsidRDefault="00966BB0" w:rsidP="00AA7E7B">
            <w:pPr>
              <w:jc w:val="left"/>
              <w:rPr>
                <w:sz w:val="18"/>
                <w:szCs w:val="18"/>
              </w:rPr>
            </w:pPr>
            <w:r w:rsidRPr="00C35CA8">
              <w:rPr>
                <w:sz w:val="18"/>
                <w:szCs w:val="18"/>
              </w:rPr>
              <w:t>AP</w:t>
            </w:r>
          </w:p>
        </w:tc>
        <w:tc>
          <w:tcPr>
            <w:tcW w:w="7229" w:type="dxa"/>
            <w:tcBorders>
              <w:top w:val="single" w:sz="4" w:space="0" w:color="auto"/>
              <w:left w:val="single" w:sz="4" w:space="0" w:color="auto"/>
              <w:bottom w:val="single" w:sz="4" w:space="0" w:color="auto"/>
              <w:right w:val="single" w:sz="4" w:space="0" w:color="auto"/>
            </w:tcBorders>
            <w:noWrap/>
            <w:vAlign w:val="center"/>
          </w:tcPr>
          <w:p w14:paraId="0ECB2C43" w14:textId="77777777" w:rsidR="00966BB0" w:rsidRPr="00C35CA8" w:rsidRDefault="00966BB0" w:rsidP="00AA7E7B">
            <w:pPr>
              <w:jc w:val="left"/>
              <w:rPr>
                <w:sz w:val="18"/>
                <w:szCs w:val="18"/>
              </w:rPr>
            </w:pPr>
            <w:r w:rsidRPr="00C35CA8">
              <w:rPr>
                <w:sz w:val="18"/>
                <w:szCs w:val="18"/>
              </w:rPr>
              <w:t>absolventská prax</w:t>
            </w:r>
          </w:p>
        </w:tc>
      </w:tr>
      <w:tr w:rsidR="005E5A10" w:rsidRPr="00C35CA8" w14:paraId="0283797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5BA75DD" w14:textId="77777777" w:rsidR="005E5A10" w:rsidRPr="00C35CA8" w:rsidRDefault="005E5A10" w:rsidP="00AA7E7B">
            <w:pPr>
              <w:jc w:val="left"/>
              <w:rPr>
                <w:sz w:val="18"/>
                <w:szCs w:val="18"/>
              </w:rPr>
            </w:pPr>
            <w:r w:rsidRPr="00C35CA8">
              <w:rPr>
                <w:sz w:val="18"/>
                <w:szCs w:val="18"/>
              </w:rPr>
              <w:t>APZ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D488783" w14:textId="77777777" w:rsidR="005E5A10" w:rsidRPr="00C35CA8" w:rsidRDefault="005E5A10" w:rsidP="00AA7E7B">
            <w:pPr>
              <w:jc w:val="left"/>
              <w:rPr>
                <w:sz w:val="18"/>
                <w:szCs w:val="18"/>
              </w:rPr>
            </w:pPr>
            <w:r w:rsidRPr="00C35CA8">
              <w:rPr>
                <w:sz w:val="18"/>
                <w:szCs w:val="18"/>
              </w:rPr>
              <w:t>agentúra podporovaného zamestnávania</w:t>
            </w:r>
          </w:p>
        </w:tc>
      </w:tr>
      <w:tr w:rsidR="005E5A10" w:rsidRPr="00C35CA8" w14:paraId="5DDCAFA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8D7B203" w14:textId="77777777" w:rsidR="005E5A10" w:rsidRPr="00C35CA8" w:rsidRDefault="005E5A10" w:rsidP="00AA7E7B">
            <w:pPr>
              <w:jc w:val="left"/>
              <w:rPr>
                <w:sz w:val="18"/>
                <w:szCs w:val="18"/>
              </w:rPr>
            </w:pPr>
            <w:r w:rsidRPr="00C35CA8">
              <w:rPr>
                <w:sz w:val="18"/>
                <w:szCs w:val="18"/>
              </w:rPr>
              <w:t>BI</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5D4C028" w14:textId="77777777" w:rsidR="005E5A10" w:rsidRPr="00C35CA8" w:rsidRDefault="005E5A10" w:rsidP="00AA7E7B">
            <w:pPr>
              <w:jc w:val="left"/>
              <w:rPr>
                <w:sz w:val="18"/>
                <w:szCs w:val="18"/>
              </w:rPr>
            </w:pPr>
            <w:r w:rsidRPr="00C35CA8">
              <w:rPr>
                <w:sz w:val="18"/>
                <w:szCs w:val="18"/>
              </w:rPr>
              <w:t>burza informácií</w:t>
            </w:r>
          </w:p>
        </w:tc>
      </w:tr>
      <w:tr w:rsidR="005E5A10" w:rsidRPr="00C35CA8" w14:paraId="14C4EAC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64BE1F3" w14:textId="77777777" w:rsidR="005E5A10" w:rsidRPr="00C35CA8" w:rsidRDefault="005E5A10" w:rsidP="00AA7E7B">
            <w:pPr>
              <w:jc w:val="left"/>
              <w:rPr>
                <w:sz w:val="18"/>
                <w:szCs w:val="18"/>
              </w:rPr>
            </w:pPr>
            <w:r w:rsidRPr="00C35CA8">
              <w:rPr>
                <w:sz w:val="18"/>
                <w:szCs w:val="18"/>
              </w:rPr>
              <w:t>BP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8281545" w14:textId="77777777" w:rsidR="005E5A10" w:rsidRPr="00C35CA8" w:rsidRDefault="005E5A10" w:rsidP="00AA7E7B">
            <w:pPr>
              <w:jc w:val="left"/>
              <w:rPr>
                <w:sz w:val="18"/>
                <w:szCs w:val="18"/>
              </w:rPr>
            </w:pPr>
            <w:r w:rsidRPr="00C35CA8">
              <w:rPr>
                <w:sz w:val="18"/>
                <w:szCs w:val="18"/>
              </w:rPr>
              <w:t>burza práce</w:t>
            </w:r>
          </w:p>
        </w:tc>
      </w:tr>
      <w:tr w:rsidR="005E5A10" w:rsidRPr="00C35CA8" w14:paraId="2B32987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16FD804" w14:textId="77777777" w:rsidR="005E5A10" w:rsidRPr="00C35CA8" w:rsidRDefault="005E5A10" w:rsidP="00AA7E7B">
            <w:pPr>
              <w:jc w:val="left"/>
              <w:rPr>
                <w:sz w:val="18"/>
                <w:szCs w:val="18"/>
              </w:rPr>
            </w:pPr>
            <w:r w:rsidRPr="00C35CA8">
              <w:rPr>
                <w:sz w:val="18"/>
                <w:szCs w:val="18"/>
              </w:rPr>
              <w:t>BPaI</w:t>
            </w:r>
          </w:p>
        </w:tc>
        <w:tc>
          <w:tcPr>
            <w:tcW w:w="7229" w:type="dxa"/>
            <w:tcBorders>
              <w:top w:val="single" w:sz="4" w:space="0" w:color="auto"/>
              <w:left w:val="single" w:sz="4" w:space="0" w:color="auto"/>
              <w:bottom w:val="single" w:sz="4" w:space="0" w:color="auto"/>
              <w:right w:val="single" w:sz="4" w:space="0" w:color="auto"/>
            </w:tcBorders>
            <w:noWrap/>
            <w:vAlign w:val="center"/>
          </w:tcPr>
          <w:p w14:paraId="1ABEF7BC" w14:textId="77777777" w:rsidR="005E5A10" w:rsidRPr="00C35CA8" w:rsidRDefault="005E5A10" w:rsidP="00AA7E7B">
            <w:pPr>
              <w:jc w:val="left"/>
              <w:rPr>
                <w:sz w:val="18"/>
                <w:szCs w:val="18"/>
              </w:rPr>
            </w:pPr>
            <w:r w:rsidRPr="00C35CA8">
              <w:rPr>
                <w:sz w:val="18"/>
                <w:szCs w:val="18"/>
              </w:rPr>
              <w:t>burzy práce a informácií</w:t>
            </w:r>
          </w:p>
        </w:tc>
      </w:tr>
      <w:tr w:rsidR="00EC5594" w:rsidRPr="00C35CA8" w14:paraId="2A093B2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F0F539C" w14:textId="77777777" w:rsidR="00EC5594" w:rsidRPr="00C35CA8" w:rsidRDefault="00EC5594" w:rsidP="00AA7E7B">
            <w:pPr>
              <w:jc w:val="left"/>
              <w:rPr>
                <w:sz w:val="18"/>
                <w:szCs w:val="18"/>
              </w:rPr>
            </w:pPr>
            <w:r w:rsidRPr="00C35CA8">
              <w:rPr>
                <w:sz w:val="18"/>
                <w:szCs w:val="18"/>
              </w:rPr>
              <w:t>BSK</w:t>
            </w:r>
          </w:p>
        </w:tc>
        <w:tc>
          <w:tcPr>
            <w:tcW w:w="7229" w:type="dxa"/>
            <w:tcBorders>
              <w:top w:val="single" w:sz="4" w:space="0" w:color="auto"/>
              <w:left w:val="single" w:sz="4" w:space="0" w:color="auto"/>
              <w:bottom w:val="single" w:sz="4" w:space="0" w:color="auto"/>
              <w:right w:val="single" w:sz="4" w:space="0" w:color="auto"/>
            </w:tcBorders>
            <w:noWrap/>
            <w:vAlign w:val="center"/>
          </w:tcPr>
          <w:p w14:paraId="1A076DBA" w14:textId="77777777" w:rsidR="00EC5594" w:rsidRPr="00C35CA8" w:rsidRDefault="00EC5594" w:rsidP="00AA7E7B">
            <w:pPr>
              <w:jc w:val="left"/>
              <w:rPr>
                <w:sz w:val="18"/>
                <w:szCs w:val="18"/>
              </w:rPr>
            </w:pPr>
            <w:r w:rsidRPr="00C35CA8">
              <w:rPr>
                <w:sz w:val="18"/>
                <w:szCs w:val="18"/>
              </w:rPr>
              <w:t>Bratislavský samosprávny kraj</w:t>
            </w:r>
          </w:p>
        </w:tc>
      </w:tr>
      <w:tr w:rsidR="00966BB0" w:rsidRPr="00C35CA8" w14:paraId="4ADFC0C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F303FE8" w14:textId="77777777" w:rsidR="00966BB0" w:rsidRPr="00C35CA8" w:rsidRDefault="00966BB0" w:rsidP="00AA7E7B">
            <w:pPr>
              <w:jc w:val="left"/>
              <w:rPr>
                <w:sz w:val="18"/>
                <w:szCs w:val="18"/>
              </w:rPr>
            </w:pPr>
            <w:r w:rsidRPr="00C35CA8">
              <w:rPr>
                <w:sz w:val="18"/>
                <w:szCs w:val="18"/>
              </w:rPr>
              <w:t>CCP</w:t>
            </w:r>
          </w:p>
        </w:tc>
        <w:tc>
          <w:tcPr>
            <w:tcW w:w="7229" w:type="dxa"/>
            <w:tcBorders>
              <w:top w:val="single" w:sz="4" w:space="0" w:color="auto"/>
              <w:left w:val="single" w:sz="4" w:space="0" w:color="auto"/>
              <w:bottom w:val="single" w:sz="4" w:space="0" w:color="auto"/>
              <w:right w:val="single" w:sz="4" w:space="0" w:color="auto"/>
            </w:tcBorders>
            <w:noWrap/>
            <w:vAlign w:val="center"/>
          </w:tcPr>
          <w:p w14:paraId="39108C36" w14:textId="77777777" w:rsidR="00966BB0" w:rsidRPr="00C35CA8" w:rsidRDefault="00966BB0" w:rsidP="00AA7E7B">
            <w:pPr>
              <w:jc w:val="left"/>
              <w:rPr>
                <w:sz w:val="18"/>
                <w:szCs w:val="18"/>
              </w:rPr>
            </w:pPr>
            <w:r w:rsidRPr="00C35CA8">
              <w:rPr>
                <w:sz w:val="18"/>
                <w:szCs w:val="18"/>
              </w:rPr>
              <w:t>celková cena práce</w:t>
            </w:r>
          </w:p>
        </w:tc>
      </w:tr>
      <w:tr w:rsidR="000A1DEB" w:rsidRPr="00C35CA8" w14:paraId="4B1DB49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4F40909" w14:textId="77777777" w:rsidR="000A1DEB" w:rsidRPr="00C35CA8" w:rsidRDefault="000A1DEB" w:rsidP="00AA7E7B">
            <w:pPr>
              <w:jc w:val="left"/>
              <w:rPr>
                <w:sz w:val="18"/>
                <w:szCs w:val="18"/>
              </w:rPr>
            </w:pPr>
            <w:r w:rsidRPr="00C35CA8">
              <w:rPr>
                <w:sz w:val="18"/>
                <w:szCs w:val="18"/>
              </w:rPr>
              <w:t>ČR</w:t>
            </w:r>
          </w:p>
        </w:tc>
        <w:tc>
          <w:tcPr>
            <w:tcW w:w="7229" w:type="dxa"/>
            <w:tcBorders>
              <w:top w:val="single" w:sz="4" w:space="0" w:color="auto"/>
              <w:left w:val="single" w:sz="4" w:space="0" w:color="auto"/>
              <w:bottom w:val="single" w:sz="4" w:space="0" w:color="auto"/>
              <w:right w:val="single" w:sz="4" w:space="0" w:color="auto"/>
            </w:tcBorders>
            <w:noWrap/>
            <w:vAlign w:val="center"/>
          </w:tcPr>
          <w:p w14:paraId="210B5738" w14:textId="77777777" w:rsidR="000A1DEB" w:rsidRPr="00C35CA8" w:rsidRDefault="000A1DEB" w:rsidP="00AA7E7B">
            <w:pPr>
              <w:jc w:val="left"/>
              <w:rPr>
                <w:sz w:val="18"/>
                <w:szCs w:val="18"/>
              </w:rPr>
            </w:pPr>
            <w:r w:rsidRPr="00C35CA8">
              <w:rPr>
                <w:sz w:val="18"/>
                <w:szCs w:val="18"/>
              </w:rPr>
              <w:t>Česká republika</w:t>
            </w:r>
          </w:p>
        </w:tc>
      </w:tr>
      <w:tr w:rsidR="00EA0A01" w:rsidRPr="00C35CA8" w14:paraId="0BB34E9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DA6F0DB" w14:textId="77777777" w:rsidR="00EA0A01" w:rsidRPr="00C35CA8" w:rsidRDefault="00EA0A01" w:rsidP="00AA7E7B">
            <w:pPr>
              <w:jc w:val="left"/>
              <w:rPr>
                <w:sz w:val="18"/>
                <w:szCs w:val="18"/>
              </w:rPr>
            </w:pPr>
            <w:r w:rsidRPr="00C35CA8">
              <w:rPr>
                <w:sz w:val="18"/>
                <w:szCs w:val="18"/>
              </w:rPr>
              <w:t>DEN</w:t>
            </w:r>
          </w:p>
        </w:tc>
        <w:tc>
          <w:tcPr>
            <w:tcW w:w="7229" w:type="dxa"/>
            <w:tcBorders>
              <w:top w:val="single" w:sz="4" w:space="0" w:color="auto"/>
              <w:left w:val="single" w:sz="4" w:space="0" w:color="auto"/>
              <w:bottom w:val="single" w:sz="4" w:space="0" w:color="auto"/>
              <w:right w:val="single" w:sz="4" w:space="0" w:color="auto"/>
            </w:tcBorders>
            <w:noWrap/>
            <w:vAlign w:val="center"/>
          </w:tcPr>
          <w:p w14:paraId="1872EB23" w14:textId="77777777" w:rsidR="00EA0A01" w:rsidRPr="00C35CA8" w:rsidRDefault="00EA0A01" w:rsidP="00AA7E7B">
            <w:pPr>
              <w:jc w:val="left"/>
              <w:rPr>
                <w:sz w:val="18"/>
                <w:szCs w:val="18"/>
              </w:rPr>
            </w:pPr>
            <w:r w:rsidRPr="00C35CA8">
              <w:rPr>
                <w:sz w:val="18"/>
                <w:szCs w:val="18"/>
              </w:rPr>
              <w:t>dlhodobo nezamestnaný občan</w:t>
            </w:r>
          </w:p>
        </w:tc>
      </w:tr>
      <w:tr w:rsidR="005E5A10" w:rsidRPr="00C35CA8" w14:paraId="6C10229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8D9FAFF" w14:textId="77777777" w:rsidR="005E5A10" w:rsidRPr="00C35CA8" w:rsidRDefault="005E5A10" w:rsidP="00AA7E7B">
            <w:pPr>
              <w:jc w:val="left"/>
              <w:rPr>
                <w:sz w:val="18"/>
                <w:szCs w:val="18"/>
              </w:rPr>
            </w:pPr>
            <w:r w:rsidRPr="00C35CA8">
              <w:rPr>
                <w:sz w:val="18"/>
                <w:szCs w:val="18"/>
              </w:rPr>
              <w:t>DNO</w:t>
            </w:r>
          </w:p>
        </w:tc>
        <w:tc>
          <w:tcPr>
            <w:tcW w:w="7229" w:type="dxa"/>
            <w:tcBorders>
              <w:top w:val="single" w:sz="4" w:space="0" w:color="auto"/>
              <w:left w:val="single" w:sz="4" w:space="0" w:color="auto"/>
              <w:bottom w:val="single" w:sz="4" w:space="0" w:color="auto"/>
              <w:right w:val="single" w:sz="4" w:space="0" w:color="auto"/>
            </w:tcBorders>
            <w:noWrap/>
            <w:vAlign w:val="center"/>
          </w:tcPr>
          <w:p w14:paraId="5D7EFF2C" w14:textId="77777777" w:rsidR="005E5A10" w:rsidRPr="00C35CA8" w:rsidRDefault="005E5A10" w:rsidP="00AA7E7B">
            <w:pPr>
              <w:jc w:val="left"/>
              <w:rPr>
                <w:sz w:val="18"/>
                <w:szCs w:val="18"/>
              </w:rPr>
            </w:pPr>
            <w:r w:rsidRPr="00C35CA8">
              <w:rPr>
                <w:sz w:val="18"/>
                <w:szCs w:val="18"/>
              </w:rPr>
              <w:t>dlhodobo nezamestnaný občan</w:t>
            </w:r>
          </w:p>
        </w:tc>
      </w:tr>
      <w:tr w:rsidR="00DA3889" w:rsidRPr="00C35CA8" w14:paraId="6F8AE0C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20C9C87" w14:textId="77777777" w:rsidR="00DA3889" w:rsidRPr="00C35CA8" w:rsidRDefault="00DA3889" w:rsidP="00AA7E7B">
            <w:pPr>
              <w:jc w:val="left"/>
              <w:rPr>
                <w:sz w:val="18"/>
                <w:szCs w:val="18"/>
              </w:rPr>
            </w:pPr>
            <w:r w:rsidRPr="00C35CA8">
              <w:rPr>
                <w:sz w:val="18"/>
                <w:szCs w:val="18"/>
              </w:rPr>
              <w:t>DN UoZ</w:t>
            </w:r>
          </w:p>
        </w:tc>
        <w:tc>
          <w:tcPr>
            <w:tcW w:w="7229" w:type="dxa"/>
            <w:tcBorders>
              <w:top w:val="single" w:sz="4" w:space="0" w:color="auto"/>
              <w:left w:val="single" w:sz="4" w:space="0" w:color="auto"/>
              <w:bottom w:val="single" w:sz="4" w:space="0" w:color="auto"/>
              <w:right w:val="single" w:sz="4" w:space="0" w:color="auto"/>
            </w:tcBorders>
            <w:noWrap/>
            <w:vAlign w:val="center"/>
          </w:tcPr>
          <w:p w14:paraId="78DDC992" w14:textId="77777777" w:rsidR="00DA3889" w:rsidRPr="00C35CA8" w:rsidRDefault="00DA3889" w:rsidP="00AA7E7B">
            <w:pPr>
              <w:jc w:val="left"/>
              <w:rPr>
                <w:sz w:val="18"/>
                <w:szCs w:val="18"/>
              </w:rPr>
            </w:pPr>
            <w:r w:rsidRPr="00C35CA8">
              <w:rPr>
                <w:sz w:val="18"/>
                <w:szCs w:val="18"/>
              </w:rPr>
              <w:t>dlhodobo nezamestnaný uchádzač o zamestnanie</w:t>
            </w:r>
          </w:p>
        </w:tc>
      </w:tr>
      <w:tr w:rsidR="00966BB0" w:rsidRPr="00C35CA8" w14:paraId="20AAFFA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DDDD3C9" w14:textId="77777777" w:rsidR="00966BB0" w:rsidRPr="00C35CA8" w:rsidRDefault="00966BB0" w:rsidP="00AA7E7B">
            <w:pPr>
              <w:jc w:val="left"/>
              <w:rPr>
                <w:sz w:val="18"/>
                <w:szCs w:val="18"/>
              </w:rPr>
            </w:pPr>
            <w:r w:rsidRPr="00C35CA8">
              <w:rPr>
                <w:sz w:val="18"/>
                <w:szCs w:val="18"/>
              </w:rPr>
              <w:t>DS</w:t>
            </w:r>
          </w:p>
        </w:tc>
        <w:tc>
          <w:tcPr>
            <w:tcW w:w="7229" w:type="dxa"/>
            <w:tcBorders>
              <w:top w:val="single" w:sz="4" w:space="0" w:color="auto"/>
              <w:left w:val="single" w:sz="4" w:space="0" w:color="auto"/>
              <w:bottom w:val="single" w:sz="4" w:space="0" w:color="auto"/>
              <w:right w:val="single" w:sz="4" w:space="0" w:color="auto"/>
            </w:tcBorders>
            <w:noWrap/>
            <w:vAlign w:val="center"/>
          </w:tcPr>
          <w:p w14:paraId="0212A75B" w14:textId="77777777" w:rsidR="00966BB0" w:rsidRPr="00C35CA8" w:rsidRDefault="00966BB0" w:rsidP="00AA7E7B">
            <w:pPr>
              <w:jc w:val="left"/>
              <w:rPr>
                <w:sz w:val="18"/>
                <w:szCs w:val="18"/>
              </w:rPr>
            </w:pPr>
            <w:r w:rsidRPr="00C35CA8">
              <w:rPr>
                <w:sz w:val="18"/>
                <w:szCs w:val="18"/>
              </w:rPr>
              <w:t>dobrovoľnícka služba</w:t>
            </w:r>
          </w:p>
        </w:tc>
      </w:tr>
      <w:tr w:rsidR="005E5A10" w:rsidRPr="00C35CA8" w14:paraId="73A0EE80"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B1ED9AD" w14:textId="77777777" w:rsidR="005E5A10" w:rsidRPr="00C35CA8" w:rsidRDefault="005E5A10" w:rsidP="00AA7E7B">
            <w:pPr>
              <w:jc w:val="left"/>
              <w:rPr>
                <w:sz w:val="18"/>
                <w:szCs w:val="18"/>
              </w:rPr>
            </w:pPr>
            <w:r w:rsidRPr="00C35CA8">
              <w:rPr>
                <w:sz w:val="18"/>
                <w:szCs w:val="18"/>
              </w:rPr>
              <w:t>EHP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991A62D" w14:textId="0D2573E9" w:rsidR="005E5A10" w:rsidRPr="00C35CA8" w:rsidRDefault="002E2CAC" w:rsidP="00AA7E7B">
            <w:pPr>
              <w:jc w:val="left"/>
              <w:rPr>
                <w:sz w:val="18"/>
                <w:szCs w:val="18"/>
              </w:rPr>
            </w:pPr>
            <w:r>
              <w:rPr>
                <w:sz w:val="18"/>
                <w:szCs w:val="18"/>
              </w:rPr>
              <w:t>eur</w:t>
            </w:r>
            <w:r w:rsidR="005E5A10" w:rsidRPr="00C35CA8">
              <w:rPr>
                <w:sz w:val="18"/>
                <w:szCs w:val="18"/>
              </w:rPr>
              <w:t>ópsky hospodársky priestor</w:t>
            </w:r>
          </w:p>
        </w:tc>
      </w:tr>
      <w:tr w:rsidR="005E5A10" w:rsidRPr="00C35CA8" w14:paraId="33D0E0F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FEAA2C0" w14:textId="77777777" w:rsidR="005E5A10" w:rsidRPr="00C35CA8" w:rsidRDefault="005E5A10" w:rsidP="00AA7E7B">
            <w:pPr>
              <w:jc w:val="left"/>
              <w:rPr>
                <w:sz w:val="18"/>
                <w:szCs w:val="18"/>
              </w:rPr>
            </w:pPr>
            <w:r w:rsidRPr="00C35CA8">
              <w:rPr>
                <w:sz w:val="18"/>
                <w:szCs w:val="18"/>
              </w:rPr>
              <w:t>ES</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772A27F" w14:textId="5450AEB7" w:rsidR="005E5A10" w:rsidRPr="00C35CA8" w:rsidRDefault="002E2CAC" w:rsidP="00AA7E7B">
            <w:pPr>
              <w:jc w:val="left"/>
              <w:rPr>
                <w:sz w:val="18"/>
                <w:szCs w:val="18"/>
              </w:rPr>
            </w:pPr>
            <w:r>
              <w:rPr>
                <w:sz w:val="18"/>
                <w:szCs w:val="18"/>
              </w:rPr>
              <w:t>Eur</w:t>
            </w:r>
            <w:r w:rsidR="005E5A10" w:rsidRPr="00C35CA8">
              <w:rPr>
                <w:sz w:val="18"/>
                <w:szCs w:val="18"/>
              </w:rPr>
              <w:t>ópske spoločenstvo</w:t>
            </w:r>
          </w:p>
        </w:tc>
      </w:tr>
      <w:tr w:rsidR="005E5A10" w:rsidRPr="00C35CA8" w14:paraId="706CFBB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F54379A" w14:textId="77777777" w:rsidR="005E5A10" w:rsidRPr="00C35CA8" w:rsidRDefault="005E5A10" w:rsidP="00AA7E7B">
            <w:pPr>
              <w:jc w:val="left"/>
              <w:rPr>
                <w:sz w:val="18"/>
                <w:szCs w:val="18"/>
              </w:rPr>
            </w:pPr>
            <w:r w:rsidRPr="00C35CA8">
              <w:rPr>
                <w:sz w:val="18"/>
                <w:szCs w:val="18"/>
              </w:rPr>
              <w:t>ESF</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CE60C27" w14:textId="092C649F" w:rsidR="005E5A10" w:rsidRPr="00C35CA8" w:rsidRDefault="002E2CAC" w:rsidP="00AA7E7B">
            <w:pPr>
              <w:jc w:val="left"/>
              <w:rPr>
                <w:sz w:val="18"/>
                <w:szCs w:val="18"/>
              </w:rPr>
            </w:pPr>
            <w:r>
              <w:rPr>
                <w:sz w:val="18"/>
                <w:szCs w:val="18"/>
              </w:rPr>
              <w:t>Eur</w:t>
            </w:r>
            <w:r w:rsidR="005E5A10" w:rsidRPr="00C35CA8">
              <w:rPr>
                <w:sz w:val="18"/>
                <w:szCs w:val="18"/>
              </w:rPr>
              <w:t>ópsky sociálny fond</w:t>
            </w:r>
          </w:p>
        </w:tc>
      </w:tr>
      <w:tr w:rsidR="005E5A10" w:rsidRPr="00C35CA8" w14:paraId="3A2F5FE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2001D3F5" w14:textId="6A5A0EDC" w:rsidR="005E5A10" w:rsidRPr="00C35CA8" w:rsidRDefault="00AC5AC2" w:rsidP="00AA7E7B">
            <w:pPr>
              <w:jc w:val="left"/>
              <w:rPr>
                <w:sz w:val="18"/>
                <w:szCs w:val="18"/>
              </w:rPr>
            </w:pPr>
            <w:r>
              <w:rPr>
                <w:sz w:val="18"/>
                <w:szCs w:val="18"/>
              </w:rPr>
              <w:t>eur</w:t>
            </w:r>
            <w:r w:rsidR="005E5A10" w:rsidRPr="00C35CA8">
              <w:rPr>
                <w:sz w:val="18"/>
                <w:szCs w:val="18"/>
              </w:rPr>
              <w:t>ES</w:t>
            </w:r>
          </w:p>
        </w:tc>
        <w:tc>
          <w:tcPr>
            <w:tcW w:w="7229" w:type="dxa"/>
            <w:tcBorders>
              <w:top w:val="single" w:sz="4" w:space="0" w:color="auto"/>
              <w:left w:val="single" w:sz="4" w:space="0" w:color="auto"/>
              <w:bottom w:val="single" w:sz="4" w:space="0" w:color="auto"/>
              <w:right w:val="single" w:sz="4" w:space="0" w:color="auto"/>
            </w:tcBorders>
            <w:noWrap/>
            <w:vAlign w:val="center"/>
          </w:tcPr>
          <w:p w14:paraId="012D1947" w14:textId="1B1004F0" w:rsidR="005E5A10" w:rsidRPr="00C35CA8" w:rsidRDefault="002E2CAC" w:rsidP="00AA7E7B">
            <w:pPr>
              <w:jc w:val="left"/>
              <w:rPr>
                <w:sz w:val="18"/>
                <w:szCs w:val="18"/>
              </w:rPr>
            </w:pPr>
            <w:r>
              <w:rPr>
                <w:sz w:val="18"/>
                <w:szCs w:val="18"/>
              </w:rPr>
              <w:t>Eur</w:t>
            </w:r>
            <w:r w:rsidR="005E5A10" w:rsidRPr="00C35CA8">
              <w:rPr>
                <w:sz w:val="18"/>
                <w:szCs w:val="18"/>
              </w:rPr>
              <w:t>ópske služby zamestnanosti</w:t>
            </w:r>
          </w:p>
        </w:tc>
      </w:tr>
      <w:tr w:rsidR="005E5A10" w:rsidRPr="00C35CA8" w14:paraId="60175BB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67F1A14" w14:textId="77777777" w:rsidR="005E5A10" w:rsidRPr="00C35CA8" w:rsidRDefault="005E5A10" w:rsidP="00AA7E7B">
            <w:pPr>
              <w:jc w:val="left"/>
              <w:rPr>
                <w:sz w:val="18"/>
                <w:szCs w:val="18"/>
              </w:rPr>
            </w:pPr>
            <w:r w:rsidRPr="00C35CA8">
              <w:rPr>
                <w:sz w:val="18"/>
                <w:szCs w:val="18"/>
              </w:rPr>
              <w:t>EÚ</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5184B8F" w14:textId="461DF455" w:rsidR="005E5A10" w:rsidRPr="00C35CA8" w:rsidRDefault="002E2CAC" w:rsidP="00AA7E7B">
            <w:pPr>
              <w:jc w:val="left"/>
              <w:rPr>
                <w:sz w:val="18"/>
                <w:szCs w:val="18"/>
              </w:rPr>
            </w:pPr>
            <w:r>
              <w:rPr>
                <w:sz w:val="18"/>
                <w:szCs w:val="18"/>
              </w:rPr>
              <w:t>Eur</w:t>
            </w:r>
            <w:r w:rsidR="005E5A10" w:rsidRPr="00C35CA8">
              <w:rPr>
                <w:sz w:val="18"/>
                <w:szCs w:val="18"/>
              </w:rPr>
              <w:t>ópska únia</w:t>
            </w:r>
          </w:p>
        </w:tc>
      </w:tr>
      <w:tr w:rsidR="00B93629" w:rsidRPr="00C35CA8" w14:paraId="4006891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B25EF6A" w14:textId="51C3ED3C" w:rsidR="00B93629" w:rsidRPr="00C35CA8" w:rsidRDefault="00E23598" w:rsidP="00AA7E7B">
            <w:pPr>
              <w:jc w:val="left"/>
              <w:rPr>
                <w:sz w:val="18"/>
                <w:szCs w:val="18"/>
              </w:rPr>
            </w:pPr>
            <w:r>
              <w:rPr>
                <w:sz w:val="18"/>
                <w:szCs w:val="18"/>
              </w:rPr>
              <w:t>eur</w:t>
            </w:r>
            <w:r w:rsidR="00B93629" w:rsidRPr="00C35CA8">
              <w:rPr>
                <w:sz w:val="18"/>
                <w:szCs w:val="18"/>
              </w:rPr>
              <w:t>/</w:t>
            </w:r>
            <w:r w:rsidR="00AC5AC2">
              <w:rPr>
                <w:sz w:val="18"/>
                <w:szCs w:val="18"/>
              </w:rPr>
              <w:t>eur</w:t>
            </w:r>
            <w:r w:rsidR="00B93629" w:rsidRPr="00C35CA8">
              <w:rPr>
                <w:sz w:val="18"/>
                <w:szCs w:val="18"/>
              </w:rPr>
              <w:t>/</w:t>
            </w:r>
            <w:r w:rsidR="002E2CAC">
              <w:rPr>
                <w:sz w:val="18"/>
                <w:szCs w:val="18"/>
              </w:rPr>
              <w:t>eur</w:t>
            </w:r>
          </w:p>
        </w:tc>
        <w:tc>
          <w:tcPr>
            <w:tcW w:w="7229" w:type="dxa"/>
            <w:tcBorders>
              <w:top w:val="single" w:sz="4" w:space="0" w:color="auto"/>
              <w:left w:val="single" w:sz="4" w:space="0" w:color="auto"/>
              <w:bottom w:val="single" w:sz="4" w:space="0" w:color="auto"/>
              <w:right w:val="single" w:sz="4" w:space="0" w:color="auto"/>
            </w:tcBorders>
            <w:noWrap/>
            <w:vAlign w:val="center"/>
          </w:tcPr>
          <w:p w14:paraId="795EAC57" w14:textId="0DD2230E" w:rsidR="00B93629" w:rsidRPr="00C35CA8" w:rsidRDefault="00B93629" w:rsidP="00AA7E7B">
            <w:pPr>
              <w:jc w:val="left"/>
              <w:rPr>
                <w:sz w:val="18"/>
                <w:szCs w:val="18"/>
              </w:rPr>
            </w:pPr>
            <w:r w:rsidRPr="00C35CA8">
              <w:rPr>
                <w:sz w:val="18"/>
                <w:szCs w:val="18"/>
              </w:rPr>
              <w:t xml:space="preserve">mena </w:t>
            </w:r>
            <w:r w:rsidR="002E2CAC">
              <w:rPr>
                <w:sz w:val="18"/>
                <w:szCs w:val="18"/>
              </w:rPr>
              <w:t>eur</w:t>
            </w:r>
            <w:r w:rsidRPr="00C35CA8">
              <w:rPr>
                <w:sz w:val="18"/>
                <w:szCs w:val="18"/>
              </w:rPr>
              <w:t>o</w:t>
            </w:r>
          </w:p>
        </w:tc>
      </w:tr>
      <w:tr w:rsidR="005E5A10" w:rsidRPr="00C35CA8" w14:paraId="2BD8C37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5C6A241" w14:textId="77777777" w:rsidR="005E5A10" w:rsidRPr="00C35CA8" w:rsidRDefault="005E5A10" w:rsidP="00AA7E7B">
            <w:pPr>
              <w:jc w:val="left"/>
              <w:rPr>
                <w:sz w:val="18"/>
                <w:szCs w:val="18"/>
              </w:rPr>
            </w:pPr>
            <w:r w:rsidRPr="00C35CA8">
              <w:rPr>
                <w:sz w:val="18"/>
                <w:szCs w:val="18"/>
              </w:rPr>
              <w:t>FO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04B8276" w14:textId="77777777" w:rsidR="005E5A10" w:rsidRPr="00C35CA8" w:rsidRDefault="005E5A10" w:rsidP="00AA7E7B">
            <w:pPr>
              <w:jc w:val="left"/>
              <w:rPr>
                <w:sz w:val="18"/>
                <w:szCs w:val="18"/>
              </w:rPr>
            </w:pPr>
            <w:r w:rsidRPr="00C35CA8">
              <w:rPr>
                <w:sz w:val="18"/>
                <w:szCs w:val="18"/>
              </w:rPr>
              <w:t>fyzická osoba</w:t>
            </w:r>
          </w:p>
        </w:tc>
      </w:tr>
      <w:tr w:rsidR="005E5A10" w:rsidRPr="00C35CA8" w14:paraId="21B0932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5CF2A22" w14:textId="77777777" w:rsidR="005E5A10" w:rsidRPr="00C35CA8" w:rsidRDefault="005E5A10" w:rsidP="00AA7E7B">
            <w:pPr>
              <w:jc w:val="left"/>
              <w:rPr>
                <w:sz w:val="18"/>
                <w:szCs w:val="18"/>
              </w:rPr>
            </w:pPr>
            <w:r w:rsidRPr="00C35CA8">
              <w:rPr>
                <w:sz w:val="18"/>
                <w:szCs w:val="18"/>
              </w:rPr>
              <w:t>HDP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79030E4" w14:textId="77777777" w:rsidR="005E5A10" w:rsidRPr="00C35CA8" w:rsidRDefault="005E5A10" w:rsidP="00AA7E7B">
            <w:pPr>
              <w:jc w:val="left"/>
              <w:rPr>
                <w:sz w:val="18"/>
                <w:szCs w:val="18"/>
              </w:rPr>
            </w:pPr>
            <w:r w:rsidRPr="00C35CA8">
              <w:rPr>
                <w:sz w:val="18"/>
                <w:szCs w:val="18"/>
              </w:rPr>
              <w:t>hrubý domáci produkt</w:t>
            </w:r>
          </w:p>
        </w:tc>
      </w:tr>
      <w:tr w:rsidR="005E5A10" w:rsidRPr="00C35CA8" w14:paraId="45099D7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0A8129" w14:textId="77777777" w:rsidR="005E5A10" w:rsidRPr="00C35CA8" w:rsidRDefault="005E5A10" w:rsidP="00AA7E7B">
            <w:pPr>
              <w:jc w:val="left"/>
              <w:rPr>
                <w:sz w:val="18"/>
                <w:szCs w:val="18"/>
              </w:rPr>
            </w:pPr>
            <w:r w:rsidRPr="00C35CA8">
              <w:rPr>
                <w:sz w:val="18"/>
                <w:szCs w:val="18"/>
              </w:rPr>
              <w:t>HP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409BFA3" w14:textId="77777777" w:rsidR="005E5A10" w:rsidRPr="00C35CA8" w:rsidRDefault="005E5A10" w:rsidP="00AA7E7B">
            <w:pPr>
              <w:jc w:val="left"/>
              <w:rPr>
                <w:sz w:val="18"/>
                <w:szCs w:val="18"/>
              </w:rPr>
            </w:pPr>
            <w:r w:rsidRPr="00C35CA8">
              <w:rPr>
                <w:sz w:val="18"/>
                <w:szCs w:val="18"/>
              </w:rPr>
              <w:t>hromadné prepúšťanie</w:t>
            </w:r>
          </w:p>
        </w:tc>
      </w:tr>
      <w:tr w:rsidR="005E5A10" w:rsidRPr="00C35CA8" w14:paraId="63ADDBC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CEAC27D" w14:textId="77777777" w:rsidR="005E5A10" w:rsidRPr="00C35CA8" w:rsidRDefault="005E5A10" w:rsidP="00AA7E7B">
            <w:pPr>
              <w:jc w:val="left"/>
              <w:rPr>
                <w:sz w:val="18"/>
                <w:szCs w:val="18"/>
              </w:rPr>
            </w:pPr>
            <w:r w:rsidRPr="00C35CA8">
              <w:rPr>
                <w:sz w:val="18"/>
                <w:szCs w:val="18"/>
              </w:rPr>
              <w:t>CHP/CHD</w:t>
            </w:r>
          </w:p>
        </w:tc>
        <w:tc>
          <w:tcPr>
            <w:tcW w:w="7229" w:type="dxa"/>
            <w:tcBorders>
              <w:top w:val="single" w:sz="4" w:space="0" w:color="auto"/>
              <w:left w:val="single" w:sz="4" w:space="0" w:color="auto"/>
              <w:bottom w:val="single" w:sz="4" w:space="0" w:color="auto"/>
              <w:right w:val="single" w:sz="4" w:space="0" w:color="auto"/>
            </w:tcBorders>
            <w:noWrap/>
            <w:vAlign w:val="center"/>
          </w:tcPr>
          <w:p w14:paraId="7533EA3B" w14:textId="77777777" w:rsidR="005E5A10" w:rsidRPr="00C35CA8" w:rsidRDefault="005E5A10" w:rsidP="00AA7E7B">
            <w:pPr>
              <w:jc w:val="left"/>
              <w:rPr>
                <w:sz w:val="18"/>
                <w:szCs w:val="18"/>
              </w:rPr>
            </w:pPr>
            <w:r w:rsidRPr="00C35CA8">
              <w:rPr>
                <w:sz w:val="18"/>
                <w:szCs w:val="18"/>
              </w:rPr>
              <w:t>chránené pracovisko / chránená dielňa</w:t>
            </w:r>
          </w:p>
        </w:tc>
      </w:tr>
      <w:tr w:rsidR="005E5A10" w:rsidRPr="00C35CA8" w14:paraId="7F97E9A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FD67023" w14:textId="77777777" w:rsidR="005E5A10" w:rsidRPr="00C35CA8" w:rsidRDefault="005E5A10" w:rsidP="00AA7E7B">
            <w:pPr>
              <w:jc w:val="left"/>
              <w:rPr>
                <w:sz w:val="18"/>
                <w:szCs w:val="18"/>
              </w:rPr>
            </w:pPr>
            <w:r w:rsidRPr="00C35CA8">
              <w:rPr>
                <w:sz w:val="18"/>
                <w:szCs w:val="18"/>
              </w:rPr>
              <w:t>IAP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098C3B0" w14:textId="77777777" w:rsidR="005E5A10" w:rsidRPr="00C35CA8" w:rsidRDefault="005E5A10" w:rsidP="00AA7E7B">
            <w:pPr>
              <w:jc w:val="left"/>
              <w:rPr>
                <w:sz w:val="18"/>
                <w:szCs w:val="18"/>
              </w:rPr>
            </w:pPr>
            <w:r w:rsidRPr="00C35CA8">
              <w:rPr>
                <w:sz w:val="18"/>
                <w:szCs w:val="18"/>
              </w:rPr>
              <w:t>individuálny akčný plán</w:t>
            </w:r>
          </w:p>
        </w:tc>
      </w:tr>
      <w:tr w:rsidR="005E5A10" w:rsidRPr="00C35CA8" w14:paraId="116529B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1EBF77A" w14:textId="77777777" w:rsidR="005E5A10" w:rsidRPr="00C35CA8" w:rsidRDefault="005E5A10" w:rsidP="00AA7E7B">
            <w:pPr>
              <w:jc w:val="left"/>
              <w:rPr>
                <w:sz w:val="18"/>
                <w:szCs w:val="18"/>
              </w:rPr>
            </w:pPr>
            <w:r w:rsidRPr="00C35CA8">
              <w:rPr>
                <w:sz w:val="18"/>
                <w:szCs w:val="18"/>
              </w:rPr>
              <w:t>IaPS služby</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481C4BB" w14:textId="77777777" w:rsidR="005E5A10" w:rsidRPr="00C35CA8" w:rsidRDefault="005E5A10" w:rsidP="00AA7E7B">
            <w:pPr>
              <w:jc w:val="left"/>
              <w:rPr>
                <w:sz w:val="18"/>
                <w:szCs w:val="18"/>
              </w:rPr>
            </w:pPr>
            <w:r w:rsidRPr="00C35CA8">
              <w:rPr>
                <w:sz w:val="18"/>
                <w:szCs w:val="18"/>
              </w:rPr>
              <w:t>informačné a poradenské služby</w:t>
            </w:r>
          </w:p>
        </w:tc>
      </w:tr>
      <w:tr w:rsidR="00D928F5" w:rsidRPr="00C35CA8" w14:paraId="3D94166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0FEB5B6" w14:textId="77777777" w:rsidR="00D928F5" w:rsidRPr="00C35CA8" w:rsidRDefault="00D928F5" w:rsidP="00AA7E7B">
            <w:pPr>
              <w:jc w:val="left"/>
              <w:rPr>
                <w:sz w:val="18"/>
                <w:szCs w:val="18"/>
              </w:rPr>
            </w:pPr>
            <w:r w:rsidRPr="00C35CA8">
              <w:rPr>
                <w:sz w:val="18"/>
                <w:szCs w:val="18"/>
              </w:rPr>
              <w:t>IP</w:t>
            </w:r>
          </w:p>
        </w:tc>
        <w:tc>
          <w:tcPr>
            <w:tcW w:w="7229" w:type="dxa"/>
            <w:tcBorders>
              <w:top w:val="single" w:sz="4" w:space="0" w:color="auto"/>
              <w:left w:val="single" w:sz="4" w:space="0" w:color="auto"/>
              <w:bottom w:val="single" w:sz="4" w:space="0" w:color="auto"/>
              <w:right w:val="single" w:sz="4" w:space="0" w:color="auto"/>
            </w:tcBorders>
            <w:noWrap/>
            <w:vAlign w:val="center"/>
          </w:tcPr>
          <w:p w14:paraId="768DEB98" w14:textId="77777777" w:rsidR="00D928F5" w:rsidRPr="00C35CA8" w:rsidRDefault="00D928F5" w:rsidP="00AA7E7B">
            <w:pPr>
              <w:jc w:val="left"/>
              <w:rPr>
                <w:sz w:val="18"/>
                <w:szCs w:val="18"/>
              </w:rPr>
            </w:pPr>
            <w:r w:rsidRPr="00C35CA8">
              <w:rPr>
                <w:sz w:val="18"/>
                <w:szCs w:val="18"/>
              </w:rPr>
              <w:t>integračný podnik</w:t>
            </w:r>
          </w:p>
        </w:tc>
      </w:tr>
      <w:tr w:rsidR="005E5A10" w:rsidRPr="00C35CA8" w14:paraId="2F95BA3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52BAAA7" w14:textId="77777777" w:rsidR="005E5A10" w:rsidRPr="00C35CA8" w:rsidRDefault="005E5A10" w:rsidP="00AA7E7B">
            <w:pPr>
              <w:jc w:val="left"/>
              <w:rPr>
                <w:sz w:val="18"/>
                <w:szCs w:val="18"/>
              </w:rPr>
            </w:pPr>
            <w:r w:rsidRPr="00C35CA8">
              <w:rPr>
                <w:sz w:val="18"/>
                <w:szCs w:val="18"/>
              </w:rPr>
              <w:t>IPS</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73ECEF1" w14:textId="77777777" w:rsidR="005E5A10" w:rsidRPr="00C35CA8" w:rsidRDefault="005E5A10" w:rsidP="00AA7E7B">
            <w:pPr>
              <w:jc w:val="left"/>
              <w:rPr>
                <w:sz w:val="18"/>
                <w:szCs w:val="18"/>
              </w:rPr>
            </w:pPr>
            <w:r w:rsidRPr="00C35CA8">
              <w:rPr>
                <w:sz w:val="18"/>
                <w:szCs w:val="18"/>
              </w:rPr>
              <w:t>informačno – poradenské stredisko</w:t>
            </w:r>
          </w:p>
        </w:tc>
      </w:tr>
      <w:tr w:rsidR="005E5A10" w:rsidRPr="00C35CA8" w14:paraId="79AC2AA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E15681C" w14:textId="77777777" w:rsidR="005E5A10" w:rsidRPr="00C35CA8" w:rsidRDefault="005E5A10" w:rsidP="00AA7E7B">
            <w:pPr>
              <w:jc w:val="left"/>
              <w:rPr>
                <w:sz w:val="18"/>
                <w:szCs w:val="18"/>
              </w:rPr>
            </w:pPr>
            <w:r w:rsidRPr="00C35CA8">
              <w:rPr>
                <w:sz w:val="18"/>
                <w:szCs w:val="18"/>
              </w:rPr>
              <w:t>ISCED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647C061" w14:textId="77777777" w:rsidR="005E5A10" w:rsidRPr="00C35CA8" w:rsidRDefault="005E5A10" w:rsidP="00AA7E7B">
            <w:pPr>
              <w:jc w:val="left"/>
              <w:rPr>
                <w:sz w:val="18"/>
                <w:szCs w:val="18"/>
              </w:rPr>
            </w:pPr>
            <w:r w:rsidRPr="00C35CA8">
              <w:rPr>
                <w:sz w:val="18"/>
                <w:szCs w:val="18"/>
              </w:rPr>
              <w:t>medzinárodná klasifikácia vzdelávania</w:t>
            </w:r>
          </w:p>
        </w:tc>
      </w:tr>
      <w:tr w:rsidR="005E5A10" w:rsidRPr="00C35CA8" w14:paraId="588C0F5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CECDAE0" w14:textId="77777777" w:rsidR="005E5A10" w:rsidRPr="00C35CA8" w:rsidRDefault="005E5A10" w:rsidP="00AA7E7B">
            <w:pPr>
              <w:jc w:val="left"/>
              <w:rPr>
                <w:sz w:val="18"/>
                <w:szCs w:val="18"/>
              </w:rPr>
            </w:pPr>
            <w:r w:rsidRPr="00C35CA8">
              <w:rPr>
                <w:sz w:val="18"/>
                <w:szCs w:val="18"/>
              </w:rPr>
              <w:t>ISTP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595A29D" w14:textId="77777777" w:rsidR="005E5A10" w:rsidRPr="00C35CA8" w:rsidRDefault="005E5A10" w:rsidP="00AA7E7B">
            <w:pPr>
              <w:jc w:val="left"/>
              <w:rPr>
                <w:sz w:val="18"/>
                <w:szCs w:val="18"/>
              </w:rPr>
            </w:pPr>
            <w:r w:rsidRPr="00C35CA8">
              <w:rPr>
                <w:sz w:val="18"/>
                <w:szCs w:val="18"/>
              </w:rPr>
              <w:t>integrovaný systém typových pozícií</w:t>
            </w:r>
          </w:p>
        </w:tc>
      </w:tr>
      <w:tr w:rsidR="00EC5594" w:rsidRPr="00C35CA8" w14:paraId="29575C2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0356030" w14:textId="77777777" w:rsidR="00EC5594" w:rsidRPr="00C35CA8" w:rsidRDefault="00EC5594" w:rsidP="00AA7E7B">
            <w:pPr>
              <w:jc w:val="left"/>
              <w:rPr>
                <w:sz w:val="18"/>
                <w:szCs w:val="18"/>
              </w:rPr>
            </w:pPr>
            <w:r w:rsidRPr="00C35CA8">
              <w:rPr>
                <w:sz w:val="18"/>
                <w:szCs w:val="18"/>
              </w:rPr>
              <w:t>IT</w:t>
            </w:r>
          </w:p>
        </w:tc>
        <w:tc>
          <w:tcPr>
            <w:tcW w:w="7229" w:type="dxa"/>
            <w:tcBorders>
              <w:top w:val="single" w:sz="4" w:space="0" w:color="auto"/>
              <w:left w:val="single" w:sz="4" w:space="0" w:color="auto"/>
              <w:bottom w:val="single" w:sz="4" w:space="0" w:color="auto"/>
              <w:right w:val="single" w:sz="4" w:space="0" w:color="auto"/>
            </w:tcBorders>
            <w:noWrap/>
            <w:vAlign w:val="center"/>
          </w:tcPr>
          <w:p w14:paraId="6AB7D445" w14:textId="77777777" w:rsidR="00EC5594" w:rsidRPr="00C35CA8" w:rsidRDefault="00EC5594" w:rsidP="00AA7E7B">
            <w:pPr>
              <w:jc w:val="left"/>
              <w:rPr>
                <w:sz w:val="18"/>
                <w:szCs w:val="18"/>
              </w:rPr>
            </w:pPr>
            <w:r w:rsidRPr="00C35CA8">
              <w:rPr>
                <w:sz w:val="18"/>
                <w:szCs w:val="18"/>
              </w:rPr>
              <w:t>informačné technológie</w:t>
            </w:r>
          </w:p>
        </w:tc>
      </w:tr>
      <w:tr w:rsidR="005E5A10" w:rsidRPr="00C35CA8" w14:paraId="01A2AE6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777B630" w14:textId="77777777" w:rsidR="005E5A10" w:rsidRPr="00C35CA8" w:rsidRDefault="005E5A10" w:rsidP="00AA7E7B">
            <w:pPr>
              <w:jc w:val="left"/>
              <w:rPr>
                <w:sz w:val="18"/>
                <w:szCs w:val="18"/>
              </w:rPr>
            </w:pPr>
            <w:r w:rsidRPr="00C35CA8">
              <w:rPr>
                <w:sz w:val="18"/>
                <w:szCs w:val="18"/>
              </w:rPr>
              <w:t>MEN</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6951DBC" w14:textId="77777777" w:rsidR="005E5A10" w:rsidRPr="00C35CA8" w:rsidRDefault="005E5A10" w:rsidP="00AA7E7B">
            <w:pPr>
              <w:jc w:val="left"/>
              <w:rPr>
                <w:sz w:val="18"/>
                <w:szCs w:val="18"/>
              </w:rPr>
            </w:pPr>
            <w:r w:rsidRPr="00C35CA8">
              <w:rPr>
                <w:sz w:val="18"/>
                <w:szCs w:val="18"/>
              </w:rPr>
              <w:t>miera evidovanej nezamestnanosti</w:t>
            </w:r>
          </w:p>
        </w:tc>
      </w:tr>
      <w:tr w:rsidR="003D4DC2" w:rsidRPr="00C35CA8" w14:paraId="7E0E824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A165592" w14:textId="1EFB26D1" w:rsidR="003D4DC2" w:rsidRPr="00C35CA8" w:rsidRDefault="003D4DC2" w:rsidP="00AA7E7B">
            <w:pPr>
              <w:jc w:val="left"/>
              <w:rPr>
                <w:sz w:val="18"/>
                <w:szCs w:val="18"/>
              </w:rPr>
            </w:pPr>
            <w:r w:rsidRPr="00C35CA8">
              <w:rPr>
                <w:sz w:val="18"/>
                <w:szCs w:val="18"/>
              </w:rPr>
              <w:t>MN</w:t>
            </w:r>
          </w:p>
        </w:tc>
        <w:tc>
          <w:tcPr>
            <w:tcW w:w="7229" w:type="dxa"/>
            <w:tcBorders>
              <w:top w:val="single" w:sz="4" w:space="0" w:color="auto"/>
              <w:left w:val="single" w:sz="4" w:space="0" w:color="auto"/>
              <w:bottom w:val="single" w:sz="4" w:space="0" w:color="auto"/>
              <w:right w:val="single" w:sz="4" w:space="0" w:color="auto"/>
            </w:tcBorders>
            <w:noWrap/>
            <w:vAlign w:val="center"/>
          </w:tcPr>
          <w:p w14:paraId="65DD8399" w14:textId="6B333AE5" w:rsidR="003D4DC2" w:rsidRPr="00C35CA8" w:rsidRDefault="003D4DC2" w:rsidP="00AA7E7B">
            <w:pPr>
              <w:jc w:val="left"/>
              <w:rPr>
                <w:sz w:val="18"/>
                <w:szCs w:val="18"/>
              </w:rPr>
            </w:pPr>
            <w:r w:rsidRPr="00C35CA8">
              <w:rPr>
                <w:sz w:val="18"/>
                <w:szCs w:val="18"/>
              </w:rPr>
              <w:t>miera nezamestnanosti</w:t>
            </w:r>
          </w:p>
        </w:tc>
      </w:tr>
      <w:tr w:rsidR="005E5A10" w:rsidRPr="00C35CA8" w14:paraId="5B550F4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908AD75" w14:textId="77777777" w:rsidR="005E5A10" w:rsidRPr="00C35CA8" w:rsidRDefault="005E5A10" w:rsidP="00AA7E7B">
            <w:pPr>
              <w:jc w:val="left"/>
              <w:rPr>
                <w:sz w:val="18"/>
                <w:szCs w:val="18"/>
              </w:rPr>
            </w:pPr>
            <w:r w:rsidRPr="00C35CA8">
              <w:rPr>
                <w:sz w:val="18"/>
                <w:szCs w:val="18"/>
              </w:rPr>
              <w:t>MH 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CF342C3" w14:textId="77777777" w:rsidR="005E5A10" w:rsidRPr="00C35CA8" w:rsidRDefault="005E5A10" w:rsidP="00AA7E7B">
            <w:pPr>
              <w:jc w:val="left"/>
              <w:rPr>
                <w:sz w:val="18"/>
                <w:szCs w:val="18"/>
              </w:rPr>
            </w:pPr>
            <w:r w:rsidRPr="00C35CA8">
              <w:rPr>
                <w:sz w:val="18"/>
                <w:szCs w:val="18"/>
              </w:rPr>
              <w:t>Ministerstvo hospodárstva SR</w:t>
            </w:r>
          </w:p>
        </w:tc>
      </w:tr>
      <w:tr w:rsidR="005E5A10" w:rsidRPr="00C35CA8" w14:paraId="1F97621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938DC5B" w14:textId="75B3BDEC" w:rsidR="005E5A10" w:rsidRPr="00C35CA8" w:rsidRDefault="00DF411C" w:rsidP="00AA7E7B">
            <w:pPr>
              <w:jc w:val="left"/>
              <w:rPr>
                <w:sz w:val="18"/>
                <w:szCs w:val="18"/>
              </w:rPr>
            </w:pPr>
            <w:r w:rsidRPr="00C35CA8">
              <w:rPr>
                <w:sz w:val="18"/>
                <w:szCs w:val="18"/>
              </w:rPr>
              <w:t>m</w:t>
            </w:r>
            <w:r w:rsidR="00EC5594" w:rsidRPr="00C35CA8">
              <w:rPr>
                <w:sz w:val="18"/>
                <w:szCs w:val="18"/>
              </w:rPr>
              <w:t>inisterstvo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56A71AA" w14:textId="77777777" w:rsidR="005E5A10" w:rsidRPr="00C35CA8" w:rsidRDefault="005E5A10" w:rsidP="00AA7E7B">
            <w:pPr>
              <w:jc w:val="left"/>
              <w:rPr>
                <w:sz w:val="18"/>
                <w:szCs w:val="18"/>
              </w:rPr>
            </w:pPr>
            <w:r w:rsidRPr="00C35CA8">
              <w:rPr>
                <w:sz w:val="18"/>
                <w:szCs w:val="18"/>
              </w:rPr>
              <w:t>Ministerstvo práce, sociálnych vecí a rodiny SR</w:t>
            </w:r>
          </w:p>
        </w:tc>
      </w:tr>
      <w:tr w:rsidR="005E5A10" w:rsidRPr="00C35CA8" w14:paraId="43AAEAA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D9B1CAC" w14:textId="77777777" w:rsidR="005E5A10" w:rsidRPr="00C35CA8" w:rsidRDefault="005E5A10" w:rsidP="00AA7E7B">
            <w:pPr>
              <w:jc w:val="left"/>
              <w:rPr>
                <w:sz w:val="18"/>
                <w:szCs w:val="18"/>
              </w:rPr>
            </w:pPr>
            <w:r w:rsidRPr="00C35CA8">
              <w:rPr>
                <w:sz w:val="18"/>
                <w:szCs w:val="18"/>
              </w:rPr>
              <w:t>MK 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2A79FD2" w14:textId="77777777" w:rsidR="005E5A10" w:rsidRPr="00C35CA8" w:rsidRDefault="005E5A10" w:rsidP="00AA7E7B">
            <w:pPr>
              <w:jc w:val="left"/>
              <w:rPr>
                <w:sz w:val="18"/>
                <w:szCs w:val="18"/>
              </w:rPr>
            </w:pPr>
            <w:r w:rsidRPr="00C35CA8">
              <w:rPr>
                <w:sz w:val="18"/>
                <w:szCs w:val="18"/>
              </w:rPr>
              <w:t>Ministerstvo kultúry SR</w:t>
            </w:r>
          </w:p>
        </w:tc>
      </w:tr>
      <w:tr w:rsidR="005E5A10" w:rsidRPr="00C35CA8" w14:paraId="7933CA4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F88DFE" w14:textId="77777777" w:rsidR="005E5A10" w:rsidRPr="00C35CA8" w:rsidRDefault="005E5A10" w:rsidP="00AA7E7B">
            <w:pPr>
              <w:jc w:val="left"/>
              <w:rPr>
                <w:sz w:val="18"/>
                <w:szCs w:val="18"/>
              </w:rPr>
            </w:pPr>
            <w:r w:rsidRPr="00C35CA8">
              <w:rPr>
                <w:sz w:val="18"/>
                <w:szCs w:val="18"/>
              </w:rPr>
              <w:t>MSP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06BF8C6" w14:textId="77777777" w:rsidR="005E5A10" w:rsidRPr="00C35CA8" w:rsidRDefault="005E5A10" w:rsidP="00AA7E7B">
            <w:pPr>
              <w:jc w:val="left"/>
              <w:rPr>
                <w:sz w:val="18"/>
                <w:szCs w:val="18"/>
              </w:rPr>
            </w:pPr>
            <w:r w:rsidRPr="00C35CA8">
              <w:rPr>
                <w:sz w:val="18"/>
                <w:szCs w:val="18"/>
              </w:rPr>
              <w:t>malé a stredné podniky</w:t>
            </w:r>
          </w:p>
        </w:tc>
      </w:tr>
      <w:tr w:rsidR="005E5A10" w:rsidRPr="00C35CA8" w14:paraId="622B9AA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2E3D37E" w14:textId="77777777" w:rsidR="005E5A10" w:rsidRPr="00C35CA8" w:rsidRDefault="005E5A10" w:rsidP="00AA7E7B">
            <w:pPr>
              <w:jc w:val="left"/>
              <w:rPr>
                <w:sz w:val="18"/>
                <w:szCs w:val="18"/>
              </w:rPr>
            </w:pPr>
            <w:r w:rsidRPr="00C35CA8">
              <w:rPr>
                <w:sz w:val="18"/>
                <w:szCs w:val="18"/>
              </w:rPr>
              <w:t>MUoZ</w:t>
            </w:r>
          </w:p>
        </w:tc>
        <w:tc>
          <w:tcPr>
            <w:tcW w:w="7229" w:type="dxa"/>
            <w:tcBorders>
              <w:top w:val="single" w:sz="4" w:space="0" w:color="auto"/>
              <w:left w:val="single" w:sz="4" w:space="0" w:color="auto"/>
              <w:bottom w:val="single" w:sz="4" w:space="0" w:color="auto"/>
              <w:right w:val="single" w:sz="4" w:space="0" w:color="auto"/>
            </w:tcBorders>
            <w:noWrap/>
            <w:vAlign w:val="center"/>
          </w:tcPr>
          <w:p w14:paraId="0935708E" w14:textId="77777777" w:rsidR="005E5A10" w:rsidRPr="00C35CA8" w:rsidRDefault="00EA625D" w:rsidP="00AA7E7B">
            <w:pPr>
              <w:jc w:val="left"/>
              <w:rPr>
                <w:sz w:val="18"/>
                <w:szCs w:val="18"/>
              </w:rPr>
            </w:pPr>
            <w:r w:rsidRPr="00C35CA8">
              <w:rPr>
                <w:sz w:val="18"/>
                <w:szCs w:val="18"/>
              </w:rPr>
              <w:t>Mladý uchádzač</w:t>
            </w:r>
            <w:r w:rsidR="005E5A10" w:rsidRPr="00C35CA8">
              <w:rPr>
                <w:sz w:val="18"/>
                <w:szCs w:val="18"/>
              </w:rPr>
              <w:t xml:space="preserve"> o zamestnanie (do 29 rokov)</w:t>
            </w:r>
          </w:p>
        </w:tc>
      </w:tr>
      <w:tr w:rsidR="005E5A10" w:rsidRPr="00C35CA8" w14:paraId="4A93768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DD8D2CF" w14:textId="77777777" w:rsidR="005E5A10" w:rsidRPr="00C35CA8" w:rsidRDefault="005E5A10" w:rsidP="00AA7E7B">
            <w:pPr>
              <w:jc w:val="left"/>
              <w:rPr>
                <w:sz w:val="18"/>
                <w:szCs w:val="18"/>
              </w:rPr>
            </w:pPr>
            <w:r w:rsidRPr="00C35CA8">
              <w:rPr>
                <w:sz w:val="18"/>
                <w:szCs w:val="18"/>
              </w:rPr>
              <w:t>NARMSP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21C1662" w14:textId="77777777" w:rsidR="005E5A10" w:rsidRPr="00C35CA8" w:rsidRDefault="005E5A10" w:rsidP="00AA7E7B">
            <w:pPr>
              <w:jc w:val="left"/>
              <w:rPr>
                <w:sz w:val="18"/>
                <w:szCs w:val="18"/>
              </w:rPr>
            </w:pPr>
            <w:r w:rsidRPr="00C35CA8">
              <w:rPr>
                <w:sz w:val="18"/>
                <w:szCs w:val="18"/>
              </w:rPr>
              <w:t>Národná agentúra pre rozvoj malého a stredného podnikania</w:t>
            </w:r>
          </w:p>
        </w:tc>
      </w:tr>
      <w:tr w:rsidR="005E5A10" w:rsidRPr="00C35CA8" w14:paraId="11A35AF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28F4" w14:textId="77777777" w:rsidR="005E5A10" w:rsidRPr="00C35CA8" w:rsidRDefault="005E5A10" w:rsidP="00AA7E7B">
            <w:pPr>
              <w:jc w:val="left"/>
              <w:rPr>
                <w:sz w:val="18"/>
                <w:szCs w:val="18"/>
              </w:rPr>
            </w:pPr>
            <w:r w:rsidRPr="00C35CA8">
              <w:rPr>
                <w:sz w:val="18"/>
                <w:szCs w:val="18"/>
              </w:rPr>
              <w:t>NEET</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DD64F" w14:textId="646DF5A3" w:rsidR="005E5A10" w:rsidRPr="00C35CA8" w:rsidRDefault="00DF411C" w:rsidP="00AA7E7B">
            <w:pPr>
              <w:jc w:val="left"/>
              <w:rPr>
                <w:sz w:val="18"/>
                <w:szCs w:val="18"/>
              </w:rPr>
            </w:pPr>
            <w:r w:rsidRPr="00C35CA8">
              <w:rPr>
                <w:sz w:val="18"/>
                <w:szCs w:val="18"/>
              </w:rPr>
              <w:t>m</w:t>
            </w:r>
            <w:r w:rsidR="00F17E87" w:rsidRPr="00C35CA8">
              <w:rPr>
                <w:sz w:val="18"/>
                <w:szCs w:val="18"/>
              </w:rPr>
              <w:t>ladí ľudia, vedení v evidencii UoZ úradov, ktorí nie sú zamestnaní, nepokračujú v procese vzdelávania, ani sa nezúčastňujú  na odbornej príprave (not in employment, education or training)</w:t>
            </w:r>
          </w:p>
        </w:tc>
      </w:tr>
      <w:tr w:rsidR="00966BB0" w:rsidRPr="00C35CA8" w14:paraId="13AA6F60"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2E6378F" w14:textId="77777777" w:rsidR="00966BB0" w:rsidRPr="00C35CA8" w:rsidRDefault="00966BB0" w:rsidP="00AA7E7B">
            <w:pPr>
              <w:jc w:val="left"/>
              <w:rPr>
                <w:sz w:val="18"/>
                <w:szCs w:val="18"/>
              </w:rPr>
            </w:pPr>
            <w:r w:rsidRPr="00C35CA8">
              <w:rPr>
                <w:sz w:val="18"/>
                <w:szCs w:val="18"/>
              </w:rPr>
              <w:t>NFP</w:t>
            </w:r>
          </w:p>
        </w:tc>
        <w:tc>
          <w:tcPr>
            <w:tcW w:w="7229" w:type="dxa"/>
            <w:tcBorders>
              <w:top w:val="single" w:sz="4" w:space="0" w:color="auto"/>
              <w:left w:val="single" w:sz="4" w:space="0" w:color="auto"/>
              <w:bottom w:val="single" w:sz="4" w:space="0" w:color="auto"/>
              <w:right w:val="single" w:sz="4" w:space="0" w:color="auto"/>
            </w:tcBorders>
            <w:noWrap/>
            <w:vAlign w:val="center"/>
          </w:tcPr>
          <w:p w14:paraId="14EE43C4" w14:textId="77777777" w:rsidR="00966BB0" w:rsidRPr="00C35CA8" w:rsidRDefault="00966BB0" w:rsidP="00AA7E7B">
            <w:pPr>
              <w:jc w:val="left"/>
              <w:rPr>
                <w:sz w:val="18"/>
                <w:szCs w:val="18"/>
              </w:rPr>
            </w:pPr>
            <w:r w:rsidRPr="00C35CA8">
              <w:rPr>
                <w:sz w:val="18"/>
                <w:szCs w:val="18"/>
              </w:rPr>
              <w:t>nenávratný finančný príspevok</w:t>
            </w:r>
          </w:p>
        </w:tc>
      </w:tr>
      <w:tr w:rsidR="00EA0A01" w:rsidRPr="00C35CA8" w14:paraId="18230B6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C7F800F" w14:textId="77777777" w:rsidR="00EA0A01" w:rsidRPr="00C35CA8" w:rsidRDefault="00EA0A01" w:rsidP="00AA7E7B">
            <w:pPr>
              <w:jc w:val="left"/>
              <w:rPr>
                <w:sz w:val="18"/>
                <w:szCs w:val="18"/>
              </w:rPr>
            </w:pPr>
            <w:r w:rsidRPr="00C35CA8">
              <w:rPr>
                <w:sz w:val="18"/>
                <w:szCs w:val="18"/>
              </w:rPr>
              <w:t>NKK</w:t>
            </w:r>
          </w:p>
        </w:tc>
        <w:tc>
          <w:tcPr>
            <w:tcW w:w="7229" w:type="dxa"/>
            <w:tcBorders>
              <w:top w:val="single" w:sz="4" w:space="0" w:color="auto"/>
              <w:left w:val="single" w:sz="4" w:space="0" w:color="auto"/>
              <w:bottom w:val="single" w:sz="4" w:space="0" w:color="auto"/>
              <w:right w:val="single" w:sz="4" w:space="0" w:color="auto"/>
            </w:tcBorders>
            <w:noWrap/>
            <w:vAlign w:val="center"/>
          </w:tcPr>
          <w:p w14:paraId="12606C2F" w14:textId="77777777" w:rsidR="00EA0A01" w:rsidRPr="00C35CA8" w:rsidRDefault="00EA0A01" w:rsidP="00AA7E7B">
            <w:pPr>
              <w:jc w:val="left"/>
              <w:rPr>
                <w:sz w:val="18"/>
                <w:szCs w:val="18"/>
              </w:rPr>
            </w:pPr>
            <w:r w:rsidRPr="00C35CA8">
              <w:rPr>
                <w:sz w:val="18"/>
                <w:szCs w:val="18"/>
              </w:rPr>
              <w:t>národná koordinačná kancelária</w:t>
            </w:r>
          </w:p>
        </w:tc>
      </w:tr>
      <w:tr w:rsidR="005E5A10" w:rsidRPr="00C35CA8" w14:paraId="26E3C5F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37987CD" w14:textId="77777777" w:rsidR="005E5A10" w:rsidRPr="00C35CA8" w:rsidRDefault="000C5C45" w:rsidP="00AA7E7B">
            <w:pPr>
              <w:jc w:val="left"/>
              <w:rPr>
                <w:sz w:val="18"/>
                <w:szCs w:val="18"/>
              </w:rPr>
            </w:pPr>
            <w:r w:rsidRPr="00C35CA8">
              <w:rPr>
                <w:sz w:val="18"/>
                <w:szCs w:val="18"/>
              </w:rPr>
              <w:t>NP</w:t>
            </w:r>
          </w:p>
        </w:tc>
        <w:tc>
          <w:tcPr>
            <w:tcW w:w="7229" w:type="dxa"/>
            <w:tcBorders>
              <w:top w:val="single" w:sz="4" w:space="0" w:color="auto"/>
              <w:left w:val="single" w:sz="4" w:space="0" w:color="auto"/>
              <w:bottom w:val="single" w:sz="4" w:space="0" w:color="auto"/>
              <w:right w:val="single" w:sz="4" w:space="0" w:color="auto"/>
            </w:tcBorders>
            <w:noWrap/>
            <w:vAlign w:val="center"/>
          </w:tcPr>
          <w:p w14:paraId="385B6FFB" w14:textId="77777777" w:rsidR="005E5A10" w:rsidRPr="00C35CA8" w:rsidRDefault="005E5A10" w:rsidP="00AA7E7B">
            <w:pPr>
              <w:jc w:val="left"/>
              <w:rPr>
                <w:sz w:val="18"/>
                <w:szCs w:val="18"/>
              </w:rPr>
            </w:pPr>
            <w:r w:rsidRPr="00C35CA8">
              <w:rPr>
                <w:sz w:val="18"/>
                <w:szCs w:val="18"/>
              </w:rPr>
              <w:t>národný projekt</w:t>
            </w:r>
          </w:p>
        </w:tc>
      </w:tr>
      <w:tr w:rsidR="005E5A10" w:rsidRPr="00C35CA8" w14:paraId="274DF2C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B2EE0D7" w14:textId="77777777" w:rsidR="005E5A10" w:rsidRPr="00C35CA8" w:rsidRDefault="005E5A10" w:rsidP="00AA7E7B">
            <w:pPr>
              <w:jc w:val="left"/>
              <w:rPr>
                <w:sz w:val="18"/>
                <w:szCs w:val="18"/>
              </w:rPr>
            </w:pPr>
            <w:r w:rsidRPr="00C35CA8">
              <w:rPr>
                <w:sz w:val="18"/>
                <w:szCs w:val="18"/>
              </w:rPr>
              <w:t>OECD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074437E" w14:textId="77777777" w:rsidR="005E5A10" w:rsidRPr="00C35CA8" w:rsidRDefault="005E5A10" w:rsidP="00AA7E7B">
            <w:pPr>
              <w:jc w:val="left"/>
              <w:rPr>
                <w:sz w:val="18"/>
                <w:szCs w:val="18"/>
              </w:rPr>
            </w:pPr>
            <w:r w:rsidRPr="00C35CA8">
              <w:rPr>
                <w:sz w:val="18"/>
                <w:szCs w:val="18"/>
              </w:rPr>
              <w:t>Organizácia pre ekonomickú spoluprácu a rozvoj</w:t>
            </w:r>
          </w:p>
        </w:tc>
      </w:tr>
      <w:tr w:rsidR="005E5A10" w:rsidRPr="00C35CA8" w14:paraId="52F41A7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46739AB" w14:textId="77777777" w:rsidR="005E5A10" w:rsidRPr="00C35CA8" w:rsidRDefault="005E5A10" w:rsidP="00AA7E7B">
            <w:pPr>
              <w:jc w:val="left"/>
              <w:rPr>
                <w:sz w:val="18"/>
                <w:szCs w:val="18"/>
              </w:rPr>
            </w:pPr>
            <w:r w:rsidRPr="00C35CA8">
              <w:rPr>
                <w:sz w:val="18"/>
                <w:szCs w:val="18"/>
              </w:rPr>
              <w:t xml:space="preserve">OP </w:t>
            </w:r>
            <w:r w:rsidR="000C5C45" w:rsidRPr="00C35CA8">
              <w:rPr>
                <w:sz w:val="18"/>
                <w:szCs w:val="18"/>
              </w:rPr>
              <w:t>ĽZ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71C479D" w14:textId="1EB8D6AB" w:rsidR="005E5A10" w:rsidRPr="00C35CA8" w:rsidRDefault="00DF411C" w:rsidP="00DF411C">
            <w:pPr>
              <w:ind w:firstLine="0"/>
              <w:jc w:val="left"/>
              <w:rPr>
                <w:sz w:val="18"/>
                <w:szCs w:val="18"/>
              </w:rPr>
            </w:pPr>
            <w:r w:rsidRPr="00C35CA8">
              <w:rPr>
                <w:sz w:val="18"/>
                <w:szCs w:val="18"/>
              </w:rPr>
              <w:t>o</w:t>
            </w:r>
            <w:r w:rsidR="005E5A10" w:rsidRPr="00C35CA8">
              <w:rPr>
                <w:sz w:val="18"/>
                <w:szCs w:val="18"/>
              </w:rPr>
              <w:t xml:space="preserve">peračný program </w:t>
            </w:r>
            <w:r w:rsidR="000C5C45" w:rsidRPr="00C35CA8">
              <w:rPr>
                <w:sz w:val="18"/>
                <w:szCs w:val="18"/>
              </w:rPr>
              <w:t>Ľudské zdroje</w:t>
            </w:r>
          </w:p>
        </w:tc>
      </w:tr>
      <w:tr w:rsidR="00966BB0" w:rsidRPr="00C35CA8" w14:paraId="63B0680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9A9200C" w14:textId="77777777" w:rsidR="00966BB0" w:rsidRPr="00C35CA8" w:rsidRDefault="00966BB0" w:rsidP="00AA7E7B">
            <w:pPr>
              <w:jc w:val="left"/>
              <w:rPr>
                <w:sz w:val="18"/>
                <w:szCs w:val="18"/>
              </w:rPr>
            </w:pPr>
            <w:r w:rsidRPr="00C35CA8">
              <w:rPr>
                <w:sz w:val="18"/>
                <w:szCs w:val="18"/>
              </w:rPr>
              <w:t>OPS</w:t>
            </w:r>
          </w:p>
        </w:tc>
        <w:tc>
          <w:tcPr>
            <w:tcW w:w="7229" w:type="dxa"/>
            <w:tcBorders>
              <w:top w:val="single" w:sz="4" w:space="0" w:color="auto"/>
              <w:left w:val="single" w:sz="4" w:space="0" w:color="auto"/>
              <w:bottom w:val="single" w:sz="4" w:space="0" w:color="auto"/>
              <w:right w:val="single" w:sz="4" w:space="0" w:color="auto"/>
            </w:tcBorders>
            <w:noWrap/>
            <w:vAlign w:val="center"/>
          </w:tcPr>
          <w:p w14:paraId="683F691D" w14:textId="77777777" w:rsidR="00966BB0" w:rsidRPr="00C35CA8" w:rsidRDefault="00966BB0" w:rsidP="00AA7E7B">
            <w:pPr>
              <w:jc w:val="left"/>
              <w:rPr>
                <w:sz w:val="18"/>
                <w:szCs w:val="18"/>
              </w:rPr>
            </w:pPr>
            <w:r w:rsidRPr="00C35CA8">
              <w:rPr>
                <w:sz w:val="18"/>
                <w:szCs w:val="18"/>
              </w:rPr>
              <w:t>odborné poradenské služby</w:t>
            </w:r>
          </w:p>
        </w:tc>
      </w:tr>
      <w:tr w:rsidR="000C5C45" w:rsidRPr="00C35CA8" w14:paraId="6D2F7D7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192F2D7" w14:textId="77777777" w:rsidR="000C5C45" w:rsidRPr="00C35CA8" w:rsidRDefault="000C5C45" w:rsidP="00AA7E7B">
            <w:pPr>
              <w:jc w:val="left"/>
              <w:rPr>
                <w:sz w:val="18"/>
                <w:szCs w:val="18"/>
              </w:rPr>
            </w:pPr>
            <w:r w:rsidRPr="00C35CA8">
              <w:rPr>
                <w:sz w:val="18"/>
                <w:szCs w:val="18"/>
              </w:rPr>
              <w:t>RO pre OP ĽZ</w:t>
            </w:r>
          </w:p>
        </w:tc>
        <w:tc>
          <w:tcPr>
            <w:tcW w:w="7229" w:type="dxa"/>
            <w:tcBorders>
              <w:top w:val="single" w:sz="4" w:space="0" w:color="auto"/>
              <w:left w:val="single" w:sz="4" w:space="0" w:color="auto"/>
              <w:bottom w:val="single" w:sz="4" w:space="0" w:color="auto"/>
              <w:right w:val="single" w:sz="4" w:space="0" w:color="auto"/>
            </w:tcBorders>
            <w:noWrap/>
            <w:vAlign w:val="center"/>
          </w:tcPr>
          <w:p w14:paraId="7D7ADAF9" w14:textId="77777777" w:rsidR="000C5C45" w:rsidRPr="00C35CA8" w:rsidRDefault="000C5C45" w:rsidP="00AA7E7B">
            <w:pPr>
              <w:jc w:val="left"/>
              <w:rPr>
                <w:sz w:val="18"/>
                <w:szCs w:val="18"/>
              </w:rPr>
            </w:pPr>
            <w:r w:rsidRPr="00C35CA8">
              <w:rPr>
                <w:sz w:val="18"/>
                <w:szCs w:val="18"/>
              </w:rPr>
              <w:t>riadiaci orgán pre OP ĽZ - M SR</w:t>
            </w:r>
          </w:p>
        </w:tc>
      </w:tr>
      <w:tr w:rsidR="000C5C45" w:rsidRPr="00C35CA8" w14:paraId="2646C5F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1EE1387" w14:textId="77777777" w:rsidR="000C5C45" w:rsidRPr="00C35CA8" w:rsidRDefault="000C5C45" w:rsidP="00AA7E7B">
            <w:pPr>
              <w:jc w:val="left"/>
              <w:rPr>
                <w:sz w:val="18"/>
                <w:szCs w:val="18"/>
              </w:rPr>
            </w:pPr>
            <w:r w:rsidRPr="00C35CA8">
              <w:rPr>
                <w:sz w:val="18"/>
                <w:szCs w:val="18"/>
              </w:rPr>
              <w:t>OZP</w:t>
            </w:r>
          </w:p>
        </w:tc>
        <w:tc>
          <w:tcPr>
            <w:tcW w:w="7229" w:type="dxa"/>
            <w:tcBorders>
              <w:top w:val="single" w:sz="4" w:space="0" w:color="auto"/>
              <w:left w:val="single" w:sz="4" w:space="0" w:color="auto"/>
              <w:bottom w:val="single" w:sz="4" w:space="0" w:color="auto"/>
              <w:right w:val="single" w:sz="4" w:space="0" w:color="auto"/>
            </w:tcBorders>
            <w:noWrap/>
            <w:vAlign w:val="center"/>
          </w:tcPr>
          <w:p w14:paraId="35700A45" w14:textId="77777777" w:rsidR="000C5C45" w:rsidRPr="00C35CA8" w:rsidRDefault="000C5C45" w:rsidP="00AA7E7B">
            <w:pPr>
              <w:jc w:val="left"/>
              <w:rPr>
                <w:sz w:val="18"/>
                <w:szCs w:val="18"/>
              </w:rPr>
            </w:pPr>
            <w:r w:rsidRPr="00C35CA8">
              <w:rPr>
                <w:sz w:val="18"/>
                <w:szCs w:val="18"/>
              </w:rPr>
              <w:t>občan so zdravotným postihnutím</w:t>
            </w:r>
          </w:p>
        </w:tc>
      </w:tr>
      <w:tr w:rsidR="00DF411C" w:rsidRPr="00C35CA8" w14:paraId="61C45B5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067DD2B" w14:textId="6DBB1F91" w:rsidR="00DF411C" w:rsidRPr="00C35CA8" w:rsidRDefault="00DF411C" w:rsidP="00AA7E7B">
            <w:pPr>
              <w:jc w:val="left"/>
              <w:rPr>
                <w:sz w:val="18"/>
                <w:szCs w:val="18"/>
              </w:rPr>
            </w:pPr>
            <w:r w:rsidRPr="00C35CA8">
              <w:rPr>
                <w:sz w:val="18"/>
                <w:szCs w:val="18"/>
              </w:rPr>
              <w:t>OZPSPTP</w:t>
            </w:r>
          </w:p>
        </w:tc>
        <w:tc>
          <w:tcPr>
            <w:tcW w:w="7229" w:type="dxa"/>
            <w:tcBorders>
              <w:top w:val="single" w:sz="4" w:space="0" w:color="auto"/>
              <w:left w:val="single" w:sz="4" w:space="0" w:color="auto"/>
              <w:bottom w:val="single" w:sz="4" w:space="0" w:color="auto"/>
              <w:right w:val="single" w:sz="4" w:space="0" w:color="auto"/>
            </w:tcBorders>
            <w:noWrap/>
            <w:vAlign w:val="center"/>
          </w:tcPr>
          <w:p w14:paraId="1B9C99C8" w14:textId="04D2D2D6" w:rsidR="00DF411C" w:rsidRPr="00C35CA8" w:rsidRDefault="00DF411C" w:rsidP="00AA7E7B">
            <w:pPr>
              <w:jc w:val="left"/>
              <w:rPr>
                <w:sz w:val="18"/>
                <w:szCs w:val="18"/>
              </w:rPr>
            </w:pPr>
            <w:r w:rsidRPr="00C35CA8">
              <w:rPr>
                <w:sz w:val="18"/>
                <w:szCs w:val="18"/>
              </w:rPr>
              <w:t>bčan so zdravotným postihnutím so sťaženým prístupom na trh práce</w:t>
            </w:r>
          </w:p>
        </w:tc>
      </w:tr>
      <w:tr w:rsidR="000C5C45" w:rsidRPr="00C35CA8" w14:paraId="64FA670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4249655" w14:textId="77777777" w:rsidR="000C5C45" w:rsidRPr="00C35CA8" w:rsidRDefault="000C5C45" w:rsidP="00AA7E7B">
            <w:pPr>
              <w:jc w:val="left"/>
              <w:rPr>
                <w:sz w:val="18"/>
                <w:szCs w:val="18"/>
              </w:rPr>
            </w:pPr>
            <w:r w:rsidRPr="00C35CA8">
              <w:rPr>
                <w:sz w:val="18"/>
                <w:szCs w:val="18"/>
              </w:rPr>
              <w:t>p. b.</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AA7DDF3" w14:textId="77777777" w:rsidR="000C5C45" w:rsidRPr="00C35CA8" w:rsidRDefault="000C5C45" w:rsidP="00AA7E7B">
            <w:pPr>
              <w:jc w:val="left"/>
              <w:rPr>
                <w:sz w:val="18"/>
                <w:szCs w:val="18"/>
              </w:rPr>
            </w:pPr>
            <w:r w:rsidRPr="00C35CA8">
              <w:rPr>
                <w:sz w:val="18"/>
                <w:szCs w:val="18"/>
              </w:rPr>
              <w:t>percentuálny bod</w:t>
            </w:r>
          </w:p>
        </w:tc>
      </w:tr>
      <w:tr w:rsidR="00EC5594" w:rsidRPr="00C35CA8" w14:paraId="399C464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5504B44" w14:textId="77777777" w:rsidR="00EC5594" w:rsidRPr="00C35CA8" w:rsidRDefault="00EC5594" w:rsidP="00AA7E7B">
            <w:pPr>
              <w:jc w:val="left"/>
              <w:rPr>
                <w:sz w:val="18"/>
                <w:szCs w:val="18"/>
              </w:rPr>
            </w:pPr>
            <w:r w:rsidRPr="00C35CA8">
              <w:rPr>
                <w:sz w:val="18"/>
                <w:szCs w:val="18"/>
              </w:rPr>
              <w:t>PN</w:t>
            </w:r>
          </w:p>
        </w:tc>
        <w:tc>
          <w:tcPr>
            <w:tcW w:w="7229" w:type="dxa"/>
            <w:tcBorders>
              <w:top w:val="single" w:sz="4" w:space="0" w:color="auto"/>
              <w:left w:val="single" w:sz="4" w:space="0" w:color="auto"/>
              <w:bottom w:val="single" w:sz="4" w:space="0" w:color="auto"/>
              <w:right w:val="single" w:sz="4" w:space="0" w:color="auto"/>
            </w:tcBorders>
            <w:noWrap/>
            <w:vAlign w:val="center"/>
          </w:tcPr>
          <w:p w14:paraId="24645EF9" w14:textId="77777777" w:rsidR="00EC5594" w:rsidRPr="00C35CA8" w:rsidRDefault="00EC5594" w:rsidP="00AA7E7B">
            <w:pPr>
              <w:jc w:val="left"/>
              <w:rPr>
                <w:sz w:val="18"/>
                <w:szCs w:val="18"/>
              </w:rPr>
            </w:pPr>
            <w:r w:rsidRPr="00C35CA8">
              <w:rPr>
                <w:sz w:val="18"/>
                <w:szCs w:val="18"/>
              </w:rPr>
              <w:t>práceneschopnosť</w:t>
            </w:r>
          </w:p>
        </w:tc>
      </w:tr>
      <w:tr w:rsidR="000C5C45" w:rsidRPr="00C35CA8" w14:paraId="19A831E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B40169D" w14:textId="77777777" w:rsidR="000C5C45" w:rsidRPr="00C35CA8" w:rsidRDefault="000C5C45" w:rsidP="00AA7E7B">
            <w:pPr>
              <w:jc w:val="left"/>
              <w:rPr>
                <w:sz w:val="18"/>
                <w:szCs w:val="18"/>
              </w:rPr>
            </w:pPr>
            <w:r w:rsidRPr="00C35CA8">
              <w:rPr>
                <w:sz w:val="18"/>
                <w:szCs w:val="18"/>
              </w:rPr>
              <w:t>PM</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4B04733" w14:textId="77777777" w:rsidR="000C5C45" w:rsidRPr="00C35CA8" w:rsidRDefault="000C5C45" w:rsidP="00AA7E7B">
            <w:pPr>
              <w:jc w:val="left"/>
              <w:rPr>
                <w:sz w:val="18"/>
                <w:szCs w:val="18"/>
              </w:rPr>
            </w:pPr>
            <w:r w:rsidRPr="00C35CA8">
              <w:rPr>
                <w:sz w:val="18"/>
                <w:szCs w:val="18"/>
              </w:rPr>
              <w:t>pracovné miesto</w:t>
            </w:r>
          </w:p>
        </w:tc>
      </w:tr>
      <w:tr w:rsidR="000C5C45" w:rsidRPr="00C35CA8" w14:paraId="27F40AF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48FB54C" w14:textId="77777777" w:rsidR="000C5C45" w:rsidRPr="00C35CA8" w:rsidRDefault="000C5C45" w:rsidP="00AA7E7B">
            <w:pPr>
              <w:jc w:val="left"/>
              <w:rPr>
                <w:sz w:val="18"/>
                <w:szCs w:val="18"/>
              </w:rPr>
            </w:pPr>
            <w:r w:rsidRPr="00C35CA8">
              <w:rPr>
                <w:sz w:val="18"/>
                <w:szCs w:val="18"/>
              </w:rPr>
              <w:lastRenderedPageBreak/>
              <w:t>PO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82B15E6" w14:textId="77777777" w:rsidR="000C5C45" w:rsidRPr="00C35CA8" w:rsidRDefault="000C5C45" w:rsidP="00AA7E7B">
            <w:pPr>
              <w:jc w:val="left"/>
              <w:rPr>
                <w:sz w:val="18"/>
                <w:szCs w:val="18"/>
              </w:rPr>
            </w:pPr>
            <w:r w:rsidRPr="00C35CA8">
              <w:rPr>
                <w:sz w:val="18"/>
                <w:szCs w:val="18"/>
              </w:rPr>
              <w:t>právnická osoba</w:t>
            </w:r>
          </w:p>
        </w:tc>
      </w:tr>
      <w:tr w:rsidR="00966BB0" w:rsidRPr="00C35CA8" w14:paraId="609C0BF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855B405" w14:textId="5748CDA3" w:rsidR="00966BB0" w:rsidRPr="00C35CA8" w:rsidRDefault="00DF411C" w:rsidP="00AA7E7B">
            <w:pPr>
              <w:jc w:val="left"/>
              <w:rPr>
                <w:sz w:val="18"/>
                <w:szCs w:val="18"/>
              </w:rPr>
            </w:pPr>
            <w:r w:rsidRPr="00C35CA8">
              <w:rPr>
                <w:sz w:val="18"/>
                <w:szCs w:val="18"/>
              </w:rPr>
              <w:t>PS</w:t>
            </w:r>
          </w:p>
        </w:tc>
        <w:tc>
          <w:tcPr>
            <w:tcW w:w="7229" w:type="dxa"/>
            <w:tcBorders>
              <w:top w:val="single" w:sz="4" w:space="0" w:color="auto"/>
              <w:left w:val="single" w:sz="4" w:space="0" w:color="auto"/>
              <w:bottom w:val="single" w:sz="4" w:space="0" w:color="auto"/>
              <w:right w:val="single" w:sz="4" w:space="0" w:color="auto"/>
            </w:tcBorders>
            <w:noWrap/>
            <w:vAlign w:val="center"/>
          </w:tcPr>
          <w:p w14:paraId="6AE7FB2E" w14:textId="3E5FC328" w:rsidR="00966BB0" w:rsidRPr="00C35CA8" w:rsidRDefault="00DF411C" w:rsidP="00AA7E7B">
            <w:pPr>
              <w:jc w:val="left"/>
              <w:rPr>
                <w:sz w:val="18"/>
                <w:szCs w:val="18"/>
              </w:rPr>
            </w:pPr>
            <w:r w:rsidRPr="00C35CA8">
              <w:rPr>
                <w:sz w:val="18"/>
                <w:szCs w:val="18"/>
              </w:rPr>
              <w:t>Program Slovensko 2021 - 2027</w:t>
            </w:r>
          </w:p>
        </w:tc>
      </w:tr>
      <w:tr w:rsidR="00DF411C" w:rsidRPr="00C35CA8" w14:paraId="47B2F30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019B3C0F" w14:textId="454BFB2C" w:rsidR="00DF411C" w:rsidRPr="00C35CA8" w:rsidRDefault="00DF411C" w:rsidP="00AA7E7B">
            <w:pPr>
              <w:jc w:val="left"/>
              <w:rPr>
                <w:sz w:val="18"/>
                <w:szCs w:val="18"/>
              </w:rPr>
            </w:pPr>
            <w:r w:rsidRPr="00C35CA8">
              <w:rPr>
                <w:sz w:val="18"/>
                <w:szCs w:val="18"/>
              </w:rPr>
              <w:t>PPDUoZOPV</w:t>
            </w:r>
          </w:p>
        </w:tc>
        <w:tc>
          <w:tcPr>
            <w:tcW w:w="7229" w:type="dxa"/>
            <w:tcBorders>
              <w:top w:val="single" w:sz="4" w:space="0" w:color="auto"/>
              <w:left w:val="single" w:sz="4" w:space="0" w:color="auto"/>
              <w:bottom w:val="single" w:sz="4" w:space="0" w:color="auto"/>
              <w:right w:val="single" w:sz="4" w:space="0" w:color="auto"/>
            </w:tcBorders>
            <w:noWrap/>
            <w:vAlign w:val="center"/>
          </w:tcPr>
          <w:p w14:paraId="3B5BB170" w14:textId="599E8B35" w:rsidR="00DF411C" w:rsidRPr="00C35CA8" w:rsidRDefault="00DF411C" w:rsidP="00DF411C">
            <w:pPr>
              <w:jc w:val="left"/>
              <w:rPr>
                <w:sz w:val="18"/>
                <w:szCs w:val="18"/>
              </w:rPr>
            </w:pPr>
            <w:r w:rsidRPr="00C35CA8">
              <w:rPr>
                <w:sz w:val="18"/>
                <w:szCs w:val="18"/>
              </w:rPr>
              <w:t>priemerný podiel disponibilných UoZ na obyvateľstve v produktívnom veku</w:t>
            </w:r>
          </w:p>
        </w:tc>
      </w:tr>
      <w:tr w:rsidR="00966BB0" w:rsidRPr="00C35CA8" w14:paraId="1B53A39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D841776" w14:textId="77777777" w:rsidR="00966BB0" w:rsidRPr="00C35CA8" w:rsidRDefault="00966BB0" w:rsidP="00AA7E7B">
            <w:pPr>
              <w:jc w:val="left"/>
              <w:rPr>
                <w:sz w:val="18"/>
                <w:szCs w:val="18"/>
              </w:rPr>
            </w:pPr>
            <w:r w:rsidRPr="00C35CA8">
              <w:rPr>
                <w:sz w:val="18"/>
                <w:szCs w:val="18"/>
              </w:rPr>
              <w:t>projekt PZSŽ</w:t>
            </w:r>
          </w:p>
        </w:tc>
        <w:tc>
          <w:tcPr>
            <w:tcW w:w="7229" w:type="dxa"/>
            <w:tcBorders>
              <w:top w:val="single" w:sz="4" w:space="0" w:color="auto"/>
              <w:left w:val="single" w:sz="4" w:space="0" w:color="auto"/>
              <w:bottom w:val="single" w:sz="4" w:space="0" w:color="auto"/>
              <w:right w:val="single" w:sz="4" w:space="0" w:color="auto"/>
            </w:tcBorders>
            <w:noWrap/>
            <w:vAlign w:val="center"/>
          </w:tcPr>
          <w:p w14:paraId="2F84F910" w14:textId="77777777" w:rsidR="00966BB0" w:rsidRPr="00C35CA8" w:rsidRDefault="00966BB0" w:rsidP="00AA7E7B">
            <w:pPr>
              <w:jc w:val="left"/>
              <w:rPr>
                <w:sz w:val="18"/>
                <w:szCs w:val="18"/>
              </w:rPr>
            </w:pPr>
            <w:r w:rsidRPr="00C35CA8">
              <w:rPr>
                <w:sz w:val="18"/>
                <w:szCs w:val="18"/>
              </w:rPr>
              <w:t>projekt „Pracuj, zmeň svoj život“</w:t>
            </w:r>
          </w:p>
        </w:tc>
      </w:tr>
      <w:tr w:rsidR="00EA0A01" w:rsidRPr="00C35CA8" w14:paraId="0D9FCCB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2B6D9D3" w14:textId="77777777" w:rsidR="00EA0A01" w:rsidRPr="00C35CA8" w:rsidRDefault="00EA0A01" w:rsidP="00AA7E7B">
            <w:pPr>
              <w:jc w:val="left"/>
              <w:rPr>
                <w:sz w:val="18"/>
                <w:szCs w:val="18"/>
              </w:rPr>
            </w:pPr>
            <w:r w:rsidRPr="00C35CA8">
              <w:rPr>
                <w:sz w:val="18"/>
                <w:szCs w:val="18"/>
              </w:rPr>
              <w:t>SHR</w:t>
            </w:r>
          </w:p>
        </w:tc>
        <w:tc>
          <w:tcPr>
            <w:tcW w:w="7229" w:type="dxa"/>
            <w:tcBorders>
              <w:top w:val="single" w:sz="4" w:space="0" w:color="auto"/>
              <w:left w:val="single" w:sz="4" w:space="0" w:color="auto"/>
              <w:bottom w:val="single" w:sz="4" w:space="0" w:color="auto"/>
              <w:right w:val="single" w:sz="4" w:space="0" w:color="auto"/>
            </w:tcBorders>
            <w:noWrap/>
            <w:vAlign w:val="center"/>
          </w:tcPr>
          <w:p w14:paraId="6BCF5FEC" w14:textId="77777777" w:rsidR="00EA0A01" w:rsidRPr="00C35CA8" w:rsidRDefault="00EA0A01" w:rsidP="00AA7E7B">
            <w:pPr>
              <w:jc w:val="left"/>
              <w:rPr>
                <w:sz w:val="18"/>
                <w:szCs w:val="18"/>
              </w:rPr>
            </w:pPr>
            <w:r w:rsidRPr="00C35CA8">
              <w:rPr>
                <w:sz w:val="18"/>
                <w:szCs w:val="18"/>
              </w:rPr>
              <w:t>súkromne hospodáriaci roľník</w:t>
            </w:r>
          </w:p>
        </w:tc>
      </w:tr>
      <w:tr w:rsidR="000C5C45" w:rsidRPr="00C35CA8" w14:paraId="1BA1F36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67D0BDA" w14:textId="77777777" w:rsidR="000C5C45" w:rsidRPr="00C35CA8" w:rsidRDefault="000C5C45" w:rsidP="00AA7E7B">
            <w:pPr>
              <w:jc w:val="left"/>
              <w:rPr>
                <w:sz w:val="18"/>
                <w:szCs w:val="18"/>
              </w:rPr>
            </w:pPr>
            <w:r w:rsidRPr="00C35CA8">
              <w:rPr>
                <w:sz w:val="18"/>
                <w:szCs w:val="18"/>
              </w:rPr>
              <w:t>SK NACE rev 2.</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63C8AB4" w14:textId="77777777" w:rsidR="000C5C45" w:rsidRPr="00C35CA8" w:rsidRDefault="000C5C45" w:rsidP="00AA7E7B">
            <w:pPr>
              <w:jc w:val="left"/>
              <w:rPr>
                <w:sz w:val="18"/>
                <w:szCs w:val="18"/>
              </w:rPr>
            </w:pPr>
            <w:r w:rsidRPr="00C35CA8">
              <w:rPr>
                <w:sz w:val="18"/>
                <w:szCs w:val="18"/>
              </w:rPr>
              <w:t>štatistická klasifikácia ekonomických činností</w:t>
            </w:r>
          </w:p>
        </w:tc>
      </w:tr>
      <w:tr w:rsidR="00966BB0" w:rsidRPr="00C35CA8" w14:paraId="7C6698E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2F04AD36" w14:textId="77777777" w:rsidR="00966BB0" w:rsidRPr="00C35CA8" w:rsidRDefault="00966BB0" w:rsidP="00AA7E7B">
            <w:pPr>
              <w:jc w:val="left"/>
              <w:rPr>
                <w:sz w:val="18"/>
                <w:szCs w:val="18"/>
              </w:rPr>
            </w:pPr>
            <w:r w:rsidRPr="00C35CA8">
              <w:rPr>
                <w:sz w:val="18"/>
                <w:szCs w:val="18"/>
              </w:rPr>
              <w:t>SOŠ</w:t>
            </w:r>
          </w:p>
        </w:tc>
        <w:tc>
          <w:tcPr>
            <w:tcW w:w="7229" w:type="dxa"/>
            <w:tcBorders>
              <w:top w:val="single" w:sz="4" w:space="0" w:color="auto"/>
              <w:left w:val="single" w:sz="4" w:space="0" w:color="auto"/>
              <w:bottom w:val="single" w:sz="4" w:space="0" w:color="auto"/>
              <w:right w:val="single" w:sz="4" w:space="0" w:color="auto"/>
            </w:tcBorders>
            <w:noWrap/>
            <w:vAlign w:val="center"/>
          </w:tcPr>
          <w:p w14:paraId="6175B9D2" w14:textId="77777777" w:rsidR="00966BB0" w:rsidRPr="00C35CA8" w:rsidRDefault="00966BB0" w:rsidP="00AA7E7B">
            <w:pPr>
              <w:jc w:val="left"/>
              <w:rPr>
                <w:sz w:val="18"/>
                <w:szCs w:val="18"/>
              </w:rPr>
            </w:pPr>
            <w:r w:rsidRPr="00C35CA8">
              <w:rPr>
                <w:sz w:val="18"/>
                <w:szCs w:val="18"/>
              </w:rPr>
              <w:t>stredná odborná škola</w:t>
            </w:r>
          </w:p>
        </w:tc>
      </w:tr>
      <w:tr w:rsidR="000C5C45" w:rsidRPr="00C35CA8" w14:paraId="579BC72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7041004" w14:textId="77777777" w:rsidR="000C5C45" w:rsidRPr="00C35CA8" w:rsidRDefault="000C5C45" w:rsidP="00AA7E7B">
            <w:pPr>
              <w:jc w:val="left"/>
              <w:rPr>
                <w:sz w:val="18"/>
                <w:szCs w:val="18"/>
              </w:rPr>
            </w:pPr>
            <w:r w:rsidRPr="00C35CA8">
              <w:rPr>
                <w:sz w:val="18"/>
                <w:szCs w:val="18"/>
              </w:rPr>
              <w:t>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41E70AF2" w14:textId="77777777" w:rsidR="000C5C45" w:rsidRPr="00C35CA8" w:rsidRDefault="000C5C45" w:rsidP="00AA7E7B">
            <w:pPr>
              <w:jc w:val="left"/>
              <w:rPr>
                <w:sz w:val="18"/>
                <w:szCs w:val="18"/>
              </w:rPr>
            </w:pPr>
            <w:r w:rsidRPr="00C35CA8">
              <w:rPr>
                <w:sz w:val="18"/>
                <w:szCs w:val="18"/>
              </w:rPr>
              <w:t>sociálny podnik</w:t>
            </w:r>
          </w:p>
        </w:tc>
      </w:tr>
      <w:tr w:rsidR="000C5C45" w:rsidRPr="00C35CA8" w14:paraId="189CC67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34B3FC" w14:textId="77777777" w:rsidR="000C5C45" w:rsidRPr="00C35CA8" w:rsidRDefault="000C5C45" w:rsidP="00AA7E7B">
            <w:pPr>
              <w:jc w:val="left"/>
              <w:rPr>
                <w:sz w:val="18"/>
                <w:szCs w:val="18"/>
              </w:rPr>
            </w:pPr>
            <w:r w:rsidRPr="00C35CA8">
              <w:rPr>
                <w:sz w:val="18"/>
                <w:szCs w:val="18"/>
              </w:rPr>
              <w:t>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6E98B96" w14:textId="77777777" w:rsidR="000C5C45" w:rsidRPr="00C35CA8" w:rsidRDefault="000C5C45" w:rsidP="00AA7E7B">
            <w:pPr>
              <w:jc w:val="left"/>
              <w:rPr>
                <w:sz w:val="18"/>
                <w:szCs w:val="18"/>
              </w:rPr>
            </w:pPr>
            <w:r w:rsidRPr="00C35CA8">
              <w:rPr>
                <w:sz w:val="18"/>
                <w:szCs w:val="18"/>
              </w:rPr>
              <w:t>Slovenská republika</w:t>
            </w:r>
          </w:p>
        </w:tc>
      </w:tr>
      <w:tr w:rsidR="00EA0A01" w:rsidRPr="00C35CA8" w14:paraId="4A20E16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175CBCB" w14:textId="77777777" w:rsidR="00EA0A01" w:rsidRPr="00C35CA8" w:rsidRDefault="00EA0A01" w:rsidP="00AA7E7B">
            <w:pPr>
              <w:jc w:val="left"/>
              <w:rPr>
                <w:sz w:val="18"/>
                <w:szCs w:val="18"/>
              </w:rPr>
            </w:pPr>
            <w:r w:rsidRPr="00C35CA8">
              <w:rPr>
                <w:sz w:val="18"/>
                <w:szCs w:val="18"/>
              </w:rPr>
              <w:t>spol. s r.o.</w:t>
            </w:r>
          </w:p>
        </w:tc>
        <w:tc>
          <w:tcPr>
            <w:tcW w:w="7229" w:type="dxa"/>
            <w:tcBorders>
              <w:top w:val="single" w:sz="4" w:space="0" w:color="auto"/>
              <w:left w:val="single" w:sz="4" w:space="0" w:color="auto"/>
              <w:bottom w:val="single" w:sz="4" w:space="0" w:color="auto"/>
              <w:right w:val="single" w:sz="4" w:space="0" w:color="auto"/>
            </w:tcBorders>
            <w:noWrap/>
            <w:vAlign w:val="center"/>
          </w:tcPr>
          <w:p w14:paraId="2F18166B" w14:textId="77777777" w:rsidR="00EA0A01" w:rsidRPr="00C35CA8" w:rsidRDefault="00EA0A01" w:rsidP="00AA7E7B">
            <w:pPr>
              <w:jc w:val="left"/>
              <w:rPr>
                <w:sz w:val="18"/>
                <w:szCs w:val="18"/>
              </w:rPr>
            </w:pPr>
            <w:r w:rsidRPr="00C35CA8">
              <w:rPr>
                <w:sz w:val="18"/>
                <w:szCs w:val="18"/>
              </w:rPr>
              <w:t>spoločnosť s ručením obmedzeným</w:t>
            </w:r>
          </w:p>
        </w:tc>
      </w:tr>
      <w:tr w:rsidR="000C5C45" w:rsidRPr="00C35CA8" w14:paraId="5410A0F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A73569F" w14:textId="0B412986" w:rsidR="000C5C45" w:rsidRPr="00C35CA8" w:rsidRDefault="003D4DC2" w:rsidP="00AA7E7B">
            <w:pPr>
              <w:jc w:val="left"/>
              <w:rPr>
                <w:sz w:val="18"/>
                <w:szCs w:val="18"/>
              </w:rPr>
            </w:pPr>
            <w:r w:rsidRPr="00C35CA8">
              <w:rPr>
                <w:sz w:val="18"/>
                <w:szCs w:val="18"/>
              </w:rPr>
              <w:t xml:space="preserve">ŠR </w:t>
            </w:r>
            <w:r w:rsidR="000C5C45" w:rsidRPr="00C35CA8">
              <w:rPr>
                <w:sz w:val="18"/>
                <w:szCs w:val="18"/>
              </w:rPr>
              <w:t>ŠR</w:t>
            </w:r>
          </w:p>
        </w:tc>
        <w:tc>
          <w:tcPr>
            <w:tcW w:w="7229" w:type="dxa"/>
            <w:tcBorders>
              <w:top w:val="single" w:sz="4" w:space="0" w:color="auto"/>
              <w:left w:val="single" w:sz="4" w:space="0" w:color="auto"/>
              <w:bottom w:val="single" w:sz="4" w:space="0" w:color="auto"/>
              <w:right w:val="single" w:sz="4" w:space="0" w:color="auto"/>
            </w:tcBorders>
            <w:noWrap/>
            <w:vAlign w:val="center"/>
          </w:tcPr>
          <w:p w14:paraId="65CF12C9" w14:textId="77777777" w:rsidR="000C5C45" w:rsidRPr="00C35CA8" w:rsidRDefault="000C5C45" w:rsidP="00AA7E7B">
            <w:pPr>
              <w:jc w:val="left"/>
              <w:rPr>
                <w:sz w:val="18"/>
                <w:szCs w:val="18"/>
              </w:rPr>
            </w:pPr>
            <w:r w:rsidRPr="00C35CA8">
              <w:rPr>
                <w:sz w:val="18"/>
                <w:szCs w:val="18"/>
              </w:rPr>
              <w:t>štátny rozpočet Slovenskej republiky</w:t>
            </w:r>
          </w:p>
        </w:tc>
      </w:tr>
      <w:tr w:rsidR="000C5C45" w:rsidRPr="00C35CA8" w14:paraId="39E59B6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1CFC8F9B" w14:textId="77777777" w:rsidR="000C5C45" w:rsidRPr="00C35CA8" w:rsidRDefault="000C5C45" w:rsidP="00AA7E7B">
            <w:pPr>
              <w:jc w:val="left"/>
              <w:rPr>
                <w:sz w:val="18"/>
                <w:szCs w:val="18"/>
              </w:rPr>
            </w:pPr>
            <w:r w:rsidRPr="00C35CA8">
              <w:rPr>
                <w:sz w:val="18"/>
                <w:szCs w:val="18"/>
              </w:rPr>
              <w:t>ŠÚ SR</w:t>
            </w:r>
          </w:p>
        </w:tc>
        <w:tc>
          <w:tcPr>
            <w:tcW w:w="7229" w:type="dxa"/>
            <w:tcBorders>
              <w:top w:val="single" w:sz="4" w:space="0" w:color="auto"/>
              <w:left w:val="single" w:sz="4" w:space="0" w:color="auto"/>
              <w:bottom w:val="single" w:sz="4" w:space="0" w:color="auto"/>
              <w:right w:val="single" w:sz="4" w:space="0" w:color="auto"/>
            </w:tcBorders>
            <w:noWrap/>
            <w:vAlign w:val="center"/>
          </w:tcPr>
          <w:p w14:paraId="201DFFA8" w14:textId="77777777" w:rsidR="000C5C45" w:rsidRPr="00C35CA8" w:rsidRDefault="000C5C45" w:rsidP="00AA7E7B">
            <w:pPr>
              <w:jc w:val="left"/>
              <w:rPr>
                <w:sz w:val="18"/>
                <w:szCs w:val="18"/>
              </w:rPr>
            </w:pPr>
            <w:r w:rsidRPr="00C35CA8">
              <w:rPr>
                <w:sz w:val="18"/>
                <w:szCs w:val="18"/>
              </w:rPr>
              <w:t>Štatistický úrad Slovenskej republiky</w:t>
            </w:r>
          </w:p>
        </w:tc>
      </w:tr>
      <w:tr w:rsidR="000C5C45" w:rsidRPr="00C35CA8" w14:paraId="5EA44DD2"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3887DAA5" w14:textId="77777777" w:rsidR="000C5C45" w:rsidRPr="00C35CA8" w:rsidRDefault="000C5C45" w:rsidP="00AA7E7B">
            <w:pPr>
              <w:jc w:val="left"/>
              <w:rPr>
                <w:sz w:val="18"/>
                <w:szCs w:val="18"/>
              </w:rPr>
            </w:pPr>
            <w:r w:rsidRPr="00C35CA8">
              <w:rPr>
                <w:sz w:val="18"/>
                <w:szCs w:val="18"/>
              </w:rPr>
              <w:t>SŠ</w:t>
            </w:r>
          </w:p>
        </w:tc>
        <w:tc>
          <w:tcPr>
            <w:tcW w:w="7229" w:type="dxa"/>
            <w:tcBorders>
              <w:top w:val="single" w:sz="4" w:space="0" w:color="auto"/>
              <w:left w:val="single" w:sz="4" w:space="0" w:color="auto"/>
              <w:bottom w:val="single" w:sz="4" w:space="0" w:color="auto"/>
              <w:right w:val="single" w:sz="4" w:space="0" w:color="auto"/>
            </w:tcBorders>
            <w:noWrap/>
            <w:vAlign w:val="center"/>
          </w:tcPr>
          <w:p w14:paraId="4EDBBB11" w14:textId="77777777" w:rsidR="000C5C45" w:rsidRPr="00C35CA8" w:rsidRDefault="000C5C45" w:rsidP="00AA7E7B">
            <w:pPr>
              <w:jc w:val="left"/>
              <w:rPr>
                <w:sz w:val="18"/>
                <w:szCs w:val="18"/>
              </w:rPr>
            </w:pPr>
            <w:r w:rsidRPr="00C35CA8">
              <w:rPr>
                <w:sz w:val="18"/>
                <w:szCs w:val="18"/>
              </w:rPr>
              <w:t>stredná škola</w:t>
            </w:r>
          </w:p>
        </w:tc>
      </w:tr>
      <w:tr w:rsidR="00DA3889" w:rsidRPr="00C35CA8" w14:paraId="177BF13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04A588A" w14:textId="77777777" w:rsidR="00DA3889" w:rsidRPr="00C35CA8" w:rsidRDefault="00DA3889" w:rsidP="00AA7E7B">
            <w:pPr>
              <w:jc w:val="left"/>
              <w:rPr>
                <w:sz w:val="18"/>
                <w:szCs w:val="18"/>
              </w:rPr>
            </w:pPr>
            <w:r w:rsidRPr="00C35CA8">
              <w:rPr>
                <w:sz w:val="18"/>
                <w:szCs w:val="18"/>
              </w:rPr>
              <w:t>SZ</w:t>
            </w:r>
          </w:p>
        </w:tc>
        <w:tc>
          <w:tcPr>
            <w:tcW w:w="7229" w:type="dxa"/>
            <w:tcBorders>
              <w:top w:val="single" w:sz="4" w:space="0" w:color="auto"/>
              <w:left w:val="single" w:sz="4" w:space="0" w:color="auto"/>
              <w:bottom w:val="single" w:sz="4" w:space="0" w:color="auto"/>
              <w:right w:val="single" w:sz="4" w:space="0" w:color="auto"/>
            </w:tcBorders>
            <w:noWrap/>
            <w:vAlign w:val="center"/>
          </w:tcPr>
          <w:p w14:paraId="1F338B83" w14:textId="77777777" w:rsidR="00DA3889" w:rsidRPr="00C35CA8" w:rsidRDefault="00DA3889" w:rsidP="00AA7E7B">
            <w:pPr>
              <w:jc w:val="left"/>
              <w:rPr>
                <w:sz w:val="18"/>
                <w:szCs w:val="18"/>
              </w:rPr>
            </w:pPr>
            <w:r w:rsidRPr="00C35CA8">
              <w:rPr>
                <w:sz w:val="18"/>
                <w:szCs w:val="18"/>
              </w:rPr>
              <w:t>služby zamestnanosti</w:t>
            </w:r>
          </w:p>
        </w:tc>
      </w:tr>
      <w:tr w:rsidR="000C5C45" w:rsidRPr="00C35CA8" w14:paraId="223E86CF"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8E18F8B" w14:textId="77777777" w:rsidR="000C5C45" w:rsidRPr="00C35CA8" w:rsidRDefault="000C5C45" w:rsidP="00AA7E7B">
            <w:pPr>
              <w:jc w:val="left"/>
              <w:rPr>
                <w:sz w:val="18"/>
                <w:szCs w:val="18"/>
              </w:rPr>
            </w:pPr>
            <w:r w:rsidRPr="00C35CA8">
              <w:rPr>
                <w:sz w:val="18"/>
                <w:szCs w:val="18"/>
              </w:rPr>
              <w:t>SZČ</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04C82B0" w14:textId="77777777" w:rsidR="000C5C45" w:rsidRPr="00C35CA8" w:rsidRDefault="000C5C45" w:rsidP="00AA7E7B">
            <w:pPr>
              <w:jc w:val="left"/>
              <w:rPr>
                <w:sz w:val="18"/>
                <w:szCs w:val="18"/>
              </w:rPr>
            </w:pPr>
            <w:r w:rsidRPr="00C35CA8">
              <w:rPr>
                <w:sz w:val="18"/>
                <w:szCs w:val="18"/>
              </w:rPr>
              <w:t>samostatná zárobková činnosť</w:t>
            </w:r>
          </w:p>
        </w:tc>
      </w:tr>
      <w:tr w:rsidR="000C5C45" w:rsidRPr="00C35CA8" w14:paraId="529589FD"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3C68A1D" w14:textId="77777777" w:rsidR="000C5C45" w:rsidRPr="00C35CA8" w:rsidRDefault="000C5C45" w:rsidP="00AA7E7B">
            <w:pPr>
              <w:jc w:val="left"/>
              <w:rPr>
                <w:sz w:val="18"/>
                <w:szCs w:val="18"/>
              </w:rPr>
            </w:pPr>
            <w:r w:rsidRPr="00C35CA8">
              <w:rPr>
                <w:sz w:val="18"/>
                <w:szCs w:val="18"/>
              </w:rPr>
              <w:t>SZČO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02AD6F5A" w14:textId="77777777" w:rsidR="000C5C45" w:rsidRPr="00C35CA8" w:rsidRDefault="000C5C45" w:rsidP="00AA7E7B">
            <w:pPr>
              <w:jc w:val="left"/>
              <w:rPr>
                <w:sz w:val="18"/>
                <w:szCs w:val="18"/>
              </w:rPr>
            </w:pPr>
            <w:r w:rsidRPr="00C35CA8">
              <w:rPr>
                <w:sz w:val="18"/>
                <w:szCs w:val="18"/>
              </w:rPr>
              <w:t>samostatne zárobkovo činná osoba</w:t>
            </w:r>
          </w:p>
        </w:tc>
      </w:tr>
      <w:tr w:rsidR="000F4585" w:rsidRPr="00C35CA8" w14:paraId="1E6A263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4DDB94E4" w14:textId="77777777" w:rsidR="000F4585" w:rsidRPr="00C35CA8" w:rsidRDefault="000F4585" w:rsidP="00AA7E7B">
            <w:pPr>
              <w:jc w:val="left"/>
              <w:rPr>
                <w:sz w:val="18"/>
                <w:szCs w:val="18"/>
              </w:rPr>
            </w:pPr>
            <w:r w:rsidRPr="00C35CA8">
              <w:rPr>
                <w:sz w:val="18"/>
                <w:szCs w:val="18"/>
              </w:rPr>
              <w:t>SZÚ</w:t>
            </w:r>
          </w:p>
        </w:tc>
        <w:tc>
          <w:tcPr>
            <w:tcW w:w="7229" w:type="dxa"/>
            <w:tcBorders>
              <w:top w:val="single" w:sz="4" w:space="0" w:color="auto"/>
              <w:left w:val="single" w:sz="4" w:space="0" w:color="auto"/>
              <w:bottom w:val="single" w:sz="4" w:space="0" w:color="auto"/>
              <w:right w:val="single" w:sz="4" w:space="0" w:color="auto"/>
            </w:tcBorders>
            <w:noWrap/>
            <w:vAlign w:val="center"/>
          </w:tcPr>
          <w:p w14:paraId="7BEBC178" w14:textId="77777777" w:rsidR="000F4585" w:rsidRPr="00C35CA8" w:rsidRDefault="000F4585" w:rsidP="00AA7E7B">
            <w:pPr>
              <w:spacing w:after="0"/>
              <w:ind w:firstLine="0"/>
              <w:jc w:val="left"/>
              <w:rPr>
                <w:sz w:val="18"/>
                <w:szCs w:val="18"/>
              </w:rPr>
            </w:pPr>
            <w:r w:rsidRPr="00C35CA8">
              <w:rPr>
                <w:sz w:val="18"/>
                <w:szCs w:val="18"/>
              </w:rPr>
              <w:t>sprostredkovanie zamestnania za úhradu</w:t>
            </w:r>
          </w:p>
        </w:tc>
      </w:tr>
      <w:tr w:rsidR="00EA0A01" w:rsidRPr="00C35CA8" w14:paraId="7CABFFA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948A4C8" w14:textId="77777777" w:rsidR="00EA0A01" w:rsidRPr="00C35CA8" w:rsidRDefault="00EA0A01" w:rsidP="00AA7E7B">
            <w:pPr>
              <w:jc w:val="left"/>
              <w:rPr>
                <w:sz w:val="18"/>
                <w:szCs w:val="18"/>
              </w:rPr>
            </w:pPr>
            <w:r w:rsidRPr="00C35CA8">
              <w:rPr>
                <w:sz w:val="18"/>
                <w:szCs w:val="18"/>
              </w:rPr>
              <w:t>TMS</w:t>
            </w:r>
          </w:p>
        </w:tc>
        <w:tc>
          <w:tcPr>
            <w:tcW w:w="7229" w:type="dxa"/>
            <w:tcBorders>
              <w:top w:val="single" w:sz="4" w:space="0" w:color="auto"/>
              <w:left w:val="single" w:sz="4" w:space="0" w:color="auto"/>
              <w:bottom w:val="single" w:sz="4" w:space="0" w:color="auto"/>
              <w:right w:val="single" w:sz="4" w:space="0" w:color="auto"/>
            </w:tcBorders>
            <w:noWrap/>
            <w:vAlign w:val="center"/>
          </w:tcPr>
          <w:p w14:paraId="22E66B38" w14:textId="77777777" w:rsidR="00EA0A01" w:rsidRPr="00C35CA8" w:rsidRDefault="00EA0A01" w:rsidP="00AA7E7B">
            <w:pPr>
              <w:jc w:val="left"/>
              <w:rPr>
                <w:sz w:val="18"/>
                <w:szCs w:val="18"/>
              </w:rPr>
            </w:pPr>
            <w:r w:rsidRPr="00C35CA8">
              <w:rPr>
                <w:sz w:val="18"/>
                <w:szCs w:val="18"/>
              </w:rPr>
              <w:t>Targeted Mobility Scheme – finančná podpora mobility</w:t>
            </w:r>
          </w:p>
        </w:tc>
      </w:tr>
      <w:tr w:rsidR="00EC5594" w:rsidRPr="00C35CA8" w14:paraId="6AA015B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D7BD8B3" w14:textId="77777777" w:rsidR="00EC5594" w:rsidRPr="00C35CA8" w:rsidRDefault="00EC5594" w:rsidP="00AA7E7B">
            <w:pPr>
              <w:jc w:val="left"/>
              <w:rPr>
                <w:sz w:val="18"/>
                <w:szCs w:val="18"/>
              </w:rPr>
            </w:pPr>
            <w:r w:rsidRPr="00C35CA8">
              <w:rPr>
                <w:sz w:val="18"/>
                <w:szCs w:val="18"/>
              </w:rPr>
              <w:t>TP</w:t>
            </w:r>
          </w:p>
        </w:tc>
        <w:tc>
          <w:tcPr>
            <w:tcW w:w="7229" w:type="dxa"/>
            <w:tcBorders>
              <w:top w:val="single" w:sz="4" w:space="0" w:color="auto"/>
              <w:left w:val="single" w:sz="4" w:space="0" w:color="auto"/>
              <w:bottom w:val="single" w:sz="4" w:space="0" w:color="auto"/>
              <w:right w:val="single" w:sz="4" w:space="0" w:color="auto"/>
            </w:tcBorders>
            <w:noWrap/>
            <w:vAlign w:val="center"/>
          </w:tcPr>
          <w:p w14:paraId="433530DB" w14:textId="77777777" w:rsidR="00EC5594" w:rsidRPr="00C35CA8" w:rsidRDefault="00EC5594" w:rsidP="00AA7E7B">
            <w:pPr>
              <w:jc w:val="left"/>
              <w:rPr>
                <w:sz w:val="18"/>
                <w:szCs w:val="18"/>
              </w:rPr>
            </w:pPr>
            <w:r w:rsidRPr="00C35CA8">
              <w:rPr>
                <w:sz w:val="18"/>
                <w:szCs w:val="18"/>
              </w:rPr>
              <w:t>trh práce</w:t>
            </w:r>
          </w:p>
        </w:tc>
      </w:tr>
      <w:tr w:rsidR="000C5C45" w:rsidRPr="00C35CA8" w14:paraId="631FA52E"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A6D738F" w14:textId="77777777" w:rsidR="000C5C45" w:rsidRPr="00C35CA8" w:rsidRDefault="000C5C45" w:rsidP="00AA7E7B">
            <w:pPr>
              <w:jc w:val="left"/>
              <w:rPr>
                <w:sz w:val="18"/>
                <w:szCs w:val="18"/>
              </w:rPr>
            </w:pPr>
            <w:r w:rsidRPr="00C35CA8">
              <w:rPr>
                <w:sz w:val="18"/>
                <w:szCs w:val="18"/>
              </w:rPr>
              <w:t>UoZ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3F6EE44" w14:textId="77777777" w:rsidR="000C5C45" w:rsidRPr="00C35CA8" w:rsidRDefault="000C5C45" w:rsidP="00AA7E7B">
            <w:pPr>
              <w:jc w:val="left"/>
              <w:rPr>
                <w:sz w:val="18"/>
                <w:szCs w:val="18"/>
              </w:rPr>
            </w:pPr>
            <w:r w:rsidRPr="00C35CA8">
              <w:rPr>
                <w:sz w:val="18"/>
                <w:szCs w:val="18"/>
              </w:rPr>
              <w:t>uchádzač o zamestnanie</w:t>
            </w:r>
          </w:p>
        </w:tc>
      </w:tr>
      <w:tr w:rsidR="000C5C45" w:rsidRPr="00C35CA8" w14:paraId="258D897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5010C6ED" w14:textId="77777777" w:rsidR="000C5C45" w:rsidRPr="00C35CA8" w:rsidRDefault="000A1DEB" w:rsidP="00AA7E7B">
            <w:pPr>
              <w:jc w:val="left"/>
              <w:rPr>
                <w:sz w:val="18"/>
                <w:szCs w:val="18"/>
              </w:rPr>
            </w:pPr>
            <w:r w:rsidRPr="00C35CA8">
              <w:rPr>
                <w:sz w:val="18"/>
                <w:szCs w:val="18"/>
              </w:rPr>
              <w:t>Ú</w:t>
            </w:r>
            <w:r w:rsidR="000C5C45" w:rsidRPr="00C35CA8">
              <w:rPr>
                <w:sz w:val="18"/>
                <w:szCs w:val="18"/>
              </w:rPr>
              <w:t>rad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EAC5D8C" w14:textId="77777777" w:rsidR="000C5C45" w:rsidRPr="00C35CA8" w:rsidRDefault="000C5C45" w:rsidP="00AA7E7B">
            <w:pPr>
              <w:jc w:val="left"/>
              <w:rPr>
                <w:sz w:val="18"/>
                <w:szCs w:val="18"/>
              </w:rPr>
            </w:pPr>
            <w:r w:rsidRPr="00C35CA8">
              <w:rPr>
                <w:sz w:val="18"/>
                <w:szCs w:val="18"/>
              </w:rPr>
              <w:t>úrad práce, sociálnych vecí a rodiny</w:t>
            </w:r>
          </w:p>
        </w:tc>
      </w:tr>
      <w:tr w:rsidR="000C5C45" w:rsidRPr="00C35CA8" w14:paraId="1931915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1DF909E" w14:textId="77777777" w:rsidR="000C5C45" w:rsidRPr="00C35CA8" w:rsidRDefault="000A1DEB" w:rsidP="00AA7E7B">
            <w:pPr>
              <w:jc w:val="left"/>
              <w:rPr>
                <w:sz w:val="18"/>
                <w:szCs w:val="18"/>
              </w:rPr>
            </w:pPr>
            <w:r w:rsidRPr="00C35CA8">
              <w:rPr>
                <w:sz w:val="18"/>
                <w:szCs w:val="18"/>
              </w:rPr>
              <w:t>Ú</w:t>
            </w:r>
            <w:r w:rsidR="000C5C45" w:rsidRPr="00C35CA8">
              <w:rPr>
                <w:sz w:val="18"/>
                <w:szCs w:val="18"/>
              </w:rPr>
              <w:t>stredie</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8BBD6F0" w14:textId="77777777" w:rsidR="000C5C45" w:rsidRPr="00C35CA8" w:rsidRDefault="000C5C45" w:rsidP="00AA7E7B">
            <w:pPr>
              <w:jc w:val="left"/>
              <w:rPr>
                <w:sz w:val="18"/>
                <w:szCs w:val="18"/>
              </w:rPr>
            </w:pPr>
            <w:r w:rsidRPr="00C35CA8">
              <w:rPr>
                <w:sz w:val="18"/>
                <w:szCs w:val="18"/>
              </w:rPr>
              <w:t>Ústredie práce, sociálnych vecí a rodiny</w:t>
            </w:r>
          </w:p>
        </w:tc>
      </w:tr>
      <w:tr w:rsidR="000C5C45" w:rsidRPr="00C35CA8" w14:paraId="28E5350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1DA1ED35" w14:textId="77777777" w:rsidR="000C5C45" w:rsidRPr="00C35CA8" w:rsidRDefault="000C5C45" w:rsidP="00AA7E7B">
            <w:pPr>
              <w:jc w:val="left"/>
              <w:rPr>
                <w:sz w:val="18"/>
                <w:szCs w:val="18"/>
              </w:rPr>
            </w:pPr>
            <w:r w:rsidRPr="00C35CA8">
              <w:rPr>
                <w:sz w:val="18"/>
                <w:szCs w:val="18"/>
              </w:rPr>
              <w:t>VK</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815D6FA" w14:textId="77777777" w:rsidR="000C5C45" w:rsidRPr="00C35CA8" w:rsidRDefault="000C5C45" w:rsidP="00AA7E7B">
            <w:pPr>
              <w:jc w:val="left"/>
              <w:rPr>
                <w:sz w:val="18"/>
                <w:szCs w:val="18"/>
              </w:rPr>
            </w:pPr>
            <w:r w:rsidRPr="00C35CA8">
              <w:rPr>
                <w:sz w:val="18"/>
                <w:szCs w:val="18"/>
              </w:rPr>
              <w:t>výberové konanie</w:t>
            </w:r>
          </w:p>
        </w:tc>
      </w:tr>
      <w:tr w:rsidR="000C5C45" w:rsidRPr="00C35CA8" w14:paraId="3005F4CB"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C2FF8D9" w14:textId="77777777" w:rsidR="000C5C45" w:rsidRPr="00C35CA8" w:rsidRDefault="000C5C45" w:rsidP="00AA7E7B">
            <w:pPr>
              <w:jc w:val="left"/>
              <w:rPr>
                <w:sz w:val="18"/>
                <w:szCs w:val="18"/>
              </w:rPr>
            </w:pPr>
            <w:r w:rsidRPr="00C35CA8">
              <w:rPr>
                <w:sz w:val="18"/>
                <w:szCs w:val="18"/>
              </w:rPr>
              <w:t>VPM</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576A9C95" w14:textId="77777777" w:rsidR="000C5C45" w:rsidRPr="00C35CA8" w:rsidRDefault="000C5C45" w:rsidP="00AA7E7B">
            <w:pPr>
              <w:jc w:val="left"/>
              <w:rPr>
                <w:sz w:val="18"/>
                <w:szCs w:val="18"/>
              </w:rPr>
            </w:pPr>
            <w:r w:rsidRPr="00C35CA8">
              <w:rPr>
                <w:sz w:val="18"/>
                <w:szCs w:val="18"/>
              </w:rPr>
              <w:t>voľné pracovné miesto</w:t>
            </w:r>
          </w:p>
        </w:tc>
      </w:tr>
      <w:tr w:rsidR="000C5C45" w:rsidRPr="00C35CA8" w14:paraId="3CB4661C"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6F8CE277" w14:textId="77777777" w:rsidR="000C5C45" w:rsidRPr="00C35CA8" w:rsidRDefault="000C5C45" w:rsidP="00AA7E7B">
            <w:pPr>
              <w:jc w:val="left"/>
              <w:rPr>
                <w:sz w:val="18"/>
                <w:szCs w:val="18"/>
              </w:rPr>
            </w:pPr>
            <w:r w:rsidRPr="00C35CA8">
              <w:rPr>
                <w:sz w:val="18"/>
                <w:szCs w:val="18"/>
              </w:rPr>
              <w:t>VSZ</w:t>
            </w:r>
          </w:p>
        </w:tc>
        <w:tc>
          <w:tcPr>
            <w:tcW w:w="7229" w:type="dxa"/>
            <w:tcBorders>
              <w:top w:val="single" w:sz="4" w:space="0" w:color="auto"/>
              <w:left w:val="single" w:sz="4" w:space="0" w:color="auto"/>
              <w:bottom w:val="single" w:sz="4" w:space="0" w:color="auto"/>
              <w:right w:val="single" w:sz="4" w:space="0" w:color="auto"/>
            </w:tcBorders>
            <w:noWrap/>
            <w:vAlign w:val="center"/>
          </w:tcPr>
          <w:p w14:paraId="0AD8DD74" w14:textId="77777777" w:rsidR="000C5C45" w:rsidRPr="00C35CA8" w:rsidRDefault="000C5C45" w:rsidP="00AA7E7B">
            <w:pPr>
              <w:jc w:val="left"/>
              <w:rPr>
                <w:sz w:val="18"/>
                <w:szCs w:val="18"/>
              </w:rPr>
            </w:pPr>
            <w:r w:rsidRPr="00C35CA8">
              <w:rPr>
                <w:sz w:val="18"/>
                <w:szCs w:val="18"/>
              </w:rPr>
              <w:t>Verejné služby zamestnanosti</w:t>
            </w:r>
          </w:p>
        </w:tc>
      </w:tr>
      <w:tr w:rsidR="000C5C45" w:rsidRPr="00C35CA8" w14:paraId="1DA7D90A"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FBE1823" w14:textId="77777777" w:rsidR="000C5C45" w:rsidRPr="00C35CA8" w:rsidRDefault="000C5C45" w:rsidP="00AA7E7B">
            <w:pPr>
              <w:jc w:val="left"/>
              <w:rPr>
                <w:sz w:val="18"/>
                <w:szCs w:val="18"/>
              </w:rPr>
            </w:pPr>
            <w:r w:rsidRPr="00C35CA8">
              <w:rPr>
                <w:sz w:val="18"/>
                <w:szCs w:val="18"/>
              </w:rPr>
              <w:t>VŠ</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AB0D9FE" w14:textId="77777777" w:rsidR="000C5C45" w:rsidRPr="00C35CA8" w:rsidRDefault="000C5C45" w:rsidP="00AA7E7B">
            <w:pPr>
              <w:jc w:val="left"/>
              <w:rPr>
                <w:sz w:val="18"/>
                <w:szCs w:val="18"/>
              </w:rPr>
            </w:pPr>
            <w:r w:rsidRPr="00C35CA8">
              <w:rPr>
                <w:sz w:val="18"/>
                <w:szCs w:val="18"/>
              </w:rPr>
              <w:t>vysoká škola</w:t>
            </w:r>
          </w:p>
        </w:tc>
      </w:tr>
      <w:tr w:rsidR="000C5C45" w:rsidRPr="00C35CA8" w14:paraId="4DCE0553"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4B3E2076" w14:textId="77777777" w:rsidR="000C5C45" w:rsidRPr="00C35CA8" w:rsidRDefault="000C5C45" w:rsidP="00AA7E7B">
            <w:pPr>
              <w:jc w:val="left"/>
              <w:rPr>
                <w:sz w:val="18"/>
                <w:szCs w:val="18"/>
              </w:rPr>
            </w:pPr>
            <w:r w:rsidRPr="00C35CA8">
              <w:rPr>
                <w:sz w:val="18"/>
                <w:szCs w:val="18"/>
              </w:rPr>
              <w:t>VzPrTP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297021D1" w14:textId="77777777" w:rsidR="000C5C45" w:rsidRPr="00C35CA8" w:rsidRDefault="000C5C45" w:rsidP="00AA7E7B">
            <w:pPr>
              <w:jc w:val="left"/>
              <w:rPr>
                <w:sz w:val="18"/>
                <w:szCs w:val="18"/>
              </w:rPr>
            </w:pPr>
            <w:r w:rsidRPr="00C35CA8">
              <w:rPr>
                <w:sz w:val="18"/>
                <w:szCs w:val="18"/>
              </w:rPr>
              <w:t>vzdelávanie a príprava pre trh práce</w:t>
            </w:r>
          </w:p>
        </w:tc>
      </w:tr>
      <w:tr w:rsidR="000C5C45" w:rsidRPr="00C35CA8" w14:paraId="1C98F786"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3AF160B" w14:textId="77777777" w:rsidR="000C5C45" w:rsidRPr="00C35CA8" w:rsidRDefault="000C5C45" w:rsidP="00AA7E7B">
            <w:pPr>
              <w:jc w:val="left"/>
              <w:rPr>
                <w:sz w:val="18"/>
                <w:szCs w:val="18"/>
              </w:rPr>
            </w:pPr>
            <w:r w:rsidRPr="00C35CA8">
              <w:rPr>
                <w:sz w:val="18"/>
                <w:szCs w:val="18"/>
              </w:rPr>
              <w:t>Z. 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1EED9C7C" w14:textId="77777777" w:rsidR="000C5C45" w:rsidRPr="00C35CA8" w:rsidRDefault="000C5C45" w:rsidP="00AA7E7B">
            <w:pPr>
              <w:jc w:val="left"/>
              <w:rPr>
                <w:sz w:val="18"/>
                <w:szCs w:val="18"/>
              </w:rPr>
            </w:pPr>
            <w:r w:rsidRPr="00C35CA8">
              <w:rPr>
                <w:sz w:val="18"/>
                <w:szCs w:val="18"/>
              </w:rPr>
              <w:t>zbierka zákonov</w:t>
            </w:r>
          </w:p>
        </w:tc>
      </w:tr>
      <w:tr w:rsidR="000C5C45" w:rsidRPr="00C35CA8" w14:paraId="3A913A5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335C852E" w14:textId="77777777" w:rsidR="000C5C45" w:rsidRPr="00C35CA8" w:rsidRDefault="000C5C45" w:rsidP="00AA7E7B">
            <w:pPr>
              <w:jc w:val="left"/>
              <w:rPr>
                <w:sz w:val="18"/>
                <w:szCs w:val="18"/>
              </w:rPr>
            </w:pPr>
            <w:r w:rsidRPr="00C35CA8">
              <w:rPr>
                <w:sz w:val="18"/>
                <w:szCs w:val="18"/>
              </w:rPr>
              <w:t>Zákonník práce</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F6E03B5" w14:textId="77777777" w:rsidR="000C5C45" w:rsidRPr="00C35CA8" w:rsidRDefault="000C5C45" w:rsidP="00AA7E7B">
            <w:pPr>
              <w:jc w:val="left"/>
              <w:rPr>
                <w:sz w:val="18"/>
                <w:szCs w:val="18"/>
              </w:rPr>
            </w:pPr>
            <w:r w:rsidRPr="00C35CA8">
              <w:rPr>
                <w:sz w:val="18"/>
                <w:szCs w:val="18"/>
              </w:rPr>
              <w:t xml:space="preserve">zákon č. 311/2001 Z. z. </w:t>
            </w:r>
            <w:r w:rsidR="00EA625D" w:rsidRPr="00C35CA8">
              <w:rPr>
                <w:sz w:val="18"/>
                <w:szCs w:val="18"/>
              </w:rPr>
              <w:t xml:space="preserve">- </w:t>
            </w:r>
            <w:r w:rsidRPr="00C35CA8">
              <w:rPr>
                <w:sz w:val="18"/>
                <w:szCs w:val="18"/>
              </w:rPr>
              <w:t>Zákonník práce</w:t>
            </w:r>
          </w:p>
        </w:tc>
      </w:tr>
      <w:tr w:rsidR="000C5C45" w:rsidRPr="00C35CA8" w14:paraId="4A4BCFA9"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707780DA" w14:textId="77777777" w:rsidR="000C5C45" w:rsidRPr="00C35CA8" w:rsidRDefault="000C5C45" w:rsidP="00AA7E7B">
            <w:pPr>
              <w:jc w:val="left"/>
              <w:rPr>
                <w:sz w:val="18"/>
                <w:szCs w:val="18"/>
              </w:rPr>
            </w:pPr>
            <w:r w:rsidRPr="00C35CA8">
              <w:rPr>
                <w:sz w:val="18"/>
                <w:szCs w:val="18"/>
              </w:rPr>
              <w:t>zákon o službách zamestnanosti/ zákon</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33973151" w14:textId="77777777" w:rsidR="000C5C45" w:rsidRPr="00C35CA8" w:rsidRDefault="000C5C45" w:rsidP="00AA7E7B">
            <w:pPr>
              <w:jc w:val="left"/>
              <w:rPr>
                <w:sz w:val="18"/>
                <w:szCs w:val="18"/>
              </w:rPr>
            </w:pPr>
            <w:r w:rsidRPr="00C35CA8">
              <w:rPr>
                <w:sz w:val="18"/>
                <w:szCs w:val="18"/>
              </w:rPr>
              <w:t>zákon č. 5/2004 Z. z. o službách zamestnanosti a o z mene a doplnení niektorých zákonov v znení neskorších predpisov</w:t>
            </w:r>
          </w:p>
        </w:tc>
      </w:tr>
      <w:tr w:rsidR="00966BB0" w:rsidRPr="00C35CA8" w14:paraId="532FDD8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596A5B10" w14:textId="77777777" w:rsidR="00966BB0" w:rsidRPr="00C35CA8" w:rsidRDefault="00966BB0" w:rsidP="00AA7E7B">
            <w:pPr>
              <w:jc w:val="left"/>
              <w:rPr>
                <w:sz w:val="18"/>
                <w:szCs w:val="18"/>
              </w:rPr>
            </w:pPr>
            <w:r w:rsidRPr="00C35CA8">
              <w:rPr>
                <w:sz w:val="18"/>
                <w:szCs w:val="18"/>
              </w:rPr>
              <w:t>ZAZ</w:t>
            </w:r>
          </w:p>
        </w:tc>
        <w:tc>
          <w:tcPr>
            <w:tcW w:w="7229" w:type="dxa"/>
            <w:tcBorders>
              <w:top w:val="single" w:sz="4" w:space="0" w:color="auto"/>
              <w:left w:val="single" w:sz="4" w:space="0" w:color="auto"/>
              <w:bottom w:val="single" w:sz="4" w:space="0" w:color="auto"/>
              <w:right w:val="single" w:sz="4" w:space="0" w:color="auto"/>
            </w:tcBorders>
            <w:noWrap/>
            <w:vAlign w:val="center"/>
          </w:tcPr>
          <w:p w14:paraId="60345864" w14:textId="77777777" w:rsidR="00966BB0" w:rsidRPr="00C35CA8" w:rsidRDefault="00966BB0" w:rsidP="00AA7E7B">
            <w:pPr>
              <w:jc w:val="left"/>
              <w:rPr>
                <w:sz w:val="18"/>
                <w:szCs w:val="18"/>
              </w:rPr>
            </w:pPr>
            <w:r w:rsidRPr="00C35CA8">
              <w:rPr>
                <w:sz w:val="18"/>
                <w:szCs w:val="18"/>
              </w:rPr>
              <w:t>zvýšená aktivita k zamestnaniu</w:t>
            </w:r>
          </w:p>
        </w:tc>
      </w:tr>
      <w:tr w:rsidR="000C5C45" w:rsidRPr="00C35CA8" w14:paraId="64BB1428"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6E525EC7" w14:textId="77777777" w:rsidR="000C5C45" w:rsidRPr="00C35CA8" w:rsidRDefault="000C5C45" w:rsidP="00AA7E7B">
            <w:pPr>
              <w:jc w:val="left"/>
              <w:rPr>
                <w:sz w:val="18"/>
                <w:szCs w:val="18"/>
              </w:rPr>
            </w:pPr>
            <w:r w:rsidRPr="00C35CA8">
              <w:rPr>
                <w:sz w:val="18"/>
                <w:szCs w:val="18"/>
              </w:rPr>
              <w:t>ZoZ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90AF738" w14:textId="77777777" w:rsidR="000C5C45" w:rsidRPr="00C35CA8" w:rsidRDefault="000C5C45" w:rsidP="00AA7E7B">
            <w:pPr>
              <w:jc w:val="left"/>
              <w:rPr>
                <w:sz w:val="18"/>
                <w:szCs w:val="18"/>
              </w:rPr>
            </w:pPr>
            <w:r w:rsidRPr="00C35CA8">
              <w:rPr>
                <w:sz w:val="18"/>
                <w:szCs w:val="18"/>
              </w:rPr>
              <w:t>záujemca o zamestnanie</w:t>
            </w:r>
          </w:p>
        </w:tc>
      </w:tr>
      <w:tr w:rsidR="000C5C45" w:rsidRPr="00C35CA8" w14:paraId="198E9A97"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tcPr>
          <w:p w14:paraId="78012330" w14:textId="77777777" w:rsidR="000C5C45" w:rsidRPr="00C35CA8" w:rsidRDefault="000C5C45" w:rsidP="00AA7E7B">
            <w:pPr>
              <w:jc w:val="left"/>
              <w:rPr>
                <w:sz w:val="18"/>
                <w:szCs w:val="18"/>
              </w:rPr>
            </w:pPr>
            <w:r w:rsidRPr="00C35CA8">
              <w:rPr>
                <w:sz w:val="18"/>
                <w:szCs w:val="18"/>
              </w:rPr>
              <w:t>ZUoZ</w:t>
            </w:r>
          </w:p>
        </w:tc>
        <w:tc>
          <w:tcPr>
            <w:tcW w:w="7229" w:type="dxa"/>
            <w:tcBorders>
              <w:top w:val="single" w:sz="4" w:space="0" w:color="auto"/>
              <w:left w:val="single" w:sz="4" w:space="0" w:color="auto"/>
              <w:bottom w:val="single" w:sz="4" w:space="0" w:color="auto"/>
              <w:right w:val="single" w:sz="4" w:space="0" w:color="auto"/>
            </w:tcBorders>
            <w:noWrap/>
            <w:vAlign w:val="center"/>
          </w:tcPr>
          <w:p w14:paraId="5EAFCE6A" w14:textId="77777777" w:rsidR="000C5C45" w:rsidRPr="00C35CA8" w:rsidRDefault="000C5C45" w:rsidP="00AA7E7B">
            <w:pPr>
              <w:jc w:val="left"/>
              <w:rPr>
                <w:sz w:val="18"/>
                <w:szCs w:val="18"/>
              </w:rPr>
            </w:pPr>
            <w:r w:rsidRPr="00C35CA8">
              <w:rPr>
                <w:sz w:val="18"/>
                <w:szCs w:val="18"/>
              </w:rPr>
              <w:t>znevýhodnený uchádzač o zamestnanie</w:t>
            </w:r>
          </w:p>
        </w:tc>
      </w:tr>
      <w:tr w:rsidR="000C5C45" w:rsidRPr="00C35CA8" w14:paraId="6E7115A4"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ECD63C8" w14:textId="77777777" w:rsidR="000C5C45" w:rsidRPr="00C35CA8" w:rsidRDefault="000C5C45" w:rsidP="00AA7E7B">
            <w:pPr>
              <w:jc w:val="left"/>
              <w:rPr>
                <w:sz w:val="18"/>
                <w:szCs w:val="18"/>
              </w:rPr>
            </w:pPr>
            <w:r w:rsidRPr="00C35CA8">
              <w:rPr>
                <w:sz w:val="18"/>
                <w:szCs w:val="18"/>
              </w:rPr>
              <w:t>ZP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7879A9B9" w14:textId="77777777" w:rsidR="000C5C45" w:rsidRPr="00C35CA8" w:rsidRDefault="000C5C45" w:rsidP="00AA7E7B">
            <w:pPr>
              <w:jc w:val="left"/>
              <w:rPr>
                <w:sz w:val="18"/>
                <w:szCs w:val="18"/>
              </w:rPr>
            </w:pPr>
            <w:r w:rsidRPr="00C35CA8">
              <w:rPr>
                <w:sz w:val="18"/>
                <w:szCs w:val="18"/>
              </w:rPr>
              <w:t>zdravotné postihnutie</w:t>
            </w:r>
          </w:p>
        </w:tc>
      </w:tr>
      <w:tr w:rsidR="000C5C45" w:rsidRPr="00C35CA8" w14:paraId="355EE795" w14:textId="77777777" w:rsidTr="00607F78">
        <w:trPr>
          <w:trHeight w:val="20"/>
        </w:trPr>
        <w:tc>
          <w:tcPr>
            <w:tcW w:w="2142" w:type="dxa"/>
            <w:tcBorders>
              <w:top w:val="single" w:sz="4" w:space="0" w:color="auto"/>
              <w:left w:val="single" w:sz="4" w:space="0" w:color="auto"/>
              <w:bottom w:val="single" w:sz="4" w:space="0" w:color="auto"/>
              <w:right w:val="single" w:sz="4" w:space="0" w:color="auto"/>
            </w:tcBorders>
            <w:noWrap/>
            <w:vAlign w:val="center"/>
            <w:hideMark/>
          </w:tcPr>
          <w:p w14:paraId="0358231A" w14:textId="77777777" w:rsidR="000C5C45" w:rsidRPr="00C35CA8" w:rsidRDefault="000C5C45" w:rsidP="00AA7E7B">
            <w:pPr>
              <w:jc w:val="left"/>
              <w:rPr>
                <w:sz w:val="18"/>
                <w:szCs w:val="18"/>
              </w:rPr>
            </w:pPr>
            <w:r w:rsidRPr="00C35CA8">
              <w:rPr>
                <w:sz w:val="18"/>
                <w:szCs w:val="18"/>
              </w:rPr>
              <w:t>ZŠ</w:t>
            </w:r>
          </w:p>
        </w:tc>
        <w:tc>
          <w:tcPr>
            <w:tcW w:w="7229" w:type="dxa"/>
            <w:tcBorders>
              <w:top w:val="single" w:sz="4" w:space="0" w:color="auto"/>
              <w:left w:val="single" w:sz="4" w:space="0" w:color="auto"/>
              <w:bottom w:val="single" w:sz="4" w:space="0" w:color="auto"/>
              <w:right w:val="single" w:sz="4" w:space="0" w:color="auto"/>
            </w:tcBorders>
            <w:noWrap/>
            <w:vAlign w:val="center"/>
            <w:hideMark/>
          </w:tcPr>
          <w:p w14:paraId="67474CEC" w14:textId="77777777" w:rsidR="000C5C45" w:rsidRPr="00C35CA8" w:rsidRDefault="000C5C45" w:rsidP="00AA7E7B">
            <w:pPr>
              <w:jc w:val="left"/>
              <w:rPr>
                <w:sz w:val="18"/>
                <w:szCs w:val="18"/>
              </w:rPr>
            </w:pPr>
            <w:r w:rsidRPr="00C35CA8">
              <w:rPr>
                <w:sz w:val="18"/>
                <w:szCs w:val="18"/>
              </w:rPr>
              <w:t>základná škola</w:t>
            </w:r>
          </w:p>
        </w:tc>
      </w:tr>
      <w:bookmarkEnd w:id="1"/>
    </w:tbl>
    <w:p w14:paraId="14E6FD8C" w14:textId="77777777" w:rsidR="00013CB3" w:rsidRPr="00C35CA8" w:rsidRDefault="00013CB3" w:rsidP="00AA7E7B">
      <w:pPr>
        <w:ind w:firstLine="0"/>
        <w:jc w:val="left"/>
        <w:rPr>
          <w:sz w:val="18"/>
          <w:szCs w:val="18"/>
        </w:rPr>
      </w:pPr>
    </w:p>
    <w:p w14:paraId="7C99A318" w14:textId="77777777" w:rsidR="00607F78" w:rsidRPr="00C35CA8" w:rsidRDefault="00607F78" w:rsidP="00AA7E7B">
      <w:pPr>
        <w:ind w:firstLine="0"/>
        <w:jc w:val="left"/>
        <w:rPr>
          <w:sz w:val="18"/>
          <w:szCs w:val="18"/>
        </w:rPr>
      </w:pPr>
    </w:p>
    <w:p w14:paraId="2D12DB9D" w14:textId="77777777" w:rsidR="00607F78" w:rsidRPr="00C35CA8" w:rsidRDefault="00607F78" w:rsidP="00AA7E7B">
      <w:pPr>
        <w:ind w:firstLine="0"/>
        <w:jc w:val="left"/>
        <w:rPr>
          <w:sz w:val="18"/>
          <w:szCs w:val="18"/>
        </w:rPr>
      </w:pPr>
    </w:p>
    <w:p w14:paraId="477FCE4E" w14:textId="77777777" w:rsidR="00607F78" w:rsidRPr="00C35CA8" w:rsidRDefault="00607F78" w:rsidP="00AA7E7B">
      <w:pPr>
        <w:ind w:firstLine="0"/>
        <w:jc w:val="left"/>
        <w:rPr>
          <w:sz w:val="18"/>
          <w:szCs w:val="18"/>
        </w:rPr>
      </w:pPr>
    </w:p>
    <w:p w14:paraId="0D1A6FFD" w14:textId="77777777" w:rsidR="00607F78" w:rsidRPr="00C35CA8" w:rsidRDefault="00607F78" w:rsidP="00AA7E7B">
      <w:pPr>
        <w:ind w:firstLine="0"/>
        <w:jc w:val="left"/>
        <w:rPr>
          <w:sz w:val="18"/>
          <w:szCs w:val="18"/>
        </w:rPr>
      </w:pPr>
    </w:p>
    <w:p w14:paraId="4A46F4BB" w14:textId="77777777" w:rsidR="00607F78" w:rsidRPr="00C35CA8" w:rsidRDefault="00607F78" w:rsidP="00AA7E7B">
      <w:pPr>
        <w:ind w:firstLine="0"/>
        <w:jc w:val="left"/>
        <w:rPr>
          <w:sz w:val="18"/>
          <w:szCs w:val="18"/>
        </w:rPr>
      </w:pPr>
    </w:p>
    <w:p w14:paraId="1F279023" w14:textId="77777777" w:rsidR="00607F78" w:rsidRPr="00C35CA8" w:rsidRDefault="00607F78" w:rsidP="00AA7E7B">
      <w:pPr>
        <w:ind w:firstLine="0"/>
        <w:rPr>
          <w:sz w:val="18"/>
          <w:szCs w:val="18"/>
        </w:rPr>
      </w:pPr>
    </w:p>
    <w:p w14:paraId="4BD15F43" w14:textId="77777777" w:rsidR="00607F78" w:rsidRPr="00C35CA8" w:rsidRDefault="00607F78" w:rsidP="00AA7E7B">
      <w:pPr>
        <w:ind w:firstLine="0"/>
        <w:rPr>
          <w:sz w:val="18"/>
          <w:szCs w:val="18"/>
        </w:rPr>
      </w:pPr>
    </w:p>
    <w:p w14:paraId="3A40714B" w14:textId="77777777" w:rsidR="00607F78" w:rsidRPr="00C35CA8" w:rsidRDefault="00607F78" w:rsidP="00AA7E7B">
      <w:pPr>
        <w:ind w:firstLine="0"/>
      </w:pPr>
    </w:p>
    <w:p w14:paraId="55472FEC" w14:textId="77777777" w:rsidR="00607F78" w:rsidRPr="00C35CA8" w:rsidRDefault="00607F78" w:rsidP="00AA7E7B">
      <w:pPr>
        <w:ind w:firstLine="0"/>
      </w:pPr>
    </w:p>
    <w:p w14:paraId="27065D3B" w14:textId="77777777" w:rsidR="00607F78" w:rsidRPr="00C35CA8" w:rsidRDefault="00607F78" w:rsidP="00AA7E7B">
      <w:pPr>
        <w:ind w:firstLine="0"/>
      </w:pPr>
    </w:p>
    <w:p w14:paraId="3A337ADF" w14:textId="77777777" w:rsidR="00607F78" w:rsidRPr="00C35CA8" w:rsidRDefault="00607F78" w:rsidP="00AA7E7B">
      <w:pPr>
        <w:ind w:firstLine="0"/>
      </w:pPr>
    </w:p>
    <w:p w14:paraId="63FDA011" w14:textId="36BFB8F3" w:rsidR="00607F78" w:rsidRDefault="00607F78" w:rsidP="00AA7E7B">
      <w:pPr>
        <w:ind w:firstLine="0"/>
      </w:pPr>
    </w:p>
    <w:p w14:paraId="74270DF4" w14:textId="29EA7642" w:rsidR="00C30FF3" w:rsidRDefault="00C30FF3" w:rsidP="00AA7E7B">
      <w:pPr>
        <w:ind w:firstLine="0"/>
      </w:pPr>
    </w:p>
    <w:p w14:paraId="22C781E4" w14:textId="770363C8" w:rsidR="00C30FF3" w:rsidRDefault="00C30FF3" w:rsidP="00AA7E7B">
      <w:pPr>
        <w:ind w:firstLine="0"/>
      </w:pPr>
    </w:p>
    <w:p w14:paraId="5817D93B" w14:textId="5EDF0B88" w:rsidR="00C30FF3" w:rsidRDefault="00C30FF3" w:rsidP="00AA7E7B">
      <w:pPr>
        <w:ind w:firstLine="0"/>
      </w:pPr>
    </w:p>
    <w:p w14:paraId="2DCA4C61" w14:textId="77777777" w:rsidR="008C05DC" w:rsidRDefault="008C05DC" w:rsidP="00AA7E7B">
      <w:pPr>
        <w:ind w:firstLine="0"/>
      </w:pPr>
    </w:p>
    <w:p w14:paraId="73CBA78B" w14:textId="77777777" w:rsidR="00C30FF3" w:rsidRPr="00C35CA8" w:rsidRDefault="00C30FF3" w:rsidP="00AA7E7B">
      <w:pPr>
        <w:ind w:firstLine="0"/>
      </w:pPr>
    </w:p>
    <w:p w14:paraId="13F28AF7" w14:textId="77777777" w:rsidR="00607F78" w:rsidRPr="00C35CA8" w:rsidRDefault="00607F78" w:rsidP="00AA7E7B">
      <w:pPr>
        <w:ind w:firstLine="0"/>
      </w:pPr>
    </w:p>
    <w:p w14:paraId="543AFCA8" w14:textId="2F92910B" w:rsidR="0036738A" w:rsidRPr="00C35CA8" w:rsidRDefault="00EE4038" w:rsidP="00BB562F">
      <w:pPr>
        <w:pStyle w:val="Nadpis1"/>
        <w:numPr>
          <w:ilvl w:val="0"/>
          <w:numId w:val="0"/>
        </w:numPr>
        <w:ind w:left="142" w:hanging="142"/>
      </w:pPr>
      <w:bookmarkStart w:id="4" w:name="_Toc173741536"/>
      <w:r w:rsidRPr="00C35CA8">
        <w:lastRenderedPageBreak/>
        <w:t>1</w:t>
      </w:r>
      <w:r w:rsidR="00CE3F4C" w:rsidRPr="00C35CA8">
        <w:t xml:space="preserve"> </w:t>
      </w:r>
      <w:r w:rsidR="00AA7E7B" w:rsidRPr="00C35CA8">
        <w:t>AKTÍVNA POLITIKA TRHU PRÁCE - NÁSTROJ</w:t>
      </w:r>
      <w:r w:rsidR="000C399B" w:rsidRPr="00C35CA8">
        <w:t xml:space="preserve"> </w:t>
      </w:r>
      <w:r w:rsidR="00962660" w:rsidRPr="00C35CA8">
        <w:t xml:space="preserve">ZNIŽOVANIA </w:t>
      </w:r>
      <w:r w:rsidR="00ED3145" w:rsidRPr="00C35CA8">
        <w:t>NEROVNOVÁHY</w:t>
      </w:r>
      <w:r w:rsidR="00BB562F" w:rsidRPr="00C35CA8">
        <w:t xml:space="preserve"> </w:t>
      </w:r>
      <w:r w:rsidR="00ED3145" w:rsidRPr="00C35CA8">
        <w:t>NA TRHU PRÁCE</w:t>
      </w:r>
      <w:bookmarkEnd w:id="4"/>
    </w:p>
    <w:p w14:paraId="27ED5B98" w14:textId="3D2137F0" w:rsidR="006602D6" w:rsidRPr="00C35CA8" w:rsidRDefault="00FB68DA" w:rsidP="00FB68DA">
      <w:pPr>
        <w:tabs>
          <w:tab w:val="right" w:leader="dot" w:pos="8931"/>
        </w:tabs>
        <w:spacing w:before="120" w:after="120"/>
        <w:ind w:firstLine="0"/>
        <w:rPr>
          <w:i/>
        </w:rPr>
      </w:pPr>
      <w:r w:rsidRPr="00C35CA8">
        <w:t>Slovenská republika bude v blízkej budúcnosti čeliť na trhu práce dvom hlavným výzva</w:t>
      </w:r>
      <w:r w:rsidR="00D218F0" w:rsidRPr="00C35CA8">
        <w:t>m</w:t>
      </w:r>
      <w:r w:rsidRPr="00C35CA8">
        <w:t xml:space="preserve">, a to demografickým zmenám a nedostatku pracovníkov. Demografické zmeny a starnutie populácie sa prejavia v rastúcom počte ľudí odkázaných na dlhodobú starostlivosť a služby zdravotníctva. Ani jeden z týchto sektorov nie je pripravený na dlhodobé poskytovanie potrebných služieb. Druhým faktorom demografických zmien je v blízkej budúcnosti klesajúci počet ľudí                        v ekonomicky aktívnom veku. </w:t>
      </w:r>
      <w:r w:rsidR="006602D6" w:rsidRPr="00C35CA8">
        <w:t xml:space="preserve">Napr. len slovenský automobilový priemysel bude potrebovať tisícky nových pracovných síl. Ako uviedol prezident Zväzu automobilového priemyslu SR Alexander Matušek </w:t>
      </w:r>
      <w:r w:rsidR="00014D4D" w:rsidRPr="00C35CA8">
        <w:t xml:space="preserve">pre agentúru SITA dňa 19. 4. 2024 </w:t>
      </w:r>
      <w:r w:rsidR="00772DE6" w:rsidRPr="00C35CA8">
        <w:rPr>
          <w:i/>
        </w:rPr>
        <w:t>„</w:t>
      </w:r>
      <w:r w:rsidR="006602D6" w:rsidRPr="00C35CA8">
        <w:rPr>
          <w:i/>
        </w:rPr>
        <w:t xml:space="preserve">dve automobilky zo západu Slovenska by v najbližšom období chceli prijať približne štyritisíc ľudí, Volvo pri Košiciach spolu </w:t>
      </w:r>
      <w:r w:rsidR="00014D4D" w:rsidRPr="00C35CA8">
        <w:rPr>
          <w:i/>
        </w:rPr>
        <w:t xml:space="preserve">                      </w:t>
      </w:r>
      <w:r w:rsidR="008C05DC">
        <w:rPr>
          <w:i/>
        </w:rPr>
        <w:t xml:space="preserve">s dodávateľmi minimálne 12 </w:t>
      </w:r>
      <w:r w:rsidR="006602D6" w:rsidRPr="00C35CA8">
        <w:rPr>
          <w:i/>
        </w:rPr>
        <w:t>tisíc. Ďalších štyritisíc až šesťtisíc pracovníkov by mohla zhltnúť nová baterkáreň pri Šuranoch</w:t>
      </w:r>
      <w:r w:rsidR="00014D4D" w:rsidRPr="00C35CA8">
        <w:rPr>
          <w:i/>
        </w:rPr>
        <w:t>“</w:t>
      </w:r>
      <w:r w:rsidR="006602D6" w:rsidRPr="00C35CA8">
        <w:rPr>
          <w:i/>
        </w:rPr>
        <w:t>.</w:t>
      </w:r>
      <w:r w:rsidR="00772DE6" w:rsidRPr="00C35CA8">
        <w:rPr>
          <w:i/>
        </w:rPr>
        <w:t xml:space="preserve"> </w:t>
      </w:r>
      <w:r w:rsidR="00772DE6" w:rsidRPr="00C35CA8">
        <w:t>Možno hovoriť o 20 až 25 tisícoch pracovných miestach, ktoré Slovensko v horizonte najbližších dvoch rokov potrebuje obsadiť. Celý sektor sa pritom už teraz borí s nedostatkom kvalifikovanej pracovnej sily a snaží sa ju získať aj za hranicami Slovenska.</w:t>
      </w:r>
      <w:r w:rsidR="00772DE6" w:rsidRPr="00C35CA8">
        <w:rPr>
          <w:i/>
        </w:rPr>
        <w:t xml:space="preserve"> „Naše stanovisko je také, že najlepší zamestnanec je pre nás slovenský zamestnanec, pretože ten je tu etablovaný, má tu svoju rodinu a môžeme na ňom dlhodobo stavať, keďže kvalifikácia stojí nesmierne finančné prostriedky," </w:t>
      </w:r>
      <w:r w:rsidR="00900B86" w:rsidRPr="00C35CA8">
        <w:t>zdôraznil Matušek</w:t>
      </w:r>
      <w:r w:rsidR="00014D4D" w:rsidRPr="00C35CA8">
        <w:t>.</w:t>
      </w:r>
    </w:p>
    <w:p w14:paraId="2E43F8C9" w14:textId="17095029" w:rsidR="00FB68DA" w:rsidRPr="00C35CA8" w:rsidRDefault="00FB68DA" w:rsidP="00FB68DA">
      <w:pPr>
        <w:tabs>
          <w:tab w:val="right" w:leader="dot" w:pos="8931"/>
        </w:tabs>
        <w:spacing w:before="120" w:after="120"/>
        <w:ind w:firstLine="0"/>
      </w:pPr>
      <w:r w:rsidRPr="00C35CA8">
        <w:t xml:space="preserve">Dôsledkom </w:t>
      </w:r>
      <w:r w:rsidR="00772DE6" w:rsidRPr="00C35CA8">
        <w:t xml:space="preserve">naznačeného vývoja na </w:t>
      </w:r>
      <w:r w:rsidR="005C2670" w:rsidRPr="00C35CA8">
        <w:t>pracovnom</w:t>
      </w:r>
      <w:r w:rsidR="00772DE6" w:rsidRPr="00C35CA8">
        <w:t xml:space="preserve"> trhu </w:t>
      </w:r>
      <w:r w:rsidRPr="00C35CA8">
        <w:t xml:space="preserve">bude, že bude nutné zapájať do zamestnanosti osoby najviac vzdialené od trhu práce, najmä dlhodobo nezamestnaných, ľudí </w:t>
      </w:r>
      <w:r w:rsidR="00900B86" w:rsidRPr="00C35CA8">
        <w:t xml:space="preserve">         </w:t>
      </w:r>
      <w:r w:rsidRPr="00C35CA8">
        <w:t xml:space="preserve">z rómskych osád, bývajúcich v najmenej rozvinutých okresoch a zdravotne postihnutých. Legislatíva a postupy zapájania týchto znevýhodnených osôb, najmä však viacnásobne znevýhodnených, je ďaleko za potenciálom. </w:t>
      </w:r>
    </w:p>
    <w:p w14:paraId="74BEC1DC" w14:textId="41D8FDD2" w:rsidR="00C35CA8" w:rsidRPr="00C35CA8" w:rsidRDefault="00F66651" w:rsidP="00710311">
      <w:pPr>
        <w:tabs>
          <w:tab w:val="right" w:leader="dot" w:pos="8931"/>
        </w:tabs>
        <w:spacing w:before="120" w:after="120"/>
        <w:ind w:firstLine="0"/>
      </w:pPr>
      <w:r w:rsidRPr="00C35CA8">
        <w:t xml:space="preserve">Jeden z kľúčových strategických rámcov pre oblasť aktívnej politiky trhu práce v súčasnom období je dokument Ministerstva práce, sociálnych vecí a rodiny Slovenskej republiky (ďalej aj „MPSVR SR“ alebo „ministerstvo“) </w:t>
      </w:r>
      <w:r w:rsidRPr="00C35CA8">
        <w:rPr>
          <w:i/>
        </w:rPr>
        <w:t>„Strategické priority rozvoja zamestnanosti v Slovenskej republike s výhľadom do roku 2030“ (SPRZ 2030)</w:t>
      </w:r>
      <w:r w:rsidRPr="00C35CA8">
        <w:t xml:space="preserve">. Dokument je súčasťou Národného strategického rámca aktívnej politiky trhu práce v rámci programového obdobia 2021 – 2027 </w:t>
      </w:r>
      <w:r w:rsidR="00263A44" w:rsidRPr="00C35CA8">
        <w:t xml:space="preserve">      </w:t>
      </w:r>
      <w:r w:rsidRPr="00C35CA8">
        <w:t>so zreteľom na usmernenia polit</w:t>
      </w:r>
      <w:r w:rsidR="00710311" w:rsidRPr="00C35CA8">
        <w:t>iky</w:t>
      </w:r>
      <w:r w:rsidRPr="00C35CA8">
        <w:t xml:space="preserve"> zamestnanosti, ktoré bude </w:t>
      </w:r>
      <w:r w:rsidR="00710311" w:rsidRPr="00C35CA8">
        <w:t>m</w:t>
      </w:r>
      <w:r w:rsidRPr="00C35CA8">
        <w:t xml:space="preserve">inisterstvo </w:t>
      </w:r>
      <w:r w:rsidR="00710311" w:rsidRPr="00C35CA8">
        <w:t>i</w:t>
      </w:r>
      <w:r w:rsidRPr="00C35CA8">
        <w:t>mplementovať spolu s relevantnými partnermi na národnej úrovni</w:t>
      </w:r>
      <w:r w:rsidR="008C05DC">
        <w:t>, vrátane Ústredia</w:t>
      </w:r>
      <w:r w:rsidR="00710311" w:rsidRPr="00C35CA8">
        <w:t xml:space="preserve"> a úradov práce, sociálnych vecí a</w:t>
      </w:r>
      <w:r w:rsidR="008C05DC">
        <w:t> rodiny. Jeho prostredníctvom sú</w:t>
      </w:r>
      <w:r w:rsidR="00710311" w:rsidRPr="00C35CA8">
        <w:t xml:space="preserve"> </w:t>
      </w:r>
      <w:r w:rsidR="008C05DC">
        <w:t>vytvorené</w:t>
      </w:r>
      <w:r w:rsidR="00710311" w:rsidRPr="00C35CA8">
        <w:t xml:space="preserve"> predpoklady na naplnenie kritérií základnej tematickej podmienky vyplývajúcej z návrhu </w:t>
      </w:r>
      <w:r w:rsidR="002E2CAC">
        <w:t>eur</w:t>
      </w:r>
      <w:r w:rsidR="00710311" w:rsidRPr="00C35CA8">
        <w:t xml:space="preserve">ópskej legislatívy pre oblasť </w:t>
      </w:r>
      <w:r w:rsidR="002E2CAC">
        <w:t>eur</w:t>
      </w:r>
      <w:r w:rsidR="00710311" w:rsidRPr="00C35CA8">
        <w:t xml:space="preserve">ópskych štrukturálnych a investičných fondov s názvom </w:t>
      </w:r>
      <w:r w:rsidR="00710311" w:rsidRPr="00C35CA8">
        <w:rPr>
          <w:i/>
        </w:rPr>
        <w:t>„Národný strategický rámec aktívnej politiky trhu práce“</w:t>
      </w:r>
      <w:r w:rsidR="00710311" w:rsidRPr="00C35CA8">
        <w:t>. Jedným z kritérií splnenia tejto základnej tematickej podmienky je, aby sa navrhovanie, implementácia, monitorovanie a preskúmavanie politík, vykonávali v úzkej spolupráci so zainteresovanými stranami.</w:t>
      </w:r>
    </w:p>
    <w:p w14:paraId="5F3F4DCC" w14:textId="5702F0CA" w:rsidR="007B1D57" w:rsidRPr="00C35CA8" w:rsidRDefault="00263A44" w:rsidP="00F66651">
      <w:pPr>
        <w:tabs>
          <w:tab w:val="right" w:leader="dot" w:pos="8931"/>
        </w:tabs>
        <w:spacing w:before="120" w:after="120"/>
        <w:ind w:firstLine="0"/>
      </w:pPr>
      <w:r w:rsidRPr="00C35CA8">
        <w:t xml:space="preserve">Strategické priority rozvoja zamestnanosti v SR </w:t>
      </w:r>
      <w:r w:rsidR="006F26F9" w:rsidRPr="00C35CA8">
        <w:t xml:space="preserve">2030 predstavujú širší tematický rámec pre ďalšie </w:t>
      </w:r>
      <w:r w:rsidR="002E2CAC" w:rsidRPr="00C35CA8">
        <w:t>stratégie</w:t>
      </w:r>
      <w:r w:rsidR="006F26F9" w:rsidRPr="00C35CA8">
        <w:t xml:space="preserve"> v oblasti aktívnej politiky trhu práce v </w:t>
      </w:r>
      <w:r w:rsidRPr="00C35CA8">
        <w:t>programovom období</w:t>
      </w:r>
      <w:r w:rsidR="007B1D57" w:rsidRPr="00C35CA8">
        <w:t xml:space="preserve"> 2021 – 2027. Z nich prvou</w:t>
      </w:r>
      <w:r w:rsidR="006F26F9" w:rsidRPr="00C35CA8">
        <w:t xml:space="preserve"> je </w:t>
      </w:r>
      <w:r w:rsidRPr="00C35CA8">
        <w:rPr>
          <w:i/>
        </w:rPr>
        <w:t>„</w:t>
      </w:r>
      <w:r w:rsidR="006F26F9" w:rsidRPr="00C35CA8">
        <w:rPr>
          <w:i/>
        </w:rPr>
        <w:t xml:space="preserve">Akčný plán na ďalšie posilnenie integrácie dlhodobo nezamestnaných na trh práce </w:t>
      </w:r>
      <w:r w:rsidR="008C05DC">
        <w:rPr>
          <w:i/>
        </w:rPr>
        <w:t xml:space="preserve">       </w:t>
      </w:r>
      <w:r w:rsidR="006F26F9" w:rsidRPr="00C35CA8">
        <w:rPr>
          <w:i/>
        </w:rPr>
        <w:t>v Slovenskej republike s výhľadom do roku 2030</w:t>
      </w:r>
      <w:r w:rsidRPr="00C35CA8">
        <w:rPr>
          <w:i/>
        </w:rPr>
        <w:t>“</w:t>
      </w:r>
      <w:r w:rsidR="006F26F9" w:rsidRPr="00C35CA8">
        <w:t xml:space="preserve">, </w:t>
      </w:r>
      <w:r w:rsidRPr="00C35CA8">
        <w:t>ktorý predstavuje</w:t>
      </w:r>
      <w:r w:rsidR="006F26F9" w:rsidRPr="00C35CA8">
        <w:t xml:space="preserve"> r</w:t>
      </w:r>
      <w:r w:rsidRPr="00C35CA8">
        <w:t>eakciu Slovenskej republiky na o</w:t>
      </w:r>
      <w:r w:rsidR="006F26F9" w:rsidRPr="00C35CA8">
        <w:t>dporúčanie Rady EÚ z 15.</w:t>
      </w:r>
      <w:r w:rsidRPr="00C35CA8">
        <w:t xml:space="preserve"> </w:t>
      </w:r>
      <w:r w:rsidR="00F457DA" w:rsidRPr="00C35CA8">
        <w:t>februára</w:t>
      </w:r>
      <w:r w:rsidRPr="00C35CA8">
        <w:t xml:space="preserve"> </w:t>
      </w:r>
      <w:r w:rsidR="006F26F9" w:rsidRPr="00C35CA8">
        <w:t>2016</w:t>
      </w:r>
      <w:r w:rsidRPr="00C35CA8">
        <w:t>,</w:t>
      </w:r>
      <w:r w:rsidR="006F26F9" w:rsidRPr="00C35CA8">
        <w:t xml:space="preserve"> týkajúce sa integrácie dlhodobo nezamestnaných d</w:t>
      </w:r>
      <w:r w:rsidRPr="00C35CA8">
        <w:t>o trhu práce a tiež reakciu na š</w:t>
      </w:r>
      <w:r w:rsidR="006F26F9" w:rsidRPr="00C35CA8">
        <w:t xml:space="preserve">pecifické odporúčania Rady EÚ pre Slovensko </w:t>
      </w:r>
      <w:r w:rsidR="00F457DA" w:rsidRPr="00C35CA8">
        <w:t xml:space="preserve">                                       </w:t>
      </w:r>
      <w:r w:rsidR="006F26F9" w:rsidRPr="00C35CA8">
        <w:t>z predchádzajúcich rokov (Country Specific recommendations - CSR). Druh</w:t>
      </w:r>
      <w:r w:rsidR="007B1D57" w:rsidRPr="00C35CA8">
        <w:t>ou</w:t>
      </w:r>
      <w:r w:rsidR="006F26F9" w:rsidRPr="00C35CA8">
        <w:t xml:space="preserve"> </w:t>
      </w:r>
      <w:r w:rsidR="002E2CAC" w:rsidRPr="00C35CA8">
        <w:t>stratégiou</w:t>
      </w:r>
      <w:r w:rsidR="007B1D57" w:rsidRPr="00C35CA8">
        <w:t xml:space="preserve"> </w:t>
      </w:r>
      <w:r w:rsidR="006F26F9" w:rsidRPr="00C35CA8">
        <w:t xml:space="preserve">je </w:t>
      </w:r>
      <w:r w:rsidRPr="00C35CA8">
        <w:rPr>
          <w:i/>
        </w:rPr>
        <w:t>„</w:t>
      </w:r>
      <w:r w:rsidR="006F26F9" w:rsidRPr="00C35CA8">
        <w:rPr>
          <w:i/>
        </w:rPr>
        <w:t>Národný plán posilnenia Záruky pre mladých ľudí v Slovenskej republike s výhľadom do roku 2030</w:t>
      </w:r>
      <w:r w:rsidRPr="00C35CA8">
        <w:rPr>
          <w:i/>
        </w:rPr>
        <w:t>“</w:t>
      </w:r>
      <w:r w:rsidR="006F26F9" w:rsidRPr="00C35CA8">
        <w:rPr>
          <w:i/>
        </w:rPr>
        <w:t xml:space="preserve"> </w:t>
      </w:r>
      <w:r w:rsidRPr="00C35CA8">
        <w:t>vypracovaný na základe o</w:t>
      </w:r>
      <w:r w:rsidR="006F26F9" w:rsidRPr="00C35CA8">
        <w:t xml:space="preserve">dporúčania Rady (EÚ) z 30. októbra 2020 o moste k pracovným miestam – posilnení Záruky pre mladých ľudí, a ktorým sa nahrádza odporúčanie Rady (EÚ) </w:t>
      </w:r>
      <w:r w:rsidR="00F457DA" w:rsidRPr="00C35CA8">
        <w:t xml:space="preserve">          </w:t>
      </w:r>
      <w:r w:rsidR="006F26F9" w:rsidRPr="00C35CA8">
        <w:t>z 22. apríla 2013 o zavedení záruky pre mladých ľudí (2020/C 372/01).</w:t>
      </w:r>
    </w:p>
    <w:p w14:paraId="58634939" w14:textId="5F18565D" w:rsidR="00F66651" w:rsidRPr="00C35CA8" w:rsidRDefault="006F26F9" w:rsidP="00F66651">
      <w:pPr>
        <w:tabs>
          <w:tab w:val="right" w:leader="dot" w:pos="8931"/>
        </w:tabs>
        <w:spacing w:before="120" w:after="120"/>
        <w:ind w:firstLine="0"/>
      </w:pPr>
      <w:r w:rsidRPr="00C35CA8">
        <w:t xml:space="preserve">Zároveň je potrebné </w:t>
      </w:r>
      <w:r w:rsidR="007B1D57" w:rsidRPr="00C35CA8">
        <w:t xml:space="preserve">uviesť, </w:t>
      </w:r>
      <w:r w:rsidRPr="00C35CA8">
        <w:t xml:space="preserve">že na národnej úrovni </w:t>
      </w:r>
      <w:r w:rsidR="007B1D57" w:rsidRPr="00C35CA8">
        <w:t xml:space="preserve">Strategické priority rozvoja zamestnanosti 2030 nadväzujú najmä na </w:t>
      </w:r>
      <w:r w:rsidR="00F71AD8" w:rsidRPr="00C35CA8">
        <w:rPr>
          <w:i/>
        </w:rPr>
        <w:t>Programové vyhlásenia</w:t>
      </w:r>
      <w:r w:rsidRPr="00C35CA8">
        <w:rPr>
          <w:i/>
        </w:rPr>
        <w:t xml:space="preserve"> vlády S</w:t>
      </w:r>
      <w:r w:rsidR="007B1D57" w:rsidRPr="00C35CA8">
        <w:rPr>
          <w:i/>
        </w:rPr>
        <w:t>R</w:t>
      </w:r>
      <w:r w:rsidR="007B1D57" w:rsidRPr="00C35CA8">
        <w:t xml:space="preserve">, </w:t>
      </w:r>
      <w:r w:rsidRPr="00C35CA8">
        <w:rPr>
          <w:i/>
        </w:rPr>
        <w:t>Národnú stratégiu zamestnanosti S</w:t>
      </w:r>
      <w:r w:rsidR="007B1D57" w:rsidRPr="00C35CA8">
        <w:rPr>
          <w:i/>
        </w:rPr>
        <w:t>R</w:t>
      </w:r>
      <w:r w:rsidRPr="00C35CA8">
        <w:rPr>
          <w:i/>
        </w:rPr>
        <w:t xml:space="preserve"> do roku 2020</w:t>
      </w:r>
      <w:r w:rsidR="007B1D57" w:rsidRPr="00C35CA8">
        <w:rPr>
          <w:i/>
        </w:rPr>
        <w:t xml:space="preserve"> - </w:t>
      </w:r>
      <w:r w:rsidR="007B1D57" w:rsidRPr="00C35CA8">
        <w:t xml:space="preserve">schválenú uznesením vlády SR č. 665 zo 17. decembra 2014, </w:t>
      </w:r>
      <w:r w:rsidRPr="00C35CA8">
        <w:rPr>
          <w:i/>
        </w:rPr>
        <w:t>Stratégiu hospodárskej politiky S</w:t>
      </w:r>
      <w:r w:rsidR="007B1D57" w:rsidRPr="00C35CA8">
        <w:rPr>
          <w:i/>
        </w:rPr>
        <w:t>R</w:t>
      </w:r>
      <w:r w:rsidRPr="00C35CA8">
        <w:rPr>
          <w:i/>
        </w:rPr>
        <w:t xml:space="preserve"> do roku 2030</w:t>
      </w:r>
      <w:r w:rsidR="007B1D57" w:rsidRPr="00C35CA8">
        <w:rPr>
          <w:i/>
        </w:rPr>
        <w:t xml:space="preserve"> -</w:t>
      </w:r>
      <w:r w:rsidRPr="00C35CA8">
        <w:t xml:space="preserve"> schválenú </w:t>
      </w:r>
      <w:r w:rsidR="007B1D57" w:rsidRPr="00C35CA8">
        <w:t xml:space="preserve">uznesením vlády SR č. 300 z 27. júna 2018, </w:t>
      </w:r>
      <w:r w:rsidRPr="00C35CA8">
        <w:rPr>
          <w:i/>
        </w:rPr>
        <w:lastRenderedPageBreak/>
        <w:t>Akčný plán inteligentného priemyslu Slovenskej republiky</w:t>
      </w:r>
      <w:r w:rsidRPr="00C35CA8">
        <w:t xml:space="preserve"> </w:t>
      </w:r>
      <w:r w:rsidR="007B1D57" w:rsidRPr="00C35CA8">
        <w:t xml:space="preserve">- </w:t>
      </w:r>
      <w:r w:rsidRPr="00C35CA8">
        <w:t>schválený u</w:t>
      </w:r>
      <w:r w:rsidR="007B1D57" w:rsidRPr="00C35CA8">
        <w:t xml:space="preserve">znesením vlády SR            č. 461 z 10. októbra 2018, </w:t>
      </w:r>
      <w:r w:rsidRPr="00C35CA8">
        <w:rPr>
          <w:i/>
        </w:rPr>
        <w:t>Stratégiu celoživotného vzdelávania a poradenstva na roky 2021-2030</w:t>
      </w:r>
      <w:r w:rsidR="007B1D57" w:rsidRPr="00C35CA8">
        <w:rPr>
          <w:i/>
        </w:rPr>
        <w:t xml:space="preserve"> -</w:t>
      </w:r>
      <w:r w:rsidR="007B1D57" w:rsidRPr="00C35CA8">
        <w:t xml:space="preserve"> schválenú uznesením vlády SR č. 678 zo dňa 24. novembra 2021, </w:t>
      </w:r>
      <w:r w:rsidRPr="00C35CA8">
        <w:rPr>
          <w:i/>
        </w:rPr>
        <w:t xml:space="preserve">Akčný plán k Stratégii celoživotného vzdelávania a poradenstva na roky 2022 – 2024 </w:t>
      </w:r>
      <w:r w:rsidR="007B1D57" w:rsidRPr="00C35CA8">
        <w:rPr>
          <w:i/>
        </w:rPr>
        <w:t xml:space="preserve">- </w:t>
      </w:r>
      <w:r w:rsidRPr="00C35CA8">
        <w:t xml:space="preserve">schválený </w:t>
      </w:r>
      <w:r w:rsidR="007B1D57" w:rsidRPr="00C35CA8">
        <w:t xml:space="preserve">uznesením vlády SR č. 275 z 20. apríla 2022, </w:t>
      </w:r>
      <w:r w:rsidRPr="00C35CA8">
        <w:rPr>
          <w:i/>
        </w:rPr>
        <w:t>Stratégiu rovnosti, inklúzie a participácie Rómov do roku 2030</w:t>
      </w:r>
      <w:r w:rsidR="00D97393" w:rsidRPr="00C35CA8">
        <w:rPr>
          <w:i/>
        </w:rPr>
        <w:t xml:space="preserve"> - </w:t>
      </w:r>
      <w:r w:rsidRPr="00C35CA8">
        <w:t xml:space="preserve"> schv</w:t>
      </w:r>
      <w:r w:rsidR="00D97393" w:rsidRPr="00C35CA8">
        <w:t xml:space="preserve">álenú uznesením vlády SR č. 181, </w:t>
      </w:r>
      <w:r w:rsidRPr="00C35CA8">
        <w:t>zo dňa 7. apríla 20</w:t>
      </w:r>
      <w:r w:rsidR="00D97393" w:rsidRPr="00C35CA8">
        <w:t>21, prípadne ďalšie dokumentu strategického významu pre Slovensko.</w:t>
      </w:r>
      <w:r w:rsidRPr="00C35CA8">
        <w:t xml:space="preserve"> S odkazom na </w:t>
      </w:r>
      <w:r w:rsidRPr="00C35CA8">
        <w:rPr>
          <w:i/>
        </w:rPr>
        <w:t>Plán obnovy a odolnosti SR</w:t>
      </w:r>
      <w:r w:rsidRPr="00C35CA8">
        <w:t xml:space="preserve"> uvádzame, že skutočná po</w:t>
      </w:r>
      <w:r w:rsidR="00F71AD8" w:rsidRPr="00C35CA8">
        <w:t xml:space="preserve">moc trhu práce, ekonomike a jej </w:t>
      </w:r>
      <w:r w:rsidRPr="00C35CA8">
        <w:t xml:space="preserve">dlhodobý </w:t>
      </w:r>
      <w:r w:rsidR="008C05DC">
        <w:t>vývoj</w:t>
      </w:r>
      <w:r w:rsidRPr="00C35CA8">
        <w:t xml:space="preserve"> budú závisieť od toho, aké štrukturálne zmeny Slovenská republika</w:t>
      </w:r>
      <w:r w:rsidR="00D97393" w:rsidRPr="00C35CA8">
        <w:t>,</w:t>
      </w:r>
      <w:r w:rsidRPr="00C35CA8">
        <w:t xml:space="preserve"> spolu s</w:t>
      </w:r>
      <w:r w:rsidR="00D97393" w:rsidRPr="00C35CA8">
        <w:t> </w:t>
      </w:r>
      <w:r w:rsidRPr="00C35CA8">
        <w:t>investíciami</w:t>
      </w:r>
      <w:r w:rsidR="00D97393" w:rsidRPr="00C35CA8">
        <w:t>,</w:t>
      </w:r>
      <w:r w:rsidRPr="00C35CA8">
        <w:t xml:space="preserve"> vykoná. Prostredníctvom </w:t>
      </w:r>
      <w:r w:rsidRPr="00C35CA8">
        <w:rPr>
          <w:i/>
        </w:rPr>
        <w:t>Plánu obnovy a odolnosti</w:t>
      </w:r>
      <w:r w:rsidRPr="00C35CA8">
        <w:t xml:space="preserve"> sa Slovensko zav</w:t>
      </w:r>
      <w:r w:rsidR="00F71AD8" w:rsidRPr="00C35CA8">
        <w:t>iazalo</w:t>
      </w:r>
      <w:r w:rsidRPr="00C35CA8">
        <w:t>,</w:t>
      </w:r>
      <w:r w:rsidR="0095463D" w:rsidRPr="00C35CA8">
        <w:t xml:space="preserve"> že do roku 2026 príjme ďalšie</w:t>
      </w:r>
      <w:r w:rsidR="002E2CAC">
        <w:t xml:space="preserve"> refor</w:t>
      </w:r>
      <w:r w:rsidRPr="00C35CA8">
        <w:t>m</w:t>
      </w:r>
      <w:r w:rsidR="0095463D" w:rsidRPr="00C35CA8">
        <w:t>y</w:t>
      </w:r>
      <w:r w:rsidRPr="00C35CA8">
        <w:t xml:space="preserve">, ktoré zvýšia kvalitu života v rôznych oblastiach, vrátane opatrení, ktoré dlhodobo odporúča </w:t>
      </w:r>
      <w:r w:rsidR="002E2CAC">
        <w:t>Eur</w:t>
      </w:r>
      <w:r w:rsidRPr="00C35CA8">
        <w:t xml:space="preserve">ópska komisia. Reformy, ako aj investície podľa </w:t>
      </w:r>
      <w:r w:rsidR="00D97393" w:rsidRPr="00C35CA8">
        <w:rPr>
          <w:i/>
        </w:rPr>
        <w:t>P</w:t>
      </w:r>
      <w:r w:rsidRPr="00C35CA8">
        <w:rPr>
          <w:i/>
        </w:rPr>
        <w:t>lánu obnovy a</w:t>
      </w:r>
      <w:r w:rsidR="0095463D" w:rsidRPr="00C35CA8">
        <w:rPr>
          <w:i/>
        </w:rPr>
        <w:t> </w:t>
      </w:r>
      <w:r w:rsidRPr="00C35CA8">
        <w:rPr>
          <w:i/>
        </w:rPr>
        <w:t>odolnosti</w:t>
      </w:r>
      <w:r w:rsidR="0095463D" w:rsidRPr="00C35CA8">
        <w:rPr>
          <w:i/>
        </w:rPr>
        <w:t>,</w:t>
      </w:r>
      <w:r w:rsidRPr="00C35CA8">
        <w:t xml:space="preserve"> </w:t>
      </w:r>
      <w:r w:rsidR="00D97393" w:rsidRPr="00C35CA8">
        <w:t>s</w:t>
      </w:r>
      <w:r w:rsidRPr="00C35CA8">
        <w:t>ú zabezpečované od roku 2021</w:t>
      </w:r>
      <w:r w:rsidR="008C05DC">
        <w:t xml:space="preserve"> </w:t>
      </w:r>
      <w:r w:rsidRPr="00C35CA8">
        <w:t>do roku 2026 a MPSVR SR predpokladá ich výrazný sekundárny vplyv na rozvoj zamestnanosti a zlepšenie situácie na trhu práce v Slovenskej republike</w:t>
      </w:r>
      <w:r w:rsidR="00D97393" w:rsidRPr="00C35CA8">
        <w:t>.</w:t>
      </w:r>
    </w:p>
    <w:p w14:paraId="77278E26" w14:textId="59A53F1A" w:rsidR="00F457DA" w:rsidRPr="00C35CA8" w:rsidRDefault="00F457DA" w:rsidP="00F457DA">
      <w:pPr>
        <w:spacing w:before="120" w:after="0"/>
        <w:ind w:firstLine="0"/>
      </w:pPr>
      <w:r w:rsidRPr="00C35CA8">
        <w:rPr>
          <w:rFonts w:cs="Calibri"/>
          <w:szCs w:val="22"/>
          <w:lang w:eastAsia="en-US"/>
        </w:rPr>
        <w:t>Kľúčové výzvy pre rozvoj zamestnanosti v hodnotenom období</w:t>
      </w:r>
      <w:r w:rsidR="008C05DC">
        <w:rPr>
          <w:rFonts w:cs="Calibri"/>
          <w:szCs w:val="22"/>
          <w:lang w:eastAsia="en-US"/>
        </w:rPr>
        <w:t xml:space="preserve"> roka 2023 s presahom </w:t>
      </w:r>
      <w:r w:rsidRPr="00C35CA8">
        <w:rPr>
          <w:rFonts w:cs="Calibri"/>
          <w:szCs w:val="22"/>
          <w:lang w:eastAsia="en-US"/>
        </w:rPr>
        <w:t xml:space="preserve">na najbližšie obdobie, boli </w:t>
      </w:r>
    </w:p>
    <w:p w14:paraId="4385514C" w14:textId="77777777" w:rsidR="00F457DA" w:rsidRPr="00C35CA8" w:rsidRDefault="00F457DA" w:rsidP="00F457DA">
      <w:pPr>
        <w:numPr>
          <w:ilvl w:val="0"/>
          <w:numId w:val="10"/>
        </w:numPr>
        <w:spacing w:after="0"/>
        <w:ind w:left="284" w:hanging="284"/>
      </w:pPr>
      <w:r w:rsidRPr="00C35CA8">
        <w:t>pandémia COVID -19 a jej dopady na zamestnanosť,</w:t>
      </w:r>
    </w:p>
    <w:p w14:paraId="6C8CB66F" w14:textId="77777777" w:rsidR="00F457DA" w:rsidRPr="00C35CA8" w:rsidRDefault="00F457DA" w:rsidP="00F457DA">
      <w:pPr>
        <w:numPr>
          <w:ilvl w:val="0"/>
          <w:numId w:val="10"/>
        </w:numPr>
        <w:spacing w:after="0"/>
        <w:ind w:left="284" w:hanging="284"/>
      </w:pPr>
      <w:r w:rsidRPr="00C35CA8">
        <w:t xml:space="preserve">zelená a digitálna transformácia – alternatívne dopady priemyslu 4.0 a štrukturálne zmeny </w:t>
      </w:r>
    </w:p>
    <w:p w14:paraId="6D3FBAC1" w14:textId="77777777" w:rsidR="00F457DA" w:rsidRPr="00C35CA8" w:rsidRDefault="00F457DA" w:rsidP="00F457DA">
      <w:pPr>
        <w:spacing w:after="0"/>
        <w:ind w:left="284" w:firstLine="0"/>
      </w:pPr>
      <w:r w:rsidRPr="00C35CA8">
        <w:t>v ekonomike,</w:t>
      </w:r>
    </w:p>
    <w:p w14:paraId="40EC76D3" w14:textId="77777777" w:rsidR="00F457DA" w:rsidRPr="00C35CA8" w:rsidRDefault="00F457DA" w:rsidP="00F457DA">
      <w:pPr>
        <w:numPr>
          <w:ilvl w:val="0"/>
          <w:numId w:val="10"/>
        </w:numPr>
        <w:spacing w:after="0"/>
        <w:ind w:left="284" w:hanging="284"/>
      </w:pPr>
      <w:r w:rsidRPr="00C35CA8">
        <w:t xml:space="preserve">zlepšenie služieb zamestnanosti, </w:t>
      </w:r>
    </w:p>
    <w:p w14:paraId="4A97481B" w14:textId="77777777" w:rsidR="00F457DA" w:rsidRPr="00C35CA8" w:rsidRDefault="00F457DA" w:rsidP="00F457DA">
      <w:pPr>
        <w:numPr>
          <w:ilvl w:val="0"/>
          <w:numId w:val="10"/>
        </w:numPr>
        <w:spacing w:after="0"/>
        <w:ind w:left="284" w:hanging="284"/>
      </w:pPr>
      <w:r w:rsidRPr="00C35CA8">
        <w:t>vzdelávanie pre potreby trhu práce,</w:t>
      </w:r>
      <w:r w:rsidRPr="00C35CA8">
        <w:rPr>
          <w:rFonts w:cs="Calibri"/>
          <w:szCs w:val="22"/>
          <w:lang w:eastAsia="en-US"/>
        </w:rPr>
        <w:t xml:space="preserve"> </w:t>
      </w:r>
    </w:p>
    <w:p w14:paraId="28B60A47" w14:textId="200D18CF" w:rsidR="00F457DA" w:rsidRPr="00C35CA8" w:rsidRDefault="00F457DA" w:rsidP="00900B86">
      <w:pPr>
        <w:numPr>
          <w:ilvl w:val="0"/>
          <w:numId w:val="10"/>
        </w:numPr>
        <w:spacing w:after="120"/>
        <w:ind w:left="284" w:hanging="284"/>
      </w:pPr>
      <w:r w:rsidRPr="00C35CA8">
        <w:t>znevýhodnené skupiny na trhu práce.</w:t>
      </w:r>
      <w:r w:rsidR="00BF4AAA" w:rsidRPr="00C35CA8">
        <w:t xml:space="preserve"> </w:t>
      </w:r>
    </w:p>
    <w:p w14:paraId="2B35E22D" w14:textId="763B8AAB" w:rsidR="00BF4AAA" w:rsidRPr="00C35CA8" w:rsidRDefault="00BF4AAA" w:rsidP="008C05DC">
      <w:pPr>
        <w:spacing w:after="120"/>
        <w:ind w:hanging="142"/>
      </w:pPr>
      <w:r w:rsidRPr="00C35CA8">
        <w:rPr>
          <w:noProof/>
        </w:rPr>
        <w:drawing>
          <wp:anchor distT="0" distB="0" distL="114300" distR="114300" simplePos="0" relativeHeight="252523008" behindDoc="0" locked="0" layoutInCell="1" allowOverlap="1" wp14:anchorId="52ADAF46" wp14:editId="7E830E44">
            <wp:simplePos x="0" y="0"/>
            <wp:positionH relativeFrom="column">
              <wp:posOffset>13970</wp:posOffset>
            </wp:positionH>
            <wp:positionV relativeFrom="paragraph">
              <wp:posOffset>47211</wp:posOffset>
            </wp:positionV>
            <wp:extent cx="5820189" cy="2767885"/>
            <wp:effectExtent l="0" t="0" r="0" b="0"/>
            <wp:wrapNone/>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987" cy="2801079"/>
                    </a:xfrm>
                    <a:prstGeom prst="rect">
                      <a:avLst/>
                    </a:prstGeom>
                    <a:noFill/>
                  </pic:spPr>
                </pic:pic>
              </a:graphicData>
            </a:graphic>
            <wp14:sizeRelH relativeFrom="margin">
              <wp14:pctWidth>0</wp14:pctWidth>
            </wp14:sizeRelH>
            <wp14:sizeRelV relativeFrom="margin">
              <wp14:pctHeight>0</wp14:pctHeight>
            </wp14:sizeRelV>
          </wp:anchor>
        </w:drawing>
      </w:r>
    </w:p>
    <w:p w14:paraId="20CF433D" w14:textId="4BAE3FA7" w:rsidR="00BF4AAA" w:rsidRPr="00C35CA8" w:rsidRDefault="00BF4AAA" w:rsidP="00BF4AAA">
      <w:pPr>
        <w:spacing w:after="120"/>
        <w:ind w:firstLine="0"/>
      </w:pPr>
    </w:p>
    <w:p w14:paraId="2CE99C74" w14:textId="3A9B1504" w:rsidR="00BF4AAA" w:rsidRPr="00C35CA8" w:rsidRDefault="00BF4AAA" w:rsidP="00BF4AAA">
      <w:pPr>
        <w:spacing w:after="120"/>
        <w:ind w:firstLine="0"/>
      </w:pPr>
    </w:p>
    <w:p w14:paraId="76C70672" w14:textId="1366A527" w:rsidR="00BF4AAA" w:rsidRPr="00C35CA8" w:rsidRDefault="00BF4AAA" w:rsidP="00BF4AAA">
      <w:pPr>
        <w:spacing w:after="120"/>
        <w:ind w:firstLine="0"/>
      </w:pPr>
    </w:p>
    <w:p w14:paraId="2454DFF1" w14:textId="3DB8D120" w:rsidR="006602D6" w:rsidRPr="00C35CA8" w:rsidRDefault="006602D6" w:rsidP="00AA7E7B">
      <w:pPr>
        <w:tabs>
          <w:tab w:val="right" w:leader="dot" w:pos="8931"/>
        </w:tabs>
        <w:spacing w:after="0"/>
        <w:ind w:firstLine="0"/>
      </w:pPr>
    </w:p>
    <w:p w14:paraId="41F4E3FB" w14:textId="4452D134" w:rsidR="006602D6" w:rsidRPr="00C35CA8" w:rsidRDefault="006602D6" w:rsidP="00AA7E7B">
      <w:pPr>
        <w:tabs>
          <w:tab w:val="right" w:leader="dot" w:pos="8931"/>
        </w:tabs>
        <w:spacing w:after="0"/>
        <w:ind w:firstLine="0"/>
      </w:pPr>
    </w:p>
    <w:p w14:paraId="251EFEAA" w14:textId="77777777" w:rsidR="00BF4AAA" w:rsidRPr="00C35CA8" w:rsidRDefault="00BF4AAA" w:rsidP="00AA7E7B">
      <w:pPr>
        <w:tabs>
          <w:tab w:val="right" w:leader="dot" w:pos="8931"/>
        </w:tabs>
        <w:spacing w:after="0"/>
        <w:ind w:firstLine="0"/>
      </w:pPr>
    </w:p>
    <w:p w14:paraId="635F1FAE" w14:textId="77777777" w:rsidR="00BF4AAA" w:rsidRPr="00C35CA8" w:rsidRDefault="00BF4AAA" w:rsidP="00AA7E7B">
      <w:pPr>
        <w:tabs>
          <w:tab w:val="right" w:leader="dot" w:pos="8931"/>
        </w:tabs>
        <w:spacing w:after="0"/>
        <w:ind w:firstLine="0"/>
      </w:pPr>
    </w:p>
    <w:p w14:paraId="4ED3EF10" w14:textId="77777777" w:rsidR="00BF4AAA" w:rsidRPr="00C35CA8" w:rsidRDefault="00BF4AAA" w:rsidP="00AA7E7B">
      <w:pPr>
        <w:tabs>
          <w:tab w:val="right" w:leader="dot" w:pos="8931"/>
        </w:tabs>
        <w:spacing w:after="0"/>
        <w:ind w:firstLine="0"/>
      </w:pPr>
    </w:p>
    <w:p w14:paraId="6FFD94C6" w14:textId="77777777" w:rsidR="00BF4AAA" w:rsidRPr="00C35CA8" w:rsidRDefault="00BF4AAA" w:rsidP="00AA7E7B">
      <w:pPr>
        <w:tabs>
          <w:tab w:val="right" w:leader="dot" w:pos="8931"/>
        </w:tabs>
        <w:spacing w:after="0"/>
        <w:ind w:firstLine="0"/>
      </w:pPr>
    </w:p>
    <w:p w14:paraId="1E539C59" w14:textId="77777777" w:rsidR="00BF4AAA" w:rsidRPr="00C35CA8" w:rsidRDefault="00BF4AAA" w:rsidP="00AA7E7B">
      <w:pPr>
        <w:tabs>
          <w:tab w:val="right" w:leader="dot" w:pos="8931"/>
        </w:tabs>
        <w:spacing w:after="0"/>
        <w:ind w:firstLine="0"/>
      </w:pPr>
    </w:p>
    <w:p w14:paraId="0FB98313" w14:textId="77777777" w:rsidR="00BF4AAA" w:rsidRPr="00C35CA8" w:rsidRDefault="00BF4AAA" w:rsidP="00AA7E7B">
      <w:pPr>
        <w:tabs>
          <w:tab w:val="right" w:leader="dot" w:pos="8931"/>
        </w:tabs>
        <w:spacing w:after="0"/>
        <w:ind w:firstLine="0"/>
      </w:pPr>
    </w:p>
    <w:p w14:paraId="4E3B9D22" w14:textId="77777777" w:rsidR="00BF4AAA" w:rsidRPr="00C35CA8" w:rsidRDefault="00BF4AAA" w:rsidP="00AA7E7B">
      <w:pPr>
        <w:tabs>
          <w:tab w:val="right" w:leader="dot" w:pos="8931"/>
        </w:tabs>
        <w:spacing w:after="0"/>
        <w:ind w:firstLine="0"/>
      </w:pPr>
    </w:p>
    <w:p w14:paraId="24817B8D" w14:textId="77777777" w:rsidR="00BF4AAA" w:rsidRPr="00C35CA8" w:rsidRDefault="00BF4AAA" w:rsidP="00AA7E7B">
      <w:pPr>
        <w:tabs>
          <w:tab w:val="right" w:leader="dot" w:pos="8931"/>
        </w:tabs>
        <w:spacing w:after="0"/>
        <w:ind w:firstLine="0"/>
      </w:pPr>
    </w:p>
    <w:p w14:paraId="7ED67BDE" w14:textId="77777777" w:rsidR="00BF4AAA" w:rsidRPr="00C35CA8" w:rsidRDefault="00BF4AAA" w:rsidP="00AA7E7B">
      <w:pPr>
        <w:tabs>
          <w:tab w:val="right" w:leader="dot" w:pos="8931"/>
        </w:tabs>
        <w:spacing w:after="0"/>
        <w:ind w:firstLine="0"/>
      </w:pPr>
    </w:p>
    <w:p w14:paraId="52F2DC01" w14:textId="08A8A61B" w:rsidR="007B444F" w:rsidRPr="00C35CA8" w:rsidRDefault="007B444F" w:rsidP="00AA7E7B">
      <w:pPr>
        <w:tabs>
          <w:tab w:val="right" w:leader="dot" w:pos="8931"/>
        </w:tabs>
        <w:spacing w:after="0"/>
        <w:ind w:firstLine="0"/>
      </w:pPr>
      <w:r w:rsidRPr="00C35CA8">
        <w:t xml:space="preserve">Aj </w:t>
      </w:r>
      <w:r w:rsidR="00AF195E" w:rsidRPr="00C35CA8">
        <w:t>v roku 20</w:t>
      </w:r>
      <w:r w:rsidR="00F457DA" w:rsidRPr="00C35CA8">
        <w:t>23</w:t>
      </w:r>
      <w:r w:rsidRPr="00C35CA8">
        <w:t xml:space="preserve"> sa A</w:t>
      </w:r>
      <w:r w:rsidR="00EE14C6" w:rsidRPr="00C35CA8">
        <w:t>O</w:t>
      </w:r>
      <w:r w:rsidRPr="00C35CA8">
        <w:t>TP realizoval</w:t>
      </w:r>
      <w:r w:rsidR="00EE14C6" w:rsidRPr="00C35CA8">
        <w:t>i</w:t>
      </w:r>
      <w:r w:rsidR="00AF195E" w:rsidRPr="00C35CA8">
        <w:t xml:space="preserve"> predovšetkým prostr</w:t>
      </w:r>
      <w:r w:rsidRPr="00C35CA8">
        <w:t xml:space="preserve">edníctvom </w:t>
      </w:r>
      <w:r w:rsidR="000B7755" w:rsidRPr="00C35CA8">
        <w:t>programov a</w:t>
      </w:r>
      <w:r w:rsidR="009F4F63" w:rsidRPr="00C35CA8">
        <w:t> </w:t>
      </w:r>
      <w:r w:rsidR="000B7755" w:rsidRPr="00C35CA8">
        <w:t>projektov</w:t>
      </w:r>
      <w:r w:rsidR="009F4F63" w:rsidRPr="00C35CA8">
        <w:t xml:space="preserve">, financovaných zo zdrojov </w:t>
      </w:r>
      <w:r w:rsidR="002E2CAC">
        <w:t>Eur</w:t>
      </w:r>
      <w:r w:rsidR="004205DA" w:rsidRPr="00C35CA8">
        <w:t>ópskeho sociálneho fondu (ďalej len „</w:t>
      </w:r>
      <w:r w:rsidR="009F4F63" w:rsidRPr="00C35CA8">
        <w:t>ESF</w:t>
      </w:r>
      <w:r w:rsidR="00900B86" w:rsidRPr="00C35CA8">
        <w:t xml:space="preserve">“), </w:t>
      </w:r>
      <w:r w:rsidR="00BF1CB7" w:rsidRPr="00C35CA8">
        <w:t xml:space="preserve">spolufinancovaných </w:t>
      </w:r>
      <w:r w:rsidR="009F4F63" w:rsidRPr="00C35CA8">
        <w:t>zo</w:t>
      </w:r>
      <w:r w:rsidR="00621363" w:rsidRPr="00C35CA8">
        <w:t xml:space="preserve"> štátneho rozpočtu </w:t>
      </w:r>
      <w:r w:rsidR="004205DA" w:rsidRPr="00C35CA8">
        <w:t xml:space="preserve">Slovenskej republiky </w:t>
      </w:r>
      <w:r w:rsidR="00621363" w:rsidRPr="00C35CA8">
        <w:t xml:space="preserve">(ďalej </w:t>
      </w:r>
      <w:r w:rsidR="00900B86" w:rsidRPr="00C35CA8">
        <w:t>aj</w:t>
      </w:r>
      <w:r w:rsidR="00621363" w:rsidRPr="00C35CA8">
        <w:t xml:space="preserve"> „</w:t>
      </w:r>
      <w:r w:rsidR="005B42B6" w:rsidRPr="00C35CA8">
        <w:t>ŠR</w:t>
      </w:r>
      <w:r w:rsidR="00621363" w:rsidRPr="00C35CA8">
        <w:t>“)</w:t>
      </w:r>
      <w:r w:rsidR="004205DA" w:rsidRPr="00C35CA8">
        <w:t>,</w:t>
      </w:r>
      <w:r w:rsidR="009F4F63" w:rsidRPr="00C35CA8">
        <w:t xml:space="preserve"> </w:t>
      </w:r>
      <w:r w:rsidR="00F71AD8" w:rsidRPr="00C35CA8">
        <w:t xml:space="preserve">aj keď </w:t>
      </w:r>
      <w:r w:rsidR="0061305E" w:rsidRPr="00C35CA8">
        <w:t xml:space="preserve">príprava nových projektov </w:t>
      </w:r>
      <w:r w:rsidR="00900B86" w:rsidRPr="00C35CA8">
        <w:t xml:space="preserve">       </w:t>
      </w:r>
      <w:r w:rsidR="0061305E" w:rsidRPr="00C35CA8">
        <w:t xml:space="preserve">a </w:t>
      </w:r>
      <w:r w:rsidR="00F71AD8" w:rsidRPr="00C35CA8">
        <w:t xml:space="preserve">poskytovanie niektorých príspevkov bolo poznačené končiacim </w:t>
      </w:r>
      <w:r w:rsidR="0061305E" w:rsidRPr="00C35CA8">
        <w:t xml:space="preserve">sa </w:t>
      </w:r>
      <w:r w:rsidR="00F71AD8" w:rsidRPr="00C35CA8">
        <w:t xml:space="preserve">obdobím čerpania zdrojov ESF z operačného programu Ľudské zdroje a dosť rozpačitým prechodom </w:t>
      </w:r>
      <w:r w:rsidR="0061305E" w:rsidRPr="00C35CA8">
        <w:t>na nový operačný program S</w:t>
      </w:r>
      <w:r w:rsidR="00900B86" w:rsidRPr="00C35CA8">
        <w:t>lovensko 2021</w:t>
      </w:r>
      <w:r w:rsidR="00014D4D" w:rsidRPr="00C35CA8">
        <w:t xml:space="preserve"> </w:t>
      </w:r>
      <w:r w:rsidR="00900B86" w:rsidRPr="00C35CA8">
        <w:t>-</w:t>
      </w:r>
      <w:r w:rsidR="00014D4D" w:rsidRPr="00C35CA8">
        <w:t xml:space="preserve"> </w:t>
      </w:r>
      <w:r w:rsidR="0061305E" w:rsidRPr="00C35CA8">
        <w:t xml:space="preserve">2027 (poznačené aj politickou </w:t>
      </w:r>
      <w:r w:rsidR="00E912E7" w:rsidRPr="00C35CA8">
        <w:t>situáciou</w:t>
      </w:r>
      <w:r w:rsidR="0061305E" w:rsidRPr="00C35CA8">
        <w:t xml:space="preserve"> v Slovenskej republike). </w:t>
      </w:r>
    </w:p>
    <w:p w14:paraId="60E9767C" w14:textId="4330BD9B" w:rsidR="006602D6" w:rsidRPr="00C35CA8" w:rsidRDefault="006602D6" w:rsidP="006602D6">
      <w:pPr>
        <w:pStyle w:val="Odsekzoznamu"/>
        <w:spacing w:after="0"/>
        <w:ind w:firstLine="0"/>
        <w:rPr>
          <w:rFonts w:cs="Times New Roman"/>
          <w:szCs w:val="24"/>
        </w:rPr>
      </w:pPr>
      <w:r w:rsidRPr="00C35CA8">
        <w:rPr>
          <w:rFonts w:cs="Times New Roman"/>
          <w:szCs w:val="24"/>
        </w:rPr>
        <w:t>Ku koncu roka 2023 sa skončilo oprávnené obdobie 2014 - 2020 pre desať programov,</w:t>
      </w:r>
      <w:r w:rsidR="00900B86" w:rsidRPr="00C35CA8">
        <w:rPr>
          <w:rFonts w:cs="Times New Roman"/>
          <w:szCs w:val="24"/>
        </w:rPr>
        <w:t xml:space="preserve"> vrátane OP ĽZ. P</w:t>
      </w:r>
      <w:r w:rsidRPr="00C35CA8">
        <w:rPr>
          <w:rFonts w:cs="Times New Roman"/>
          <w:szCs w:val="24"/>
        </w:rPr>
        <w:t xml:space="preserve">rijímatelia </w:t>
      </w:r>
      <w:r w:rsidR="002E2CAC">
        <w:rPr>
          <w:rFonts w:cs="Times New Roman"/>
          <w:szCs w:val="24"/>
        </w:rPr>
        <w:t>eur</w:t>
      </w:r>
      <w:r w:rsidR="00E912E7" w:rsidRPr="00C35CA8">
        <w:rPr>
          <w:rFonts w:cs="Times New Roman"/>
          <w:szCs w:val="24"/>
        </w:rPr>
        <w:t>o zdrojov</w:t>
      </w:r>
      <w:r w:rsidRPr="00C35CA8">
        <w:rPr>
          <w:rFonts w:cs="Times New Roman"/>
          <w:szCs w:val="24"/>
        </w:rPr>
        <w:t xml:space="preserve"> museli dovtedy uhradiť výdavky </w:t>
      </w:r>
      <w:r w:rsidR="00900B86" w:rsidRPr="00C35CA8">
        <w:rPr>
          <w:rFonts w:cs="Times New Roman"/>
          <w:szCs w:val="24"/>
        </w:rPr>
        <w:t xml:space="preserve">na svoje projekty </w:t>
      </w:r>
      <w:r w:rsidRPr="00C35CA8">
        <w:rPr>
          <w:rFonts w:cs="Times New Roman"/>
          <w:szCs w:val="24"/>
        </w:rPr>
        <w:t xml:space="preserve">dodávateľom. Podľa nariadenia </w:t>
      </w:r>
      <w:r w:rsidR="002E2CAC">
        <w:rPr>
          <w:rFonts w:cs="Times New Roman"/>
          <w:szCs w:val="24"/>
        </w:rPr>
        <w:t>Eur</w:t>
      </w:r>
      <w:r w:rsidRPr="00C35CA8">
        <w:rPr>
          <w:rFonts w:cs="Times New Roman"/>
          <w:szCs w:val="24"/>
        </w:rPr>
        <w:t xml:space="preserve">ópskeho parlamentu a Rady EÚ z 29. februára 2024 </w:t>
      </w:r>
      <w:r w:rsidR="00A25DC5">
        <w:rPr>
          <w:rFonts w:cs="Times New Roman"/>
          <w:szCs w:val="24"/>
        </w:rPr>
        <w:t xml:space="preserve">                     </w:t>
      </w:r>
      <w:r w:rsidRPr="00C35CA8">
        <w:rPr>
          <w:rFonts w:cs="Times New Roman"/>
          <w:szCs w:val="24"/>
        </w:rPr>
        <w:t xml:space="preserve">a národnej legislatívy bude prebiehať deklarovanie výdavkov na </w:t>
      </w:r>
      <w:r w:rsidR="002E2CAC">
        <w:rPr>
          <w:rFonts w:cs="Times New Roman"/>
          <w:szCs w:val="24"/>
        </w:rPr>
        <w:t>Eur</w:t>
      </w:r>
      <w:r w:rsidRPr="00C35CA8">
        <w:rPr>
          <w:rFonts w:cs="Times New Roman"/>
          <w:szCs w:val="24"/>
        </w:rPr>
        <w:t xml:space="preserve">ópsku komisiu prioritne </w:t>
      </w:r>
      <w:r w:rsidR="00900B86" w:rsidRPr="00C35CA8">
        <w:rPr>
          <w:rFonts w:cs="Times New Roman"/>
          <w:szCs w:val="24"/>
        </w:rPr>
        <w:t xml:space="preserve">           </w:t>
      </w:r>
      <w:r w:rsidRPr="00C35CA8">
        <w:rPr>
          <w:rFonts w:cs="Times New Roman"/>
          <w:szCs w:val="24"/>
        </w:rPr>
        <w:t>v tomto roku</w:t>
      </w:r>
      <w:r w:rsidR="00900B86" w:rsidRPr="00C35CA8">
        <w:rPr>
          <w:rFonts w:cs="Times New Roman"/>
          <w:szCs w:val="24"/>
        </w:rPr>
        <w:t xml:space="preserve"> (2024)</w:t>
      </w:r>
      <w:r w:rsidRPr="00C35CA8">
        <w:rPr>
          <w:rFonts w:cs="Times New Roman"/>
          <w:szCs w:val="24"/>
        </w:rPr>
        <w:t xml:space="preserve">, pričom lehotu predĺžila až do 31. júla 2025. Finálna úroveň čerpania bude známa po uzatvorení programového obdobia na základe predloženia záverečných účtov, ktoré budú predložené </w:t>
      </w:r>
      <w:r w:rsidR="002E2CAC">
        <w:rPr>
          <w:rFonts w:cs="Times New Roman"/>
          <w:szCs w:val="24"/>
        </w:rPr>
        <w:t>Eur</w:t>
      </w:r>
      <w:r w:rsidRPr="00C35CA8">
        <w:rPr>
          <w:rFonts w:cs="Times New Roman"/>
          <w:szCs w:val="24"/>
        </w:rPr>
        <w:t>ópskej komisii najneskôr do 15. februára 2026</w:t>
      </w:r>
      <w:r w:rsidR="00900B86" w:rsidRPr="00C35CA8">
        <w:rPr>
          <w:rFonts w:cs="Times New Roman"/>
          <w:szCs w:val="24"/>
        </w:rPr>
        <w:t xml:space="preserve">. </w:t>
      </w:r>
      <w:r w:rsidRPr="00C35CA8">
        <w:rPr>
          <w:rFonts w:cs="Times New Roman"/>
          <w:szCs w:val="24"/>
        </w:rPr>
        <w:t>Program Ľudské zdroje</w:t>
      </w:r>
      <w:r w:rsidR="00900B86" w:rsidRPr="00C35CA8">
        <w:rPr>
          <w:rFonts w:cs="Times New Roman"/>
          <w:szCs w:val="24"/>
        </w:rPr>
        <w:t>,</w:t>
      </w:r>
      <w:r w:rsidRPr="00C35CA8">
        <w:rPr>
          <w:rFonts w:cs="Times New Roman"/>
          <w:szCs w:val="24"/>
        </w:rPr>
        <w:t xml:space="preserve"> </w:t>
      </w:r>
      <w:r w:rsidR="00900B86" w:rsidRPr="00C35CA8">
        <w:rPr>
          <w:rFonts w:cs="Times New Roman"/>
          <w:szCs w:val="24"/>
        </w:rPr>
        <w:lastRenderedPageBreak/>
        <w:t>v </w:t>
      </w:r>
      <w:r w:rsidR="00E912E7" w:rsidRPr="00C35CA8">
        <w:rPr>
          <w:rFonts w:cs="Times New Roman"/>
          <w:szCs w:val="24"/>
        </w:rPr>
        <w:t>réžii</w:t>
      </w:r>
      <w:r w:rsidR="00900B86" w:rsidRPr="00C35CA8">
        <w:rPr>
          <w:rFonts w:cs="Times New Roman"/>
          <w:szCs w:val="24"/>
        </w:rPr>
        <w:t xml:space="preserve"> riadiaceho orgánu – MPSVR SR,</w:t>
      </w:r>
      <w:r w:rsidRPr="00C35CA8">
        <w:rPr>
          <w:rFonts w:cs="Times New Roman"/>
          <w:szCs w:val="24"/>
        </w:rPr>
        <w:t xml:space="preserve"> </w:t>
      </w:r>
      <w:r w:rsidR="00900B86" w:rsidRPr="00C35CA8">
        <w:rPr>
          <w:rFonts w:cs="Times New Roman"/>
          <w:szCs w:val="24"/>
        </w:rPr>
        <w:t>zo schváleného objemu skoro 3</w:t>
      </w:r>
      <w:r w:rsidRPr="00C35CA8">
        <w:rPr>
          <w:rFonts w:cs="Times New Roman"/>
          <w:szCs w:val="24"/>
        </w:rPr>
        <w:t xml:space="preserve"> miliardy </w:t>
      </w:r>
      <w:r w:rsidR="002E2CAC">
        <w:rPr>
          <w:rFonts w:cs="Times New Roman"/>
          <w:szCs w:val="24"/>
        </w:rPr>
        <w:t>eur</w:t>
      </w:r>
      <w:r w:rsidRPr="00C35CA8">
        <w:rPr>
          <w:rFonts w:cs="Times New Roman"/>
          <w:szCs w:val="24"/>
        </w:rPr>
        <w:t xml:space="preserve"> minul 2,8 miliardy </w:t>
      </w:r>
      <w:r w:rsidR="002E2CAC">
        <w:rPr>
          <w:rFonts w:cs="Times New Roman"/>
          <w:szCs w:val="24"/>
        </w:rPr>
        <w:t>eur</w:t>
      </w:r>
      <w:r w:rsidRPr="00C35CA8">
        <w:rPr>
          <w:rFonts w:cs="Times New Roman"/>
          <w:szCs w:val="24"/>
        </w:rPr>
        <w:t>, čo je 93,6 % z uvedenej sumy.</w:t>
      </w:r>
    </w:p>
    <w:p w14:paraId="23D67D4D" w14:textId="4D2D05FA" w:rsidR="006602D6" w:rsidRPr="00C35CA8" w:rsidRDefault="006602D6" w:rsidP="006602D6">
      <w:pPr>
        <w:pStyle w:val="Odsekzoznamu"/>
        <w:spacing w:after="0"/>
        <w:ind w:firstLine="0"/>
        <w:rPr>
          <w:rFonts w:cs="Times New Roman"/>
          <w:szCs w:val="24"/>
          <w:highlight w:val="yellow"/>
        </w:rPr>
      </w:pPr>
      <w:r w:rsidRPr="00C35CA8">
        <w:rPr>
          <w:rFonts w:cs="Times New Roman"/>
          <w:szCs w:val="24"/>
        </w:rPr>
        <w:t xml:space="preserve">Slovensko získalo v roku 2021 prostriedky z iniciatívy REACT-EU, ktoré </w:t>
      </w:r>
      <w:r w:rsidR="002E2CAC">
        <w:rPr>
          <w:rFonts w:cs="Times New Roman"/>
          <w:szCs w:val="24"/>
        </w:rPr>
        <w:t>Eur</w:t>
      </w:r>
      <w:r w:rsidRPr="00C35CA8">
        <w:rPr>
          <w:rFonts w:cs="Times New Roman"/>
          <w:szCs w:val="24"/>
        </w:rPr>
        <w:t xml:space="preserve">ópska komisia vyčlenila na podporu eliminovania dopadov pandémie. Celková dodatočná alokácia REACT-EU pre Slovensko dosiahla vyše 722 miliónov </w:t>
      </w:r>
      <w:r w:rsidR="002E2CAC">
        <w:rPr>
          <w:rFonts w:cs="Times New Roman"/>
          <w:szCs w:val="24"/>
        </w:rPr>
        <w:t>eur</w:t>
      </w:r>
      <w:r w:rsidRPr="00C35CA8">
        <w:rPr>
          <w:rFonts w:cs="Times New Roman"/>
          <w:szCs w:val="24"/>
        </w:rPr>
        <w:t xml:space="preserve">. K 29. februáru </w:t>
      </w:r>
      <w:r w:rsidR="00052062" w:rsidRPr="00C35CA8">
        <w:rPr>
          <w:rFonts w:cs="Times New Roman"/>
          <w:szCs w:val="24"/>
        </w:rPr>
        <w:t xml:space="preserve">2024 </w:t>
      </w:r>
      <w:r w:rsidRPr="00C35CA8">
        <w:rPr>
          <w:rFonts w:cs="Times New Roman"/>
          <w:szCs w:val="24"/>
        </w:rPr>
        <w:t xml:space="preserve">boli schválené prostriedky zo zdrojov EÚ vo výške takmer 595 miliónov </w:t>
      </w:r>
      <w:r w:rsidR="002E2CAC">
        <w:rPr>
          <w:rFonts w:cs="Times New Roman"/>
          <w:szCs w:val="24"/>
        </w:rPr>
        <w:t>eur</w:t>
      </w:r>
      <w:r w:rsidRPr="00C35CA8">
        <w:rPr>
          <w:rFonts w:cs="Times New Roman"/>
          <w:szCs w:val="24"/>
        </w:rPr>
        <w:t xml:space="preserve">, čo je čerpanie na úrovni cez 82 % pridelenej sumy. </w:t>
      </w:r>
      <w:r w:rsidR="002E2CAC">
        <w:rPr>
          <w:rFonts w:cs="Times New Roman"/>
          <w:szCs w:val="24"/>
        </w:rPr>
        <w:t>Eur</w:t>
      </w:r>
      <w:r w:rsidRPr="00C35CA8">
        <w:rPr>
          <w:rFonts w:cs="Times New Roman"/>
          <w:szCs w:val="24"/>
        </w:rPr>
        <w:t xml:space="preserve">ópska komisia v rámci schválených flexibilít tiež umožnila presunutie nevyužitých zdrojov </w:t>
      </w:r>
      <w:r w:rsidR="002E2CAC">
        <w:rPr>
          <w:rFonts w:cs="Times New Roman"/>
          <w:szCs w:val="24"/>
        </w:rPr>
        <w:t>eur</w:t>
      </w:r>
      <w:r w:rsidRPr="00C35CA8">
        <w:rPr>
          <w:rFonts w:cs="Times New Roman"/>
          <w:szCs w:val="24"/>
        </w:rPr>
        <w:t xml:space="preserve">ofondov na financovanie riešenia vplyvov krízy v súvislosti s vojnou na Ukrajine (FAST CARE), a to v troch operačných programoch s celkovou presunutou alokáciou zhruba 340 miliónov </w:t>
      </w:r>
      <w:r w:rsidR="002E2CAC">
        <w:rPr>
          <w:rFonts w:cs="Times New Roman"/>
          <w:szCs w:val="24"/>
        </w:rPr>
        <w:t>eur</w:t>
      </w:r>
      <w:r w:rsidRPr="00C35CA8">
        <w:rPr>
          <w:rFonts w:cs="Times New Roman"/>
          <w:szCs w:val="24"/>
        </w:rPr>
        <w:t xml:space="preserve">. Čerpanie týchto prostriedkov ku koncu februára </w:t>
      </w:r>
      <w:r w:rsidR="00052062" w:rsidRPr="00C35CA8">
        <w:rPr>
          <w:rFonts w:cs="Times New Roman"/>
          <w:szCs w:val="24"/>
        </w:rPr>
        <w:t xml:space="preserve">2024 </w:t>
      </w:r>
      <w:r w:rsidRPr="00C35CA8">
        <w:rPr>
          <w:rFonts w:cs="Times New Roman"/>
          <w:szCs w:val="24"/>
        </w:rPr>
        <w:t xml:space="preserve">dosiahlo skoro 280 miliónov </w:t>
      </w:r>
      <w:r w:rsidR="002E2CAC">
        <w:rPr>
          <w:rFonts w:cs="Times New Roman"/>
          <w:szCs w:val="24"/>
        </w:rPr>
        <w:t>eur</w:t>
      </w:r>
      <w:r w:rsidRPr="00C35CA8">
        <w:rPr>
          <w:rFonts w:cs="Times New Roman"/>
          <w:szCs w:val="24"/>
        </w:rPr>
        <w:t>, teda viac ako 82 %.</w:t>
      </w:r>
    </w:p>
    <w:p w14:paraId="73097956" w14:textId="3807D953" w:rsidR="00772DE6" w:rsidRPr="00C35CA8" w:rsidRDefault="00772DE6" w:rsidP="00772DE6">
      <w:pPr>
        <w:tabs>
          <w:tab w:val="right" w:leader="dot" w:pos="8931"/>
        </w:tabs>
        <w:spacing w:before="120" w:after="120"/>
        <w:ind w:firstLine="0"/>
      </w:pPr>
      <w:r w:rsidRPr="00C35CA8">
        <w:t xml:space="preserve">Úlohou aktívnej politiky trhu práce v hodnotenom období bolo predovšetkým vytvárať priestor pre uľahčenie prechodu a skrátenie doby prechodu občanov z nezamestnanosti do pracovného procesu, resp. samostatnej zárobkovej činnosti (ďalej aj „SZČ“) a prostredníctvom špecifických programov udržiavať a zvyšovať schopnosť ľudí pracovať a nájsť si miesto na trhu práce (ďalej aj „TP“). APTP  sa realizuje cez opatrenia, programy, projekty a aktivity, ktoré uchádzačom o zamestnanie (ďalej aj „UoZ“) uľahčujú prístup na TP, aj prostredníctvom aktívnych opatrení trhu práce (ďalej aj „AOTP“), najmä znevýhodneným UoZ. AOTP napomáhajú aj rozvoju podnikania a SZČ, podporujú rast odborných spôsobilostí UoZ, záujemcov o zamestnanie (ďalej len „ZoZ“), ako aj zamestnancov, podporujú vytváranie nových pracovných miest (ďalej aj „PM“) a udržiavanie existujúcich PM a zamestnancov na týchto podporovaných PM, a tiež podporujú investorov. Právny rámec tvorí zákon č. 5/2004 Z. z. o službách zamestnanosti a o zmene a doplnení niektorých zákonov v znení neskorších predpisov (ďalej len „zákon o službách zamestnanosti“). </w:t>
      </w:r>
      <w:r w:rsidR="00407916" w:rsidRPr="00C35CA8">
        <w:t>Od 1. 1. 2023 pribudol aj zákon č. 112/2018 Z. z.</w:t>
      </w:r>
      <w:r w:rsidR="00733C40">
        <w:t xml:space="preserve"> o</w:t>
      </w:r>
      <w:r w:rsidR="00407916" w:rsidRPr="00C35CA8">
        <w:t xml:space="preserve"> sociálnej ekonomike a sociálnych podnikoch a o zmene a doplnení niektorých zákonov (ďalej len „zákon o soci</w:t>
      </w:r>
      <w:r w:rsidR="00BD5E2C" w:rsidRPr="00C35CA8">
        <w:t>álnej ekonomike“), v rámci ktor</w:t>
      </w:r>
      <w:r w:rsidR="00407916" w:rsidRPr="00C35CA8">
        <w:t xml:space="preserve">ého </w:t>
      </w:r>
      <w:r w:rsidR="00BD5E2C" w:rsidRPr="00C35CA8">
        <w:t xml:space="preserve">príspevky </w:t>
      </w:r>
      <w:r w:rsidR="00733C40" w:rsidRPr="00C35CA8">
        <w:t xml:space="preserve">poskytované </w:t>
      </w:r>
      <w:r w:rsidR="00BD5E2C" w:rsidRPr="00C35CA8">
        <w:t>podľa § 19</w:t>
      </w:r>
      <w:r w:rsidR="00407916" w:rsidRPr="00C35CA8">
        <w:t>a </w:t>
      </w:r>
      <w:r w:rsidR="00BD5E2C" w:rsidRPr="00C35CA8">
        <w:t xml:space="preserve">- umiestňovací príspevok a § 19b – vyrovnávací príspevok </w:t>
      </w:r>
      <w:r w:rsidR="00407916" w:rsidRPr="00C35CA8">
        <w:t>sa považujú za aktívne opatrenia na trhu práce (§19c</w:t>
      </w:r>
      <w:r w:rsidR="00BD5E2C" w:rsidRPr="00C35CA8">
        <w:t xml:space="preserve"> ods. 6 tohto zákona).</w:t>
      </w:r>
      <w:r w:rsidR="00407916" w:rsidRPr="00C35CA8">
        <w:t xml:space="preserve"> </w:t>
      </w:r>
    </w:p>
    <w:p w14:paraId="65B7AC2C" w14:textId="50649AF1" w:rsidR="00ED640B" w:rsidRPr="00C35CA8" w:rsidRDefault="0095463D" w:rsidP="002070D1">
      <w:pPr>
        <w:pStyle w:val="Odsekzoznamu"/>
        <w:spacing w:after="0"/>
        <w:ind w:firstLine="0"/>
        <w:rPr>
          <w:rFonts w:cs="Times New Roman"/>
          <w:szCs w:val="24"/>
        </w:rPr>
      </w:pPr>
      <w:r w:rsidRPr="00C35CA8">
        <w:rPr>
          <w:rFonts w:cs="Times New Roman"/>
          <w:szCs w:val="24"/>
        </w:rPr>
        <w:t>V roku 2023</w:t>
      </w:r>
      <w:r w:rsidR="002070D1" w:rsidRPr="00C35CA8">
        <w:rPr>
          <w:rFonts w:cs="Times New Roman"/>
          <w:szCs w:val="24"/>
        </w:rPr>
        <w:t xml:space="preserve"> bolo na AOTP vyčerpaných celkom </w:t>
      </w:r>
      <w:r w:rsidR="00771388" w:rsidRPr="00C35CA8">
        <w:rPr>
          <w:rFonts w:cs="Times New Roman"/>
          <w:b/>
          <w:szCs w:val="24"/>
        </w:rPr>
        <w:t>188 473 799</w:t>
      </w:r>
      <w:r w:rsidR="002070D1" w:rsidRPr="00C35CA8">
        <w:rPr>
          <w:rFonts w:cs="Times New Roman"/>
          <w:b/>
          <w:szCs w:val="24"/>
        </w:rPr>
        <w:t xml:space="preserve"> </w:t>
      </w:r>
      <w:r w:rsidR="002E2CAC">
        <w:rPr>
          <w:rFonts w:cs="Times New Roman"/>
          <w:b/>
          <w:szCs w:val="24"/>
        </w:rPr>
        <w:t>eur</w:t>
      </w:r>
      <w:r w:rsidR="002070D1" w:rsidRPr="00C35CA8">
        <w:rPr>
          <w:rFonts w:cs="Times New Roman"/>
          <w:szCs w:val="24"/>
        </w:rPr>
        <w:t xml:space="preserve">, z toho bolo </w:t>
      </w:r>
      <w:r w:rsidR="00771388" w:rsidRPr="00C35CA8">
        <w:rPr>
          <w:rFonts w:cs="Times New Roman"/>
          <w:szCs w:val="24"/>
        </w:rPr>
        <w:t xml:space="preserve"> </w:t>
      </w:r>
      <w:r w:rsidR="00771388" w:rsidRPr="00C35CA8">
        <w:rPr>
          <w:rFonts w:cs="Times New Roman"/>
          <w:b/>
          <w:szCs w:val="24"/>
        </w:rPr>
        <w:t>59 656 258</w:t>
      </w:r>
      <w:r w:rsidR="00771388" w:rsidRPr="00C35CA8">
        <w:rPr>
          <w:rFonts w:cs="Times New Roman"/>
          <w:szCs w:val="24"/>
        </w:rPr>
        <w:t xml:space="preserve">  </w:t>
      </w:r>
      <w:r w:rsidR="002E2CAC">
        <w:rPr>
          <w:rFonts w:cs="Times New Roman"/>
          <w:b/>
          <w:szCs w:val="24"/>
        </w:rPr>
        <w:t>eur</w:t>
      </w:r>
      <w:r w:rsidR="002070D1" w:rsidRPr="00C35CA8">
        <w:rPr>
          <w:rFonts w:cs="Times New Roman"/>
          <w:b/>
          <w:szCs w:val="24"/>
        </w:rPr>
        <w:t xml:space="preserve"> čerpaných zo ŠR SR</w:t>
      </w:r>
      <w:r w:rsidR="002070D1" w:rsidRPr="00C35CA8">
        <w:rPr>
          <w:rFonts w:cs="Times New Roman"/>
          <w:szCs w:val="24"/>
        </w:rPr>
        <w:t xml:space="preserve"> (vrátane 15</w:t>
      </w:r>
      <w:r w:rsidR="00C84566" w:rsidRPr="00C35CA8">
        <w:rPr>
          <w:rFonts w:cs="Times New Roman"/>
          <w:szCs w:val="24"/>
        </w:rPr>
        <w:t xml:space="preserve"> </w:t>
      </w:r>
      <w:r w:rsidR="002070D1" w:rsidRPr="00C35CA8">
        <w:rPr>
          <w:rFonts w:cs="Times New Roman"/>
          <w:szCs w:val="24"/>
        </w:rPr>
        <w:t>% sp</w:t>
      </w:r>
      <w:r w:rsidR="002B16DE" w:rsidRPr="00C35CA8">
        <w:rPr>
          <w:rFonts w:cs="Times New Roman"/>
          <w:szCs w:val="24"/>
        </w:rPr>
        <w:t>olufinancovania NP z ESF). P</w:t>
      </w:r>
      <w:r w:rsidR="002070D1" w:rsidRPr="00C35CA8">
        <w:rPr>
          <w:rFonts w:cs="Times New Roman"/>
          <w:szCs w:val="24"/>
        </w:rPr>
        <w:t xml:space="preserve">odiel </w:t>
      </w:r>
      <w:r w:rsidR="00CB6176">
        <w:rPr>
          <w:rFonts w:cs="Times New Roman"/>
          <w:szCs w:val="24"/>
        </w:rPr>
        <w:t>fi</w:t>
      </w:r>
      <w:r w:rsidR="00E912E7" w:rsidRPr="00C35CA8">
        <w:rPr>
          <w:rFonts w:cs="Times New Roman"/>
          <w:szCs w:val="24"/>
        </w:rPr>
        <w:t>na</w:t>
      </w:r>
      <w:r w:rsidR="00CB6176">
        <w:rPr>
          <w:rFonts w:cs="Times New Roman"/>
          <w:szCs w:val="24"/>
        </w:rPr>
        <w:t>n</w:t>
      </w:r>
      <w:r w:rsidR="00E912E7" w:rsidRPr="00C35CA8">
        <w:rPr>
          <w:rFonts w:cs="Times New Roman"/>
          <w:szCs w:val="24"/>
        </w:rPr>
        <w:t>čných</w:t>
      </w:r>
      <w:r w:rsidR="002070D1" w:rsidRPr="00C35CA8">
        <w:rPr>
          <w:rFonts w:cs="Times New Roman"/>
          <w:szCs w:val="24"/>
        </w:rPr>
        <w:t xml:space="preserve"> prostriedkov </w:t>
      </w:r>
      <w:r w:rsidR="002B16DE" w:rsidRPr="00C35CA8">
        <w:rPr>
          <w:rFonts w:cs="Times New Roman"/>
          <w:szCs w:val="24"/>
        </w:rPr>
        <w:t xml:space="preserve">ŠR SR </w:t>
      </w:r>
      <w:r w:rsidR="0061305E" w:rsidRPr="00C35CA8">
        <w:rPr>
          <w:rFonts w:cs="Times New Roman"/>
          <w:szCs w:val="24"/>
        </w:rPr>
        <w:t xml:space="preserve">tak </w:t>
      </w:r>
      <w:r w:rsidR="002B16DE" w:rsidRPr="00C35CA8">
        <w:rPr>
          <w:rFonts w:cs="Times New Roman"/>
          <w:szCs w:val="24"/>
        </w:rPr>
        <w:t>tvoril</w:t>
      </w:r>
      <w:r w:rsidR="002B16DE" w:rsidRPr="00C35CA8">
        <w:rPr>
          <w:rFonts w:cs="Times New Roman"/>
          <w:b/>
          <w:szCs w:val="24"/>
        </w:rPr>
        <w:t xml:space="preserve"> 4</w:t>
      </w:r>
      <w:r w:rsidR="002070D1" w:rsidRPr="00C35CA8">
        <w:rPr>
          <w:rFonts w:cs="Times New Roman"/>
          <w:b/>
          <w:szCs w:val="24"/>
        </w:rPr>
        <w:t>6,</w:t>
      </w:r>
      <w:r w:rsidR="002B16DE" w:rsidRPr="00C35CA8">
        <w:rPr>
          <w:rFonts w:cs="Times New Roman"/>
          <w:b/>
          <w:szCs w:val="24"/>
        </w:rPr>
        <w:t>31</w:t>
      </w:r>
      <w:r w:rsidR="002070D1" w:rsidRPr="00C35CA8">
        <w:rPr>
          <w:rFonts w:cs="Times New Roman"/>
          <w:b/>
          <w:szCs w:val="24"/>
        </w:rPr>
        <w:t xml:space="preserve"> %</w:t>
      </w:r>
      <w:r w:rsidR="002070D1" w:rsidRPr="00C35CA8">
        <w:rPr>
          <w:rFonts w:cs="Times New Roman"/>
          <w:szCs w:val="24"/>
        </w:rPr>
        <w:t xml:space="preserve"> všetkých vynaložených zdrojov na AOTP. </w:t>
      </w:r>
    </w:p>
    <w:p w14:paraId="35AEB2C1" w14:textId="631CEEBB" w:rsidR="00BF4AAA" w:rsidRPr="00C35CA8" w:rsidRDefault="00772DE6" w:rsidP="002070D1">
      <w:pPr>
        <w:pStyle w:val="Odsekzoznamu"/>
        <w:spacing w:after="0"/>
        <w:ind w:firstLine="0"/>
        <w:rPr>
          <w:rFonts w:cs="Times New Roman"/>
          <w:szCs w:val="24"/>
        </w:rPr>
      </w:pPr>
      <w:r w:rsidRPr="00C35CA8">
        <w:rPr>
          <w:rFonts w:cs="Times New Roman"/>
          <w:szCs w:val="24"/>
        </w:rPr>
        <w:t>Oproti predošlému roku 2022</w:t>
      </w:r>
      <w:r w:rsidR="00A00749" w:rsidRPr="00C35CA8">
        <w:rPr>
          <w:rFonts w:cs="Times New Roman"/>
          <w:szCs w:val="24"/>
        </w:rPr>
        <w:t xml:space="preserve">, kedy bolo čerpanie na úrovni </w:t>
      </w:r>
      <w:r w:rsidR="000557FD" w:rsidRPr="000557FD">
        <w:rPr>
          <w:rFonts w:cs="Times New Roman"/>
          <w:b/>
          <w:szCs w:val="24"/>
        </w:rPr>
        <w:t>122 127 439</w:t>
      </w:r>
      <w:r w:rsidR="000557FD" w:rsidRPr="000557FD">
        <w:rPr>
          <w:rFonts w:cs="Times New Roman"/>
          <w:szCs w:val="24"/>
        </w:rPr>
        <w:t xml:space="preserve"> </w:t>
      </w:r>
      <w:r w:rsidR="002E2CAC">
        <w:rPr>
          <w:rFonts w:cs="Times New Roman"/>
          <w:b/>
          <w:szCs w:val="24"/>
        </w:rPr>
        <w:t>eur</w:t>
      </w:r>
      <w:r w:rsidR="00A00749" w:rsidRPr="00C35CA8">
        <w:rPr>
          <w:rFonts w:cs="Times New Roman"/>
          <w:szCs w:val="24"/>
        </w:rPr>
        <w:t>,</w:t>
      </w:r>
      <w:r w:rsidRPr="00C35CA8">
        <w:rPr>
          <w:rFonts w:cs="Times New Roman"/>
          <w:szCs w:val="24"/>
        </w:rPr>
        <w:t xml:space="preserve"> došlo k nárastu v čerpaní finančných prostriedkov o</w:t>
      </w:r>
      <w:r w:rsidR="00A00749" w:rsidRPr="00C35CA8">
        <w:rPr>
          <w:rFonts w:cs="Times New Roman"/>
          <w:szCs w:val="24"/>
        </w:rPr>
        <w:t> </w:t>
      </w:r>
      <w:r w:rsidR="00F166CD">
        <w:rPr>
          <w:rFonts w:cs="Times New Roman"/>
          <w:b/>
          <w:szCs w:val="24"/>
        </w:rPr>
        <w:t xml:space="preserve">66 346 360 </w:t>
      </w:r>
      <w:r w:rsidR="002E2CAC">
        <w:rPr>
          <w:rFonts w:cs="Times New Roman"/>
          <w:b/>
          <w:szCs w:val="24"/>
        </w:rPr>
        <w:t>eur</w:t>
      </w:r>
      <w:r w:rsidR="00A00749" w:rsidRPr="00C35CA8">
        <w:rPr>
          <w:rFonts w:cs="Times New Roman"/>
          <w:szCs w:val="24"/>
        </w:rPr>
        <w:t>, t. j. nárast o</w:t>
      </w:r>
      <w:r w:rsidR="003C3A2C">
        <w:rPr>
          <w:rFonts w:cs="Times New Roman"/>
          <w:szCs w:val="24"/>
        </w:rPr>
        <w:t> </w:t>
      </w:r>
      <w:r w:rsidR="00F166CD">
        <w:rPr>
          <w:rFonts w:cs="Times New Roman"/>
          <w:b/>
          <w:szCs w:val="24"/>
        </w:rPr>
        <w:t>54</w:t>
      </w:r>
      <w:r w:rsidR="00A00749" w:rsidRPr="00C35CA8">
        <w:rPr>
          <w:rFonts w:cs="Times New Roman"/>
          <w:b/>
          <w:szCs w:val="24"/>
        </w:rPr>
        <w:t>,</w:t>
      </w:r>
      <w:r w:rsidR="00F166CD">
        <w:rPr>
          <w:rFonts w:cs="Times New Roman"/>
          <w:b/>
          <w:szCs w:val="24"/>
        </w:rPr>
        <w:t>33</w:t>
      </w:r>
      <w:r w:rsidR="00A00749" w:rsidRPr="00C35CA8">
        <w:rPr>
          <w:rFonts w:cs="Times New Roman"/>
          <w:b/>
          <w:szCs w:val="24"/>
        </w:rPr>
        <w:t xml:space="preserve"> </w:t>
      </w:r>
      <w:r w:rsidRPr="00C35CA8">
        <w:rPr>
          <w:rFonts w:cs="Times New Roman"/>
          <w:b/>
          <w:szCs w:val="24"/>
        </w:rPr>
        <w:t>%</w:t>
      </w:r>
      <w:r w:rsidR="00A00749" w:rsidRPr="00C35CA8">
        <w:rPr>
          <w:rFonts w:cs="Times New Roman"/>
          <w:szCs w:val="24"/>
        </w:rPr>
        <w:t xml:space="preserve">. </w:t>
      </w:r>
    </w:p>
    <w:p w14:paraId="746C1783" w14:textId="710671CC" w:rsidR="002B16DE" w:rsidRDefault="00A00749" w:rsidP="00316FB4">
      <w:pPr>
        <w:pStyle w:val="Odsekzoznamu"/>
        <w:spacing w:after="120"/>
        <w:ind w:firstLine="0"/>
        <w:rPr>
          <w:rFonts w:cs="Times New Roman"/>
          <w:szCs w:val="24"/>
        </w:rPr>
      </w:pPr>
      <w:r w:rsidRPr="00C35CA8">
        <w:rPr>
          <w:rFonts w:cs="Times New Roman"/>
          <w:szCs w:val="24"/>
        </w:rPr>
        <w:t>Medziročné nárasty v čerpaní finančných prostriedkov na AOTP vykazujú</w:t>
      </w:r>
      <w:r w:rsidR="00772DE6" w:rsidRPr="00C35CA8">
        <w:rPr>
          <w:rFonts w:cs="Times New Roman"/>
          <w:szCs w:val="24"/>
        </w:rPr>
        <w:t> dlhodobejší trend v aktívnej politike na trhu práce</w:t>
      </w:r>
      <w:r w:rsidR="00ED640B" w:rsidRPr="00C35CA8">
        <w:rPr>
          <w:rFonts w:cs="Times New Roman"/>
          <w:szCs w:val="24"/>
        </w:rPr>
        <w:t xml:space="preserve"> (okrem poklesu v roku 2021 oproti roku 2020 spôsobeného epidémiou Covid-19)</w:t>
      </w:r>
      <w:r w:rsidRPr="00C35CA8">
        <w:rPr>
          <w:rFonts w:cs="Times New Roman"/>
          <w:szCs w:val="24"/>
        </w:rPr>
        <w:t>, ktorého hlavnú príčinu vidíme v</w:t>
      </w:r>
      <w:r w:rsidR="00BD5E2C" w:rsidRPr="00C35CA8">
        <w:rPr>
          <w:rFonts w:cs="Times New Roman"/>
          <w:szCs w:val="24"/>
        </w:rPr>
        <w:t> postupnom zatraktívňovaní</w:t>
      </w:r>
      <w:r w:rsidRPr="00C35CA8">
        <w:rPr>
          <w:rFonts w:cs="Times New Roman"/>
          <w:szCs w:val="24"/>
        </w:rPr>
        <w:t xml:space="preserve"> výšky niektorých príspevkov</w:t>
      </w:r>
      <w:r w:rsidR="00BD5E2C" w:rsidRPr="00C35CA8">
        <w:rPr>
          <w:rFonts w:cs="Times New Roman"/>
          <w:szCs w:val="24"/>
        </w:rPr>
        <w:t xml:space="preserve"> v rámci národných projektov</w:t>
      </w:r>
      <w:r w:rsidR="00D2768A" w:rsidRPr="00C35CA8">
        <w:rPr>
          <w:rFonts w:cs="Times New Roman"/>
          <w:szCs w:val="24"/>
        </w:rPr>
        <w:t>,</w:t>
      </w:r>
      <w:r w:rsidRPr="00C35CA8">
        <w:rPr>
          <w:rFonts w:cs="Times New Roman"/>
          <w:szCs w:val="24"/>
        </w:rPr>
        <w:t xml:space="preserve"> aby bol zo strany zamestnávateľov vytvárajúcich pra</w:t>
      </w:r>
      <w:r w:rsidR="00D2768A" w:rsidRPr="00C35CA8">
        <w:rPr>
          <w:rFonts w:cs="Times New Roman"/>
          <w:szCs w:val="24"/>
        </w:rPr>
        <w:t xml:space="preserve">covné miesta vyššia stimulácia </w:t>
      </w:r>
      <w:r w:rsidR="00BD5E2C" w:rsidRPr="00C35CA8">
        <w:rPr>
          <w:rFonts w:cs="Times New Roman"/>
          <w:szCs w:val="24"/>
        </w:rPr>
        <w:t xml:space="preserve">ich </w:t>
      </w:r>
      <w:r w:rsidR="00D2768A" w:rsidRPr="00C35CA8">
        <w:rPr>
          <w:rFonts w:cs="Times New Roman"/>
          <w:szCs w:val="24"/>
        </w:rPr>
        <w:t>záujmu o príspevky. Nie menej významným faktorom je rast výšky príspevkov naviazaných na celkovú cenu práce, počítanú z priemernej mzdy zamestnanca v hospodárstve Slovenskej republiky za prvý až tretí štvrťrok kalendárneho roka, ktorý predchádza kalendárnemu roku, v ktorom sa príspevok poskytuje. Tu taktiež dlhodobo dochádza k nárastu výšky CCP</w:t>
      </w:r>
      <w:r w:rsidR="00014D4D" w:rsidRPr="00C35CA8">
        <w:rPr>
          <w:rFonts w:cs="Times New Roman"/>
          <w:szCs w:val="24"/>
        </w:rPr>
        <w:t>, napr</w:t>
      </w:r>
      <w:r w:rsidR="00316FB4" w:rsidRPr="00C35CA8">
        <w:rPr>
          <w:rFonts w:cs="Times New Roman"/>
          <w:szCs w:val="24"/>
        </w:rPr>
        <w:t>.</w:t>
      </w:r>
      <w:r w:rsidR="00014D4D" w:rsidRPr="00C35CA8">
        <w:rPr>
          <w:rFonts w:cs="Times New Roman"/>
          <w:szCs w:val="24"/>
        </w:rPr>
        <w:t xml:space="preserve"> </w:t>
      </w:r>
      <w:r w:rsidR="00316FB4" w:rsidRPr="00C35CA8">
        <w:rPr>
          <w:rFonts w:cs="Times New Roman"/>
          <w:szCs w:val="24"/>
        </w:rPr>
        <w:t>medzi</w:t>
      </w:r>
      <w:r w:rsidR="00014D4D" w:rsidRPr="00C35CA8">
        <w:rPr>
          <w:rFonts w:cs="Times New Roman"/>
          <w:szCs w:val="24"/>
        </w:rPr>
        <w:t xml:space="preserve"> r</w:t>
      </w:r>
      <w:r w:rsidR="00A13D73">
        <w:rPr>
          <w:rFonts w:cs="Times New Roman"/>
          <w:szCs w:val="24"/>
        </w:rPr>
        <w:t>ok</w:t>
      </w:r>
      <w:r w:rsidR="00B013F2">
        <w:rPr>
          <w:rFonts w:cs="Times New Roman"/>
          <w:szCs w:val="24"/>
        </w:rPr>
        <w:t>mi</w:t>
      </w:r>
      <w:r w:rsidR="00A13D73">
        <w:rPr>
          <w:rFonts w:cs="Times New Roman"/>
          <w:szCs w:val="24"/>
        </w:rPr>
        <w:t xml:space="preserve"> 2017</w:t>
      </w:r>
      <w:r w:rsidR="00D22AC3" w:rsidRPr="00C35CA8">
        <w:rPr>
          <w:rFonts w:cs="Times New Roman"/>
          <w:szCs w:val="24"/>
        </w:rPr>
        <w:t xml:space="preserve"> – 2</w:t>
      </w:r>
      <w:r w:rsidR="00014D4D" w:rsidRPr="00C35CA8">
        <w:rPr>
          <w:rFonts w:cs="Times New Roman"/>
          <w:szCs w:val="24"/>
        </w:rPr>
        <w:t>024</w:t>
      </w:r>
      <w:r w:rsidR="00D22AC3" w:rsidRPr="00C35CA8">
        <w:rPr>
          <w:rFonts w:cs="Times New Roman"/>
          <w:szCs w:val="24"/>
        </w:rPr>
        <w:t xml:space="preserve"> sa celková cena </w:t>
      </w:r>
      <w:r w:rsidR="00014D4D" w:rsidRPr="00C35CA8">
        <w:rPr>
          <w:rFonts w:cs="Times New Roman"/>
          <w:szCs w:val="24"/>
        </w:rPr>
        <w:t xml:space="preserve">práce </w:t>
      </w:r>
      <w:r w:rsidR="00A13D73" w:rsidRPr="00C35CA8">
        <w:rPr>
          <w:rFonts w:cs="Times New Roman"/>
          <w:szCs w:val="24"/>
        </w:rPr>
        <w:t>zvyš</w:t>
      </w:r>
      <w:r w:rsidR="00A13D73">
        <w:rPr>
          <w:rFonts w:cs="Times New Roman"/>
          <w:szCs w:val="24"/>
        </w:rPr>
        <w:t>ova</w:t>
      </w:r>
      <w:r w:rsidR="00A13D73" w:rsidRPr="00C35CA8">
        <w:rPr>
          <w:rFonts w:cs="Times New Roman"/>
          <w:szCs w:val="24"/>
        </w:rPr>
        <w:t>la</w:t>
      </w:r>
      <w:r w:rsidR="00014D4D" w:rsidRPr="00C35CA8">
        <w:rPr>
          <w:rFonts w:cs="Times New Roman"/>
          <w:szCs w:val="24"/>
        </w:rPr>
        <w:t xml:space="preserve"> priemer</w:t>
      </w:r>
      <w:r w:rsidR="00316FB4" w:rsidRPr="00C35CA8">
        <w:rPr>
          <w:rFonts w:cs="Times New Roman"/>
          <w:szCs w:val="24"/>
        </w:rPr>
        <w:t>n</w:t>
      </w:r>
      <w:r w:rsidR="00C35CA8" w:rsidRPr="00C35CA8">
        <w:rPr>
          <w:rFonts w:cs="Times New Roman"/>
          <w:szCs w:val="24"/>
        </w:rPr>
        <w:t>e</w:t>
      </w:r>
      <w:r w:rsidR="00316FB4" w:rsidRPr="00C35CA8">
        <w:rPr>
          <w:rFonts w:cs="Times New Roman"/>
          <w:szCs w:val="24"/>
        </w:rPr>
        <w:t xml:space="preserve"> </w:t>
      </w:r>
      <w:r w:rsidR="00A13D73">
        <w:rPr>
          <w:rFonts w:cs="Times New Roman"/>
          <w:szCs w:val="24"/>
        </w:rPr>
        <w:t>o 7</w:t>
      </w:r>
      <w:r w:rsidR="00014D4D" w:rsidRPr="00C35CA8">
        <w:rPr>
          <w:rFonts w:cs="Times New Roman"/>
          <w:szCs w:val="24"/>
        </w:rPr>
        <w:t>,</w:t>
      </w:r>
      <w:r w:rsidR="00A13D73">
        <w:rPr>
          <w:rFonts w:cs="Times New Roman"/>
          <w:szCs w:val="24"/>
        </w:rPr>
        <w:t>1</w:t>
      </w:r>
      <w:r w:rsidR="00014D4D" w:rsidRPr="00C35CA8">
        <w:rPr>
          <w:rFonts w:cs="Times New Roman"/>
          <w:szCs w:val="24"/>
        </w:rPr>
        <w:t xml:space="preserve"> </w:t>
      </w:r>
      <w:r w:rsidR="00D22AC3" w:rsidRPr="00C35CA8">
        <w:rPr>
          <w:rFonts w:cs="Times New Roman"/>
          <w:szCs w:val="24"/>
        </w:rPr>
        <w:t>%.</w:t>
      </w:r>
    </w:p>
    <w:tbl>
      <w:tblPr>
        <w:tblW w:w="9293" w:type="dxa"/>
        <w:tblCellMar>
          <w:left w:w="70" w:type="dxa"/>
          <w:right w:w="70" w:type="dxa"/>
        </w:tblCellMar>
        <w:tblLook w:val="04A0" w:firstRow="1" w:lastRow="0" w:firstColumn="1" w:lastColumn="0" w:noHBand="0" w:noVBand="1"/>
      </w:tblPr>
      <w:tblGrid>
        <w:gridCol w:w="1049"/>
        <w:gridCol w:w="1034"/>
        <w:gridCol w:w="1034"/>
        <w:gridCol w:w="1018"/>
        <w:gridCol w:w="1018"/>
        <w:gridCol w:w="1018"/>
        <w:gridCol w:w="982"/>
        <w:gridCol w:w="1122"/>
        <w:gridCol w:w="1018"/>
      </w:tblGrid>
      <w:tr w:rsidR="00386530" w:rsidRPr="00DF563D" w14:paraId="21EA4BDC" w14:textId="77777777" w:rsidTr="002E2CAC">
        <w:trPr>
          <w:trHeight w:val="1021"/>
        </w:trPr>
        <w:tc>
          <w:tcPr>
            <w:tcW w:w="104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FBCE9DB" w14:textId="5C506E7E" w:rsidR="00DF563D" w:rsidRPr="00DF563D" w:rsidRDefault="00B013F2" w:rsidP="00DF563D">
            <w:pPr>
              <w:spacing w:after="0"/>
              <w:ind w:firstLine="0"/>
              <w:jc w:val="center"/>
              <w:rPr>
                <w:rFonts w:ascii="Calibri" w:hAnsi="Calibri" w:cs="Calibri"/>
                <w:b/>
                <w:color w:val="000000"/>
                <w:sz w:val="18"/>
                <w:szCs w:val="18"/>
              </w:rPr>
            </w:pPr>
            <w:r>
              <w:rPr>
                <w:rFonts w:ascii="Calibri" w:hAnsi="Calibri" w:cs="Calibri"/>
                <w:b/>
                <w:color w:val="000000"/>
                <w:sz w:val="18"/>
                <w:szCs w:val="18"/>
              </w:rPr>
              <w:t>R</w:t>
            </w:r>
            <w:r w:rsidR="00DF563D" w:rsidRPr="00DF563D">
              <w:rPr>
                <w:rFonts w:ascii="Calibri" w:hAnsi="Calibri" w:cs="Calibri"/>
                <w:b/>
                <w:color w:val="000000"/>
                <w:sz w:val="18"/>
                <w:szCs w:val="18"/>
              </w:rPr>
              <w:t>oky</w:t>
            </w:r>
          </w:p>
        </w:tc>
        <w:tc>
          <w:tcPr>
            <w:tcW w:w="1034" w:type="dxa"/>
            <w:tcBorders>
              <w:top w:val="single" w:sz="4" w:space="0" w:color="auto"/>
              <w:left w:val="nil"/>
              <w:bottom w:val="single" w:sz="4" w:space="0" w:color="auto"/>
              <w:right w:val="single" w:sz="4" w:space="0" w:color="auto"/>
            </w:tcBorders>
            <w:shd w:val="clear" w:color="000000" w:fill="92D050"/>
            <w:noWrap/>
            <w:vAlign w:val="center"/>
            <w:hideMark/>
          </w:tcPr>
          <w:p w14:paraId="2D643593" w14:textId="77777777" w:rsidR="00DF563D" w:rsidRPr="00DF563D" w:rsidRDefault="00DF563D" w:rsidP="00DF563D">
            <w:pPr>
              <w:spacing w:after="0"/>
              <w:ind w:firstLine="0"/>
              <w:jc w:val="center"/>
              <w:rPr>
                <w:rFonts w:ascii="Calibri" w:hAnsi="Calibri" w:cs="Calibri"/>
                <w:b/>
                <w:color w:val="000000"/>
                <w:sz w:val="18"/>
                <w:szCs w:val="18"/>
              </w:rPr>
            </w:pPr>
            <w:r w:rsidRPr="00DF563D">
              <w:rPr>
                <w:rFonts w:ascii="Calibri" w:hAnsi="Calibri" w:cs="Calibri"/>
                <w:b/>
                <w:color w:val="000000"/>
                <w:sz w:val="18"/>
                <w:szCs w:val="18"/>
              </w:rPr>
              <w:t>2017 - 2018</w:t>
            </w:r>
          </w:p>
        </w:tc>
        <w:tc>
          <w:tcPr>
            <w:tcW w:w="1034" w:type="dxa"/>
            <w:tcBorders>
              <w:top w:val="single" w:sz="4" w:space="0" w:color="auto"/>
              <w:left w:val="nil"/>
              <w:bottom w:val="single" w:sz="4" w:space="0" w:color="auto"/>
              <w:right w:val="single" w:sz="4" w:space="0" w:color="auto"/>
            </w:tcBorders>
            <w:shd w:val="clear" w:color="000000" w:fill="92D050"/>
            <w:noWrap/>
            <w:vAlign w:val="center"/>
            <w:hideMark/>
          </w:tcPr>
          <w:p w14:paraId="78681906" w14:textId="77777777" w:rsidR="00DF563D" w:rsidRPr="00DF563D" w:rsidRDefault="00DF563D" w:rsidP="00DF563D">
            <w:pPr>
              <w:spacing w:after="0"/>
              <w:ind w:firstLine="0"/>
              <w:jc w:val="center"/>
              <w:rPr>
                <w:rFonts w:ascii="Calibri" w:hAnsi="Calibri" w:cs="Calibri"/>
                <w:b/>
                <w:color w:val="000000"/>
                <w:sz w:val="18"/>
                <w:szCs w:val="18"/>
              </w:rPr>
            </w:pPr>
            <w:r w:rsidRPr="00DF563D">
              <w:rPr>
                <w:rFonts w:ascii="Calibri" w:hAnsi="Calibri" w:cs="Calibri"/>
                <w:b/>
                <w:color w:val="000000"/>
                <w:sz w:val="18"/>
                <w:szCs w:val="18"/>
              </w:rPr>
              <w:t>2018 - 2019</w:t>
            </w:r>
          </w:p>
        </w:tc>
        <w:tc>
          <w:tcPr>
            <w:tcW w:w="1018" w:type="dxa"/>
            <w:tcBorders>
              <w:top w:val="single" w:sz="4" w:space="0" w:color="auto"/>
              <w:left w:val="nil"/>
              <w:bottom w:val="single" w:sz="4" w:space="0" w:color="auto"/>
              <w:right w:val="single" w:sz="4" w:space="0" w:color="auto"/>
            </w:tcBorders>
            <w:shd w:val="clear" w:color="000000" w:fill="92D050"/>
            <w:noWrap/>
            <w:vAlign w:val="center"/>
            <w:hideMark/>
          </w:tcPr>
          <w:p w14:paraId="4C94E61A" w14:textId="77777777" w:rsidR="00DF563D" w:rsidRPr="00DF563D" w:rsidRDefault="00DF563D" w:rsidP="00DF563D">
            <w:pPr>
              <w:spacing w:after="0"/>
              <w:ind w:firstLine="0"/>
              <w:jc w:val="center"/>
              <w:rPr>
                <w:rFonts w:ascii="Calibri" w:hAnsi="Calibri" w:cs="Calibri"/>
                <w:b/>
                <w:color w:val="000000"/>
                <w:sz w:val="18"/>
                <w:szCs w:val="18"/>
              </w:rPr>
            </w:pPr>
            <w:r w:rsidRPr="00DF563D">
              <w:rPr>
                <w:rFonts w:ascii="Calibri" w:hAnsi="Calibri" w:cs="Calibri"/>
                <w:b/>
                <w:color w:val="000000"/>
                <w:sz w:val="18"/>
                <w:szCs w:val="18"/>
              </w:rPr>
              <w:t>2019 - 2020</w:t>
            </w:r>
          </w:p>
        </w:tc>
        <w:tc>
          <w:tcPr>
            <w:tcW w:w="1018" w:type="dxa"/>
            <w:tcBorders>
              <w:top w:val="single" w:sz="4" w:space="0" w:color="auto"/>
              <w:left w:val="nil"/>
              <w:bottom w:val="single" w:sz="4" w:space="0" w:color="auto"/>
              <w:right w:val="single" w:sz="4" w:space="0" w:color="auto"/>
            </w:tcBorders>
            <w:shd w:val="clear" w:color="000000" w:fill="92D050"/>
            <w:noWrap/>
            <w:vAlign w:val="center"/>
            <w:hideMark/>
          </w:tcPr>
          <w:p w14:paraId="074C5515" w14:textId="77777777" w:rsidR="00DF563D" w:rsidRPr="00DF563D" w:rsidRDefault="00DF563D" w:rsidP="00DF563D">
            <w:pPr>
              <w:spacing w:after="0"/>
              <w:ind w:firstLine="0"/>
              <w:jc w:val="center"/>
              <w:rPr>
                <w:rFonts w:ascii="Calibri" w:hAnsi="Calibri" w:cs="Calibri"/>
                <w:b/>
                <w:color w:val="000000"/>
                <w:sz w:val="18"/>
                <w:szCs w:val="18"/>
              </w:rPr>
            </w:pPr>
            <w:r w:rsidRPr="00DF563D">
              <w:rPr>
                <w:rFonts w:ascii="Calibri" w:hAnsi="Calibri" w:cs="Calibri"/>
                <w:b/>
                <w:color w:val="000000"/>
                <w:sz w:val="18"/>
                <w:szCs w:val="18"/>
              </w:rPr>
              <w:t>2020 - 2021</w:t>
            </w:r>
          </w:p>
        </w:tc>
        <w:tc>
          <w:tcPr>
            <w:tcW w:w="1018" w:type="dxa"/>
            <w:tcBorders>
              <w:top w:val="single" w:sz="4" w:space="0" w:color="auto"/>
              <w:left w:val="nil"/>
              <w:bottom w:val="single" w:sz="4" w:space="0" w:color="auto"/>
              <w:right w:val="single" w:sz="4" w:space="0" w:color="auto"/>
            </w:tcBorders>
            <w:shd w:val="clear" w:color="000000" w:fill="92D050"/>
            <w:noWrap/>
            <w:vAlign w:val="center"/>
            <w:hideMark/>
          </w:tcPr>
          <w:p w14:paraId="1668ADBF" w14:textId="77777777" w:rsidR="00DF563D" w:rsidRPr="00DF563D" w:rsidRDefault="00DF563D" w:rsidP="00DF563D">
            <w:pPr>
              <w:spacing w:after="0"/>
              <w:ind w:firstLine="0"/>
              <w:jc w:val="center"/>
              <w:rPr>
                <w:rFonts w:ascii="Calibri" w:hAnsi="Calibri" w:cs="Calibri"/>
                <w:b/>
                <w:color w:val="000000"/>
                <w:sz w:val="18"/>
                <w:szCs w:val="18"/>
              </w:rPr>
            </w:pPr>
            <w:r w:rsidRPr="00DF563D">
              <w:rPr>
                <w:rFonts w:ascii="Calibri" w:hAnsi="Calibri" w:cs="Calibri"/>
                <w:b/>
                <w:color w:val="000000"/>
                <w:sz w:val="18"/>
                <w:szCs w:val="18"/>
              </w:rPr>
              <w:t>2021 - 2022</w:t>
            </w:r>
          </w:p>
        </w:tc>
        <w:tc>
          <w:tcPr>
            <w:tcW w:w="982" w:type="dxa"/>
            <w:tcBorders>
              <w:top w:val="single" w:sz="4" w:space="0" w:color="auto"/>
              <w:left w:val="nil"/>
              <w:bottom w:val="single" w:sz="4" w:space="0" w:color="auto"/>
              <w:right w:val="single" w:sz="4" w:space="0" w:color="auto"/>
            </w:tcBorders>
            <w:shd w:val="clear" w:color="000000" w:fill="92D050"/>
            <w:noWrap/>
            <w:vAlign w:val="center"/>
            <w:hideMark/>
          </w:tcPr>
          <w:p w14:paraId="48DE24D2" w14:textId="77777777" w:rsidR="00DF563D" w:rsidRPr="00DF563D" w:rsidRDefault="00DF563D" w:rsidP="00B013F2">
            <w:pPr>
              <w:spacing w:after="0"/>
              <w:ind w:right="-80" w:hanging="89"/>
              <w:jc w:val="center"/>
              <w:rPr>
                <w:rFonts w:ascii="Calibri" w:hAnsi="Calibri" w:cs="Calibri"/>
                <w:b/>
                <w:color w:val="000000"/>
                <w:sz w:val="18"/>
                <w:szCs w:val="18"/>
              </w:rPr>
            </w:pPr>
            <w:r w:rsidRPr="00DF563D">
              <w:rPr>
                <w:rFonts w:ascii="Calibri" w:hAnsi="Calibri" w:cs="Calibri"/>
                <w:b/>
                <w:color w:val="000000"/>
                <w:sz w:val="18"/>
                <w:szCs w:val="18"/>
              </w:rPr>
              <w:t>2022 - 2023</w:t>
            </w:r>
          </w:p>
        </w:tc>
        <w:tc>
          <w:tcPr>
            <w:tcW w:w="1122" w:type="dxa"/>
            <w:tcBorders>
              <w:top w:val="single" w:sz="4" w:space="0" w:color="auto"/>
              <w:left w:val="nil"/>
              <w:bottom w:val="single" w:sz="4" w:space="0" w:color="auto"/>
              <w:right w:val="single" w:sz="4" w:space="0" w:color="auto"/>
            </w:tcBorders>
            <w:shd w:val="clear" w:color="000000" w:fill="92D050"/>
            <w:vAlign w:val="center"/>
            <w:hideMark/>
          </w:tcPr>
          <w:p w14:paraId="766C7322" w14:textId="02AEA73D" w:rsidR="00DF563D" w:rsidRDefault="00B013F2" w:rsidP="00DF563D">
            <w:pPr>
              <w:spacing w:after="0"/>
              <w:ind w:firstLine="0"/>
              <w:jc w:val="center"/>
              <w:rPr>
                <w:rFonts w:ascii="Calibri" w:hAnsi="Calibri" w:cs="Calibri"/>
                <w:b/>
                <w:bCs/>
                <w:sz w:val="18"/>
                <w:szCs w:val="18"/>
              </w:rPr>
            </w:pPr>
            <w:r>
              <w:rPr>
                <w:rFonts w:ascii="Calibri" w:hAnsi="Calibri" w:cs="Calibri"/>
                <w:b/>
                <w:bCs/>
                <w:sz w:val="18"/>
                <w:szCs w:val="18"/>
              </w:rPr>
              <w:t>N</w:t>
            </w:r>
            <w:r w:rsidR="00DF563D" w:rsidRPr="00DF563D">
              <w:rPr>
                <w:rFonts w:ascii="Calibri" w:hAnsi="Calibri" w:cs="Calibri"/>
                <w:b/>
                <w:bCs/>
                <w:sz w:val="18"/>
                <w:szCs w:val="18"/>
              </w:rPr>
              <w:t>árast za obdobie 2017</w:t>
            </w:r>
            <w:r w:rsidR="00DF563D">
              <w:rPr>
                <w:rFonts w:ascii="Calibri" w:hAnsi="Calibri" w:cs="Calibri"/>
                <w:b/>
                <w:bCs/>
                <w:sz w:val="18"/>
                <w:szCs w:val="18"/>
              </w:rPr>
              <w:t xml:space="preserve"> </w:t>
            </w:r>
            <w:r>
              <w:rPr>
                <w:rFonts w:ascii="Calibri" w:hAnsi="Calibri" w:cs="Calibri"/>
                <w:b/>
                <w:bCs/>
                <w:sz w:val="18"/>
                <w:szCs w:val="18"/>
              </w:rPr>
              <w:t>–</w:t>
            </w:r>
            <w:r w:rsidR="00DF563D">
              <w:rPr>
                <w:rFonts w:ascii="Calibri" w:hAnsi="Calibri" w:cs="Calibri"/>
                <w:b/>
                <w:bCs/>
                <w:sz w:val="18"/>
                <w:szCs w:val="18"/>
              </w:rPr>
              <w:t xml:space="preserve"> </w:t>
            </w:r>
            <w:r w:rsidR="00DF563D" w:rsidRPr="00DF563D">
              <w:rPr>
                <w:rFonts w:ascii="Calibri" w:hAnsi="Calibri" w:cs="Calibri"/>
                <w:b/>
                <w:bCs/>
                <w:sz w:val="18"/>
                <w:szCs w:val="18"/>
              </w:rPr>
              <w:t>2023</w:t>
            </w:r>
          </w:p>
          <w:p w14:paraId="0D375B1E" w14:textId="6E0C2B68" w:rsidR="00B013F2" w:rsidRPr="00DF563D" w:rsidRDefault="00B013F2" w:rsidP="00DF563D">
            <w:pPr>
              <w:spacing w:after="0"/>
              <w:ind w:firstLine="0"/>
              <w:jc w:val="center"/>
              <w:rPr>
                <w:rFonts w:ascii="Calibri" w:hAnsi="Calibri" w:cs="Calibri"/>
                <w:bCs/>
                <w:sz w:val="18"/>
                <w:szCs w:val="18"/>
              </w:rPr>
            </w:pPr>
            <w:r w:rsidRPr="00B013F2">
              <w:rPr>
                <w:rFonts w:ascii="Calibri" w:hAnsi="Calibri" w:cs="Calibri"/>
                <w:bCs/>
                <w:sz w:val="18"/>
                <w:szCs w:val="18"/>
              </w:rPr>
              <w:t>(v %)</w:t>
            </w:r>
          </w:p>
        </w:tc>
        <w:tc>
          <w:tcPr>
            <w:tcW w:w="1018" w:type="dxa"/>
            <w:tcBorders>
              <w:top w:val="single" w:sz="4" w:space="0" w:color="auto"/>
              <w:left w:val="nil"/>
              <w:bottom w:val="single" w:sz="4" w:space="0" w:color="auto"/>
              <w:right w:val="single" w:sz="4" w:space="0" w:color="auto"/>
            </w:tcBorders>
            <w:shd w:val="clear" w:color="000000" w:fill="92D050"/>
            <w:noWrap/>
            <w:vAlign w:val="center"/>
            <w:hideMark/>
          </w:tcPr>
          <w:p w14:paraId="45371654" w14:textId="77777777" w:rsidR="00B013F2" w:rsidRDefault="00DF563D" w:rsidP="00DF563D">
            <w:pPr>
              <w:spacing w:after="0"/>
              <w:ind w:firstLine="0"/>
              <w:jc w:val="center"/>
              <w:rPr>
                <w:rFonts w:ascii="Calibri" w:hAnsi="Calibri" w:cs="Calibri"/>
                <w:b/>
                <w:sz w:val="18"/>
                <w:szCs w:val="18"/>
              </w:rPr>
            </w:pPr>
            <w:r w:rsidRPr="00B013F2">
              <w:rPr>
                <w:rFonts w:ascii="Calibri" w:hAnsi="Calibri" w:cs="Calibri"/>
                <w:b/>
                <w:sz w:val="18"/>
                <w:szCs w:val="18"/>
              </w:rPr>
              <w:t>Priemerný medziročný nárast</w:t>
            </w:r>
            <w:r w:rsidR="00B013F2">
              <w:rPr>
                <w:rFonts w:ascii="Calibri" w:hAnsi="Calibri" w:cs="Calibri"/>
                <w:b/>
                <w:sz w:val="18"/>
                <w:szCs w:val="18"/>
              </w:rPr>
              <w:t xml:space="preserve"> </w:t>
            </w:r>
          </w:p>
          <w:p w14:paraId="1FAF44AC" w14:textId="5D577CF4" w:rsidR="00B013F2" w:rsidRPr="00DF563D" w:rsidRDefault="00B013F2" w:rsidP="002E2CAC">
            <w:pPr>
              <w:spacing w:after="0"/>
              <w:ind w:firstLine="0"/>
              <w:jc w:val="center"/>
              <w:rPr>
                <w:rFonts w:ascii="Calibri" w:hAnsi="Calibri" w:cs="Calibri"/>
                <w:b/>
                <w:color w:val="FF0000"/>
                <w:sz w:val="18"/>
                <w:szCs w:val="18"/>
              </w:rPr>
            </w:pPr>
            <w:r w:rsidRPr="00B013F2">
              <w:rPr>
                <w:rFonts w:ascii="Calibri" w:hAnsi="Calibri" w:cs="Calibri"/>
                <w:bCs/>
                <w:sz w:val="18"/>
                <w:szCs w:val="18"/>
              </w:rPr>
              <w:t>(v %)</w:t>
            </w:r>
          </w:p>
        </w:tc>
      </w:tr>
      <w:tr w:rsidR="00386530" w:rsidRPr="00DF563D" w14:paraId="60C02F01" w14:textId="77777777" w:rsidTr="002E2CAC">
        <w:trPr>
          <w:trHeight w:val="545"/>
        </w:trPr>
        <w:tc>
          <w:tcPr>
            <w:tcW w:w="1049" w:type="dxa"/>
            <w:tcBorders>
              <w:top w:val="nil"/>
              <w:left w:val="single" w:sz="4" w:space="0" w:color="auto"/>
              <w:bottom w:val="single" w:sz="4" w:space="0" w:color="auto"/>
              <w:right w:val="single" w:sz="4" w:space="0" w:color="auto"/>
            </w:tcBorders>
            <w:shd w:val="clear" w:color="000000" w:fill="FFC000"/>
            <w:vAlign w:val="center"/>
            <w:hideMark/>
          </w:tcPr>
          <w:p w14:paraId="346CF470"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b/>
                <w:color w:val="000000"/>
                <w:sz w:val="18"/>
                <w:szCs w:val="18"/>
              </w:rPr>
              <w:t>Medziročný rozdiel CCP</w:t>
            </w:r>
            <w:r w:rsidRPr="00DF563D">
              <w:rPr>
                <w:rFonts w:ascii="Calibri" w:hAnsi="Calibri" w:cs="Calibri"/>
                <w:color w:val="000000"/>
                <w:sz w:val="18"/>
                <w:szCs w:val="18"/>
              </w:rPr>
              <w:t xml:space="preserve"> (v %)</w:t>
            </w:r>
          </w:p>
        </w:tc>
        <w:tc>
          <w:tcPr>
            <w:tcW w:w="1034" w:type="dxa"/>
            <w:tcBorders>
              <w:top w:val="nil"/>
              <w:left w:val="nil"/>
              <w:bottom w:val="single" w:sz="4" w:space="0" w:color="auto"/>
              <w:right w:val="single" w:sz="4" w:space="0" w:color="auto"/>
            </w:tcBorders>
            <w:shd w:val="clear" w:color="000000" w:fill="FFC000"/>
            <w:noWrap/>
            <w:vAlign w:val="center"/>
            <w:hideMark/>
          </w:tcPr>
          <w:p w14:paraId="52EA4B65"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color w:val="000000"/>
                <w:sz w:val="18"/>
                <w:szCs w:val="18"/>
              </w:rPr>
              <w:t>6,38</w:t>
            </w:r>
          </w:p>
        </w:tc>
        <w:tc>
          <w:tcPr>
            <w:tcW w:w="1034" w:type="dxa"/>
            <w:tcBorders>
              <w:top w:val="nil"/>
              <w:left w:val="nil"/>
              <w:bottom w:val="single" w:sz="4" w:space="0" w:color="auto"/>
              <w:right w:val="single" w:sz="4" w:space="0" w:color="auto"/>
            </w:tcBorders>
            <w:shd w:val="clear" w:color="000000" w:fill="FFC000"/>
            <w:noWrap/>
            <w:vAlign w:val="center"/>
            <w:hideMark/>
          </w:tcPr>
          <w:p w14:paraId="015B5250"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color w:val="000000"/>
                <w:sz w:val="18"/>
                <w:szCs w:val="18"/>
              </w:rPr>
              <w:t>8,13</w:t>
            </w:r>
          </w:p>
        </w:tc>
        <w:tc>
          <w:tcPr>
            <w:tcW w:w="1018" w:type="dxa"/>
            <w:tcBorders>
              <w:top w:val="nil"/>
              <w:left w:val="nil"/>
              <w:bottom w:val="single" w:sz="4" w:space="0" w:color="auto"/>
              <w:right w:val="single" w:sz="4" w:space="0" w:color="auto"/>
            </w:tcBorders>
            <w:shd w:val="clear" w:color="000000" w:fill="FFC000"/>
            <w:noWrap/>
            <w:vAlign w:val="center"/>
            <w:hideMark/>
          </w:tcPr>
          <w:p w14:paraId="27717AC4"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color w:val="000000"/>
                <w:sz w:val="18"/>
                <w:szCs w:val="18"/>
              </w:rPr>
              <w:t>3,01</w:t>
            </w:r>
          </w:p>
        </w:tc>
        <w:tc>
          <w:tcPr>
            <w:tcW w:w="1018" w:type="dxa"/>
            <w:tcBorders>
              <w:top w:val="nil"/>
              <w:left w:val="nil"/>
              <w:bottom w:val="single" w:sz="4" w:space="0" w:color="auto"/>
              <w:right w:val="single" w:sz="4" w:space="0" w:color="auto"/>
            </w:tcBorders>
            <w:shd w:val="clear" w:color="000000" w:fill="FFC000"/>
            <w:noWrap/>
            <w:vAlign w:val="center"/>
            <w:hideMark/>
          </w:tcPr>
          <w:p w14:paraId="477F716B"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color w:val="000000"/>
                <w:sz w:val="18"/>
                <w:szCs w:val="18"/>
              </w:rPr>
              <w:t>6,75</w:t>
            </w:r>
          </w:p>
        </w:tc>
        <w:tc>
          <w:tcPr>
            <w:tcW w:w="1018" w:type="dxa"/>
            <w:tcBorders>
              <w:top w:val="nil"/>
              <w:left w:val="nil"/>
              <w:bottom w:val="single" w:sz="4" w:space="0" w:color="auto"/>
              <w:right w:val="single" w:sz="4" w:space="0" w:color="auto"/>
            </w:tcBorders>
            <w:shd w:val="clear" w:color="000000" w:fill="FFC000"/>
            <w:noWrap/>
            <w:vAlign w:val="center"/>
            <w:hideMark/>
          </w:tcPr>
          <w:p w14:paraId="7F2EEE65"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color w:val="000000"/>
                <w:sz w:val="18"/>
                <w:szCs w:val="18"/>
              </w:rPr>
              <w:t>8,20</w:t>
            </w:r>
          </w:p>
        </w:tc>
        <w:tc>
          <w:tcPr>
            <w:tcW w:w="982" w:type="dxa"/>
            <w:tcBorders>
              <w:top w:val="nil"/>
              <w:left w:val="nil"/>
              <w:bottom w:val="single" w:sz="4" w:space="0" w:color="auto"/>
              <w:right w:val="single" w:sz="4" w:space="0" w:color="auto"/>
            </w:tcBorders>
            <w:shd w:val="clear" w:color="000000" w:fill="FFC000"/>
            <w:noWrap/>
            <w:vAlign w:val="center"/>
            <w:hideMark/>
          </w:tcPr>
          <w:p w14:paraId="467C9D04" w14:textId="77777777" w:rsidR="00DF563D" w:rsidRPr="00DF563D" w:rsidRDefault="00DF563D" w:rsidP="00DF563D">
            <w:pPr>
              <w:spacing w:after="0"/>
              <w:ind w:firstLine="0"/>
              <w:jc w:val="center"/>
              <w:rPr>
                <w:rFonts w:ascii="Calibri" w:hAnsi="Calibri" w:cs="Calibri"/>
                <w:color w:val="000000"/>
                <w:sz w:val="18"/>
                <w:szCs w:val="18"/>
              </w:rPr>
            </w:pPr>
            <w:r w:rsidRPr="00DF563D">
              <w:rPr>
                <w:rFonts w:ascii="Calibri" w:hAnsi="Calibri" w:cs="Calibri"/>
                <w:color w:val="000000"/>
                <w:sz w:val="18"/>
                <w:szCs w:val="18"/>
              </w:rPr>
              <w:t>10,05</w:t>
            </w:r>
          </w:p>
        </w:tc>
        <w:tc>
          <w:tcPr>
            <w:tcW w:w="1122" w:type="dxa"/>
            <w:tcBorders>
              <w:top w:val="nil"/>
              <w:left w:val="nil"/>
              <w:bottom w:val="single" w:sz="4" w:space="0" w:color="auto"/>
              <w:right w:val="single" w:sz="4" w:space="0" w:color="auto"/>
            </w:tcBorders>
            <w:shd w:val="clear" w:color="000000" w:fill="FFC000"/>
            <w:noWrap/>
            <w:vAlign w:val="center"/>
            <w:hideMark/>
          </w:tcPr>
          <w:p w14:paraId="35A073E7" w14:textId="77777777" w:rsidR="00DF563D" w:rsidRPr="00DF563D" w:rsidRDefault="00DF563D" w:rsidP="00DF563D">
            <w:pPr>
              <w:spacing w:after="0"/>
              <w:ind w:firstLine="0"/>
              <w:jc w:val="center"/>
              <w:rPr>
                <w:rFonts w:ascii="Calibri" w:hAnsi="Calibri" w:cs="Calibri"/>
                <w:b/>
                <w:bCs/>
                <w:sz w:val="18"/>
                <w:szCs w:val="18"/>
              </w:rPr>
            </w:pPr>
            <w:r w:rsidRPr="00DF563D">
              <w:rPr>
                <w:rFonts w:ascii="Calibri" w:hAnsi="Calibri" w:cs="Calibri"/>
                <w:b/>
                <w:bCs/>
                <w:sz w:val="18"/>
                <w:szCs w:val="18"/>
              </w:rPr>
              <w:t>50,62</w:t>
            </w:r>
          </w:p>
        </w:tc>
        <w:tc>
          <w:tcPr>
            <w:tcW w:w="1018" w:type="dxa"/>
            <w:tcBorders>
              <w:top w:val="single" w:sz="4" w:space="0" w:color="auto"/>
              <w:left w:val="nil"/>
              <w:bottom w:val="single" w:sz="4" w:space="0" w:color="auto"/>
              <w:right w:val="single" w:sz="4" w:space="0" w:color="auto"/>
            </w:tcBorders>
            <w:shd w:val="clear" w:color="000000" w:fill="FFC000"/>
            <w:noWrap/>
            <w:vAlign w:val="center"/>
            <w:hideMark/>
          </w:tcPr>
          <w:p w14:paraId="678B2966" w14:textId="14EEF5C6" w:rsidR="00DF563D" w:rsidRPr="00DF563D" w:rsidRDefault="00DF563D" w:rsidP="00DF563D">
            <w:pPr>
              <w:spacing w:after="0"/>
              <w:ind w:firstLine="0"/>
              <w:jc w:val="center"/>
              <w:rPr>
                <w:rFonts w:ascii="Calibri" w:hAnsi="Calibri" w:cs="Calibri"/>
                <w:b/>
                <w:bCs/>
                <w:color w:val="FF0000"/>
                <w:sz w:val="18"/>
                <w:szCs w:val="18"/>
              </w:rPr>
            </w:pPr>
            <w:r w:rsidRPr="00A13D73">
              <w:rPr>
                <w:rFonts w:ascii="Calibri" w:hAnsi="Calibri" w:cs="Calibri"/>
                <w:b/>
                <w:bCs/>
                <w:sz w:val="18"/>
                <w:szCs w:val="18"/>
              </w:rPr>
              <w:t>7,1</w:t>
            </w:r>
            <w:r w:rsidRPr="00DF563D">
              <w:rPr>
                <w:rFonts w:ascii="Calibri" w:hAnsi="Calibri" w:cs="Calibri"/>
                <w:b/>
                <w:bCs/>
                <w:sz w:val="18"/>
                <w:szCs w:val="18"/>
              </w:rPr>
              <w:t> </w:t>
            </w:r>
          </w:p>
        </w:tc>
      </w:tr>
    </w:tbl>
    <w:p w14:paraId="10ADD600" w14:textId="028E0218" w:rsidR="00DF563D" w:rsidRDefault="00DF563D" w:rsidP="002070D1">
      <w:pPr>
        <w:pStyle w:val="Odsekzoznamu"/>
        <w:spacing w:after="0"/>
        <w:ind w:firstLine="0"/>
        <w:rPr>
          <w:rFonts w:cs="Times New Roman"/>
          <w:szCs w:val="24"/>
        </w:rPr>
      </w:pPr>
    </w:p>
    <w:p w14:paraId="3D2466BD" w14:textId="5F3087D4" w:rsidR="00B013F2" w:rsidRDefault="00B013F2" w:rsidP="00386530">
      <w:pPr>
        <w:pStyle w:val="Odsekzoznamu"/>
        <w:spacing w:after="120"/>
        <w:ind w:firstLine="0"/>
        <w:rPr>
          <w:rFonts w:cs="Times New Roman"/>
          <w:szCs w:val="24"/>
        </w:rPr>
      </w:pPr>
      <w:r>
        <w:rPr>
          <w:rFonts w:cs="Times New Roman"/>
          <w:szCs w:val="24"/>
        </w:rPr>
        <w:lastRenderedPageBreak/>
        <w:t>Vyjadrené v absolútnych číslach</w:t>
      </w:r>
      <w:r w:rsidR="00590B3E">
        <w:rPr>
          <w:rFonts w:cs="Times New Roman"/>
          <w:szCs w:val="24"/>
        </w:rPr>
        <w:t>,</w:t>
      </w:r>
      <w:r>
        <w:rPr>
          <w:rFonts w:cs="Times New Roman"/>
          <w:szCs w:val="24"/>
        </w:rPr>
        <w:t xml:space="preserve"> narástla CCP v roku 2023 oproti roku 2017 </w:t>
      </w:r>
      <w:r w:rsidRPr="00590B3E">
        <w:rPr>
          <w:rFonts w:cs="Times New Roman"/>
          <w:b/>
          <w:szCs w:val="24"/>
        </w:rPr>
        <w:t xml:space="preserve">o 633,03 </w:t>
      </w:r>
      <w:r w:rsidR="00E23598">
        <w:rPr>
          <w:rFonts w:cs="Times New Roman"/>
          <w:b/>
          <w:szCs w:val="24"/>
        </w:rPr>
        <w:t>eur</w:t>
      </w:r>
      <w:r>
        <w:rPr>
          <w:rFonts w:cs="Times New Roman"/>
          <w:szCs w:val="24"/>
        </w:rPr>
        <w:t>, t. j</w:t>
      </w:r>
      <w:r w:rsidR="00590B3E">
        <w:rPr>
          <w:rFonts w:cs="Times New Roman"/>
          <w:szCs w:val="24"/>
        </w:rPr>
        <w:t xml:space="preserve">.       </w:t>
      </w:r>
      <w:r>
        <w:rPr>
          <w:rFonts w:cs="Times New Roman"/>
          <w:szCs w:val="24"/>
        </w:rPr>
        <w:t xml:space="preserve"> o</w:t>
      </w:r>
      <w:r w:rsidR="00590B3E">
        <w:rPr>
          <w:rFonts w:cs="Times New Roman"/>
          <w:szCs w:val="24"/>
        </w:rPr>
        <w:t xml:space="preserve"> </w:t>
      </w:r>
      <w:r>
        <w:rPr>
          <w:rFonts w:cs="Times New Roman"/>
          <w:szCs w:val="24"/>
        </w:rPr>
        <w:t xml:space="preserve">viac ako polovicu </w:t>
      </w:r>
      <w:r w:rsidR="00590B3E">
        <w:rPr>
          <w:rFonts w:cs="Times New Roman"/>
          <w:szCs w:val="24"/>
        </w:rPr>
        <w:t>(50,62%).</w:t>
      </w:r>
    </w:p>
    <w:tbl>
      <w:tblPr>
        <w:tblW w:w="9244" w:type="dxa"/>
        <w:tblInd w:w="-5" w:type="dxa"/>
        <w:tblCellMar>
          <w:left w:w="70" w:type="dxa"/>
          <w:right w:w="70" w:type="dxa"/>
        </w:tblCellMar>
        <w:tblLook w:val="04A0" w:firstRow="1" w:lastRow="0" w:firstColumn="1" w:lastColumn="0" w:noHBand="0" w:noVBand="1"/>
      </w:tblPr>
      <w:tblGrid>
        <w:gridCol w:w="1496"/>
        <w:gridCol w:w="815"/>
        <w:gridCol w:w="816"/>
        <w:gridCol w:w="815"/>
        <w:gridCol w:w="816"/>
        <w:gridCol w:w="815"/>
        <w:gridCol w:w="816"/>
        <w:gridCol w:w="815"/>
        <w:gridCol w:w="1495"/>
        <w:gridCol w:w="552"/>
      </w:tblGrid>
      <w:tr w:rsidR="00590B3E" w:rsidRPr="00B013F2" w14:paraId="50EAEC98" w14:textId="3F1AA7E8" w:rsidTr="00CA39DF">
        <w:trPr>
          <w:trHeight w:val="575"/>
        </w:trPr>
        <w:tc>
          <w:tcPr>
            <w:tcW w:w="14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9F9F930" w14:textId="057DD9C5" w:rsidR="00590B3E" w:rsidRPr="00B013F2" w:rsidRDefault="00590B3E" w:rsidP="00D75B88">
            <w:pPr>
              <w:spacing w:after="0"/>
              <w:ind w:firstLine="0"/>
              <w:jc w:val="center"/>
              <w:rPr>
                <w:rFonts w:ascii="Calibri" w:hAnsi="Calibri" w:cs="Calibri"/>
                <w:b/>
                <w:color w:val="000000"/>
                <w:sz w:val="18"/>
                <w:szCs w:val="18"/>
              </w:rPr>
            </w:pPr>
            <w:r>
              <w:rPr>
                <w:rFonts w:ascii="Calibri" w:hAnsi="Calibri" w:cs="Calibri"/>
                <w:b/>
                <w:color w:val="000000"/>
                <w:sz w:val="18"/>
                <w:szCs w:val="18"/>
              </w:rPr>
              <w:t>R</w:t>
            </w:r>
            <w:r w:rsidRPr="00B013F2">
              <w:rPr>
                <w:rFonts w:ascii="Calibri" w:hAnsi="Calibri" w:cs="Calibri"/>
                <w:b/>
                <w:color w:val="000000"/>
                <w:sz w:val="18"/>
                <w:szCs w:val="18"/>
              </w:rPr>
              <w:t>oky</w:t>
            </w:r>
          </w:p>
        </w:tc>
        <w:tc>
          <w:tcPr>
            <w:tcW w:w="815" w:type="dxa"/>
            <w:tcBorders>
              <w:top w:val="single" w:sz="4" w:space="0" w:color="auto"/>
              <w:left w:val="nil"/>
              <w:bottom w:val="single" w:sz="4" w:space="0" w:color="auto"/>
              <w:right w:val="single" w:sz="4" w:space="0" w:color="auto"/>
            </w:tcBorders>
            <w:shd w:val="clear" w:color="000000" w:fill="92D050"/>
            <w:noWrap/>
            <w:vAlign w:val="center"/>
            <w:hideMark/>
          </w:tcPr>
          <w:p w14:paraId="75D96466"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2017</w:t>
            </w:r>
          </w:p>
        </w:tc>
        <w:tc>
          <w:tcPr>
            <w:tcW w:w="816" w:type="dxa"/>
            <w:tcBorders>
              <w:top w:val="single" w:sz="4" w:space="0" w:color="auto"/>
              <w:left w:val="nil"/>
              <w:bottom w:val="single" w:sz="4" w:space="0" w:color="auto"/>
              <w:right w:val="single" w:sz="4" w:space="0" w:color="auto"/>
            </w:tcBorders>
            <w:shd w:val="clear" w:color="000000" w:fill="92D050"/>
            <w:noWrap/>
            <w:vAlign w:val="center"/>
            <w:hideMark/>
          </w:tcPr>
          <w:p w14:paraId="2FEDA593"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2018</w:t>
            </w:r>
          </w:p>
        </w:tc>
        <w:tc>
          <w:tcPr>
            <w:tcW w:w="815" w:type="dxa"/>
            <w:tcBorders>
              <w:top w:val="single" w:sz="4" w:space="0" w:color="auto"/>
              <w:left w:val="nil"/>
              <w:bottom w:val="single" w:sz="4" w:space="0" w:color="auto"/>
              <w:right w:val="single" w:sz="4" w:space="0" w:color="auto"/>
            </w:tcBorders>
            <w:shd w:val="clear" w:color="000000" w:fill="92D050"/>
            <w:noWrap/>
            <w:vAlign w:val="center"/>
            <w:hideMark/>
          </w:tcPr>
          <w:p w14:paraId="4AF5D071"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2019</w:t>
            </w:r>
          </w:p>
        </w:tc>
        <w:tc>
          <w:tcPr>
            <w:tcW w:w="816" w:type="dxa"/>
            <w:tcBorders>
              <w:top w:val="single" w:sz="4" w:space="0" w:color="auto"/>
              <w:left w:val="nil"/>
              <w:bottom w:val="single" w:sz="4" w:space="0" w:color="auto"/>
              <w:right w:val="single" w:sz="4" w:space="0" w:color="auto"/>
            </w:tcBorders>
            <w:shd w:val="clear" w:color="000000" w:fill="92D050"/>
            <w:noWrap/>
            <w:vAlign w:val="center"/>
            <w:hideMark/>
          </w:tcPr>
          <w:p w14:paraId="534A694C"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2020</w:t>
            </w:r>
          </w:p>
        </w:tc>
        <w:tc>
          <w:tcPr>
            <w:tcW w:w="815" w:type="dxa"/>
            <w:tcBorders>
              <w:top w:val="single" w:sz="4" w:space="0" w:color="auto"/>
              <w:left w:val="nil"/>
              <w:bottom w:val="single" w:sz="4" w:space="0" w:color="auto"/>
              <w:right w:val="single" w:sz="4" w:space="0" w:color="auto"/>
            </w:tcBorders>
            <w:shd w:val="clear" w:color="000000" w:fill="92D050"/>
            <w:noWrap/>
            <w:vAlign w:val="center"/>
            <w:hideMark/>
          </w:tcPr>
          <w:p w14:paraId="68B6782D"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2021</w:t>
            </w:r>
          </w:p>
        </w:tc>
        <w:tc>
          <w:tcPr>
            <w:tcW w:w="816" w:type="dxa"/>
            <w:tcBorders>
              <w:top w:val="single" w:sz="4" w:space="0" w:color="auto"/>
              <w:left w:val="nil"/>
              <w:bottom w:val="single" w:sz="4" w:space="0" w:color="auto"/>
              <w:right w:val="single" w:sz="4" w:space="0" w:color="auto"/>
            </w:tcBorders>
            <w:shd w:val="clear" w:color="000000" w:fill="92D050"/>
            <w:noWrap/>
            <w:vAlign w:val="center"/>
            <w:hideMark/>
          </w:tcPr>
          <w:p w14:paraId="3B2D41F2"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2022</w:t>
            </w:r>
          </w:p>
        </w:tc>
        <w:tc>
          <w:tcPr>
            <w:tcW w:w="815" w:type="dxa"/>
            <w:tcBorders>
              <w:top w:val="single" w:sz="4" w:space="0" w:color="auto"/>
              <w:left w:val="nil"/>
              <w:bottom w:val="single" w:sz="4" w:space="0" w:color="auto"/>
              <w:right w:val="single" w:sz="4" w:space="0" w:color="auto"/>
            </w:tcBorders>
            <w:shd w:val="clear" w:color="000000" w:fill="92D050"/>
            <w:noWrap/>
            <w:vAlign w:val="center"/>
            <w:hideMark/>
          </w:tcPr>
          <w:p w14:paraId="5247B475" w14:textId="77777777" w:rsidR="00590B3E" w:rsidRPr="00B013F2" w:rsidRDefault="00590B3E" w:rsidP="00D75B88">
            <w:pPr>
              <w:spacing w:after="0"/>
              <w:ind w:firstLine="0"/>
              <w:jc w:val="center"/>
              <w:rPr>
                <w:rFonts w:ascii="Calibri" w:hAnsi="Calibri" w:cs="Calibri"/>
                <w:b/>
                <w:color w:val="000000"/>
                <w:sz w:val="18"/>
                <w:szCs w:val="18"/>
              </w:rPr>
            </w:pPr>
            <w:r w:rsidRPr="00B013F2">
              <w:rPr>
                <w:rFonts w:ascii="Calibri" w:hAnsi="Calibri" w:cs="Calibri"/>
                <w:b/>
                <w:color w:val="000000"/>
                <w:sz w:val="18"/>
                <w:szCs w:val="18"/>
              </w:rPr>
              <w:t>2023</w:t>
            </w:r>
          </w:p>
        </w:tc>
        <w:tc>
          <w:tcPr>
            <w:tcW w:w="1495" w:type="dxa"/>
            <w:tcBorders>
              <w:top w:val="single" w:sz="4" w:space="0" w:color="auto"/>
              <w:left w:val="nil"/>
              <w:bottom w:val="single" w:sz="4" w:space="0" w:color="auto"/>
              <w:right w:val="single" w:sz="4" w:space="0" w:color="auto"/>
            </w:tcBorders>
            <w:shd w:val="clear" w:color="000000" w:fill="92D050"/>
            <w:vAlign w:val="center"/>
            <w:hideMark/>
          </w:tcPr>
          <w:p w14:paraId="23E2DAA7" w14:textId="1F4188B0" w:rsidR="00590B3E" w:rsidRPr="00B013F2" w:rsidRDefault="00386530" w:rsidP="00D75B88">
            <w:pPr>
              <w:spacing w:after="0"/>
              <w:ind w:firstLine="0"/>
              <w:jc w:val="center"/>
              <w:rPr>
                <w:rFonts w:ascii="Calibri" w:hAnsi="Calibri" w:cs="Calibri"/>
                <w:b/>
                <w:bCs/>
                <w:color w:val="FF0000"/>
                <w:sz w:val="18"/>
                <w:szCs w:val="18"/>
              </w:rPr>
            </w:pPr>
            <w:r>
              <w:rPr>
                <w:rFonts w:ascii="Calibri" w:hAnsi="Calibri" w:cs="Calibri"/>
                <w:b/>
                <w:bCs/>
                <w:sz w:val="18"/>
                <w:szCs w:val="18"/>
              </w:rPr>
              <w:t>N</w:t>
            </w:r>
            <w:r w:rsidR="00590B3E" w:rsidRPr="00B013F2">
              <w:rPr>
                <w:rFonts w:ascii="Calibri" w:hAnsi="Calibri" w:cs="Calibri"/>
                <w:b/>
                <w:bCs/>
                <w:sz w:val="18"/>
                <w:szCs w:val="18"/>
              </w:rPr>
              <w:t xml:space="preserve">árast za obdobie </w:t>
            </w:r>
            <w:r w:rsidR="00590B3E">
              <w:rPr>
                <w:rFonts w:ascii="Calibri" w:hAnsi="Calibri" w:cs="Calibri"/>
                <w:b/>
                <w:bCs/>
                <w:sz w:val="18"/>
                <w:szCs w:val="18"/>
              </w:rPr>
              <w:t xml:space="preserve">   </w:t>
            </w:r>
            <w:r w:rsidR="00590B3E" w:rsidRPr="00B013F2">
              <w:rPr>
                <w:rFonts w:ascii="Calibri" w:hAnsi="Calibri" w:cs="Calibri"/>
                <w:b/>
                <w:bCs/>
                <w:sz w:val="18"/>
                <w:szCs w:val="18"/>
              </w:rPr>
              <w:t>2017-2023</w:t>
            </w:r>
          </w:p>
        </w:tc>
        <w:tc>
          <w:tcPr>
            <w:tcW w:w="545" w:type="dxa"/>
            <w:tcBorders>
              <w:top w:val="single" w:sz="4" w:space="0" w:color="auto"/>
              <w:left w:val="nil"/>
              <w:bottom w:val="single" w:sz="4" w:space="0" w:color="auto"/>
              <w:right w:val="single" w:sz="4" w:space="0" w:color="auto"/>
            </w:tcBorders>
            <w:shd w:val="clear" w:color="000000" w:fill="92D050"/>
            <w:vAlign w:val="center"/>
          </w:tcPr>
          <w:p w14:paraId="7CA83809" w14:textId="24D85E8C" w:rsidR="00590B3E" w:rsidRPr="00B013F2" w:rsidRDefault="00590B3E" w:rsidP="00D75B88">
            <w:pPr>
              <w:spacing w:after="0"/>
              <w:ind w:firstLine="0"/>
              <w:jc w:val="center"/>
              <w:rPr>
                <w:rFonts w:ascii="Calibri" w:hAnsi="Calibri" w:cs="Calibri"/>
                <w:b/>
                <w:bCs/>
                <w:sz w:val="18"/>
                <w:szCs w:val="18"/>
              </w:rPr>
            </w:pPr>
            <w:r>
              <w:rPr>
                <w:rFonts w:ascii="Calibri" w:hAnsi="Calibri" w:cs="Calibri"/>
                <w:b/>
                <w:bCs/>
                <w:sz w:val="18"/>
                <w:szCs w:val="18"/>
              </w:rPr>
              <w:t>%</w:t>
            </w:r>
          </w:p>
        </w:tc>
      </w:tr>
      <w:tr w:rsidR="00590B3E" w:rsidRPr="00B013F2" w14:paraId="21794239" w14:textId="5C7A996B" w:rsidTr="00CA39DF">
        <w:trPr>
          <w:trHeight w:val="754"/>
        </w:trPr>
        <w:tc>
          <w:tcPr>
            <w:tcW w:w="1496" w:type="dxa"/>
            <w:tcBorders>
              <w:top w:val="nil"/>
              <w:left w:val="single" w:sz="4" w:space="0" w:color="auto"/>
              <w:bottom w:val="single" w:sz="4" w:space="0" w:color="auto"/>
              <w:right w:val="single" w:sz="4" w:space="0" w:color="auto"/>
            </w:tcBorders>
            <w:shd w:val="clear" w:color="000000" w:fill="FFC000"/>
            <w:vAlign w:val="center"/>
            <w:hideMark/>
          </w:tcPr>
          <w:p w14:paraId="5F835856" w14:textId="2D81E3C5"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b/>
                <w:color w:val="000000"/>
                <w:sz w:val="18"/>
                <w:szCs w:val="18"/>
              </w:rPr>
              <w:t>CCP vypočítaná z priemernej m</w:t>
            </w:r>
            <w:r>
              <w:rPr>
                <w:rFonts w:ascii="Calibri" w:hAnsi="Calibri" w:cs="Calibri"/>
                <w:b/>
                <w:color w:val="000000"/>
                <w:sz w:val="18"/>
                <w:szCs w:val="18"/>
              </w:rPr>
              <w:t>zdy v hospodárstve SR za 1.-</w:t>
            </w:r>
            <w:r w:rsidR="002E2CAC">
              <w:rPr>
                <w:rFonts w:ascii="Calibri" w:hAnsi="Calibri" w:cs="Calibri"/>
                <w:b/>
                <w:color w:val="000000"/>
                <w:sz w:val="18"/>
                <w:szCs w:val="18"/>
              </w:rPr>
              <w:t xml:space="preserve"> </w:t>
            </w:r>
            <w:r>
              <w:rPr>
                <w:rFonts w:ascii="Calibri" w:hAnsi="Calibri" w:cs="Calibri"/>
                <w:b/>
                <w:color w:val="000000"/>
                <w:sz w:val="18"/>
                <w:szCs w:val="18"/>
              </w:rPr>
              <w:t>3.Q.</w:t>
            </w:r>
            <w:r w:rsidRPr="00B013F2">
              <w:rPr>
                <w:rFonts w:ascii="Calibri" w:hAnsi="Calibri" w:cs="Calibri"/>
                <w:b/>
                <w:color w:val="000000"/>
                <w:sz w:val="18"/>
                <w:szCs w:val="18"/>
              </w:rPr>
              <w:t xml:space="preserve"> </w:t>
            </w:r>
            <w:r w:rsidR="00CA39DF">
              <w:rPr>
                <w:rFonts w:ascii="Calibri" w:hAnsi="Calibri" w:cs="Calibri"/>
                <w:b/>
                <w:color w:val="000000"/>
                <w:sz w:val="18"/>
                <w:szCs w:val="18"/>
              </w:rPr>
              <w:t xml:space="preserve">       </w:t>
            </w:r>
            <w:r>
              <w:rPr>
                <w:rFonts w:ascii="Calibri" w:hAnsi="Calibri" w:cs="Calibri"/>
                <w:color w:val="000000"/>
                <w:sz w:val="18"/>
                <w:szCs w:val="18"/>
              </w:rPr>
              <w:t>(</w:t>
            </w:r>
            <w:r w:rsidRPr="00B013F2">
              <w:rPr>
                <w:rFonts w:ascii="Calibri" w:hAnsi="Calibri" w:cs="Calibri"/>
                <w:color w:val="000000"/>
                <w:sz w:val="18"/>
                <w:szCs w:val="18"/>
              </w:rPr>
              <w:t xml:space="preserve">v </w:t>
            </w:r>
            <w:r w:rsidR="002E2CAC">
              <w:rPr>
                <w:rFonts w:ascii="Calibri" w:hAnsi="Calibri" w:cs="Calibri"/>
                <w:color w:val="000000"/>
                <w:sz w:val="18"/>
                <w:szCs w:val="18"/>
              </w:rPr>
              <w:t>Eur</w:t>
            </w:r>
            <w:r>
              <w:rPr>
                <w:rFonts w:ascii="Calibri" w:hAnsi="Calibri" w:cs="Calibri"/>
                <w:color w:val="000000"/>
                <w:sz w:val="18"/>
                <w:szCs w:val="18"/>
              </w:rPr>
              <w:t>)</w:t>
            </w:r>
          </w:p>
        </w:tc>
        <w:tc>
          <w:tcPr>
            <w:tcW w:w="815" w:type="dxa"/>
            <w:tcBorders>
              <w:top w:val="nil"/>
              <w:left w:val="nil"/>
              <w:bottom w:val="single" w:sz="4" w:space="0" w:color="auto"/>
              <w:right w:val="single" w:sz="4" w:space="0" w:color="auto"/>
            </w:tcBorders>
            <w:shd w:val="clear" w:color="000000" w:fill="FFC000"/>
            <w:noWrap/>
            <w:vAlign w:val="center"/>
            <w:hideMark/>
          </w:tcPr>
          <w:p w14:paraId="4CE0C245"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1 250,59</w:t>
            </w:r>
          </w:p>
        </w:tc>
        <w:tc>
          <w:tcPr>
            <w:tcW w:w="816" w:type="dxa"/>
            <w:tcBorders>
              <w:top w:val="nil"/>
              <w:left w:val="nil"/>
              <w:bottom w:val="single" w:sz="4" w:space="0" w:color="auto"/>
              <w:right w:val="single" w:sz="4" w:space="0" w:color="auto"/>
            </w:tcBorders>
            <w:shd w:val="clear" w:color="000000" w:fill="FFC000"/>
            <w:noWrap/>
            <w:vAlign w:val="center"/>
            <w:hideMark/>
          </w:tcPr>
          <w:p w14:paraId="6589A18A"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1 330,36</w:t>
            </w:r>
          </w:p>
        </w:tc>
        <w:tc>
          <w:tcPr>
            <w:tcW w:w="815" w:type="dxa"/>
            <w:tcBorders>
              <w:top w:val="nil"/>
              <w:left w:val="nil"/>
              <w:bottom w:val="single" w:sz="4" w:space="0" w:color="auto"/>
              <w:right w:val="single" w:sz="4" w:space="0" w:color="auto"/>
            </w:tcBorders>
            <w:shd w:val="clear" w:color="000000" w:fill="FFC000"/>
            <w:noWrap/>
            <w:vAlign w:val="center"/>
            <w:hideMark/>
          </w:tcPr>
          <w:p w14:paraId="6C07081E"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1 438,52</w:t>
            </w:r>
          </w:p>
        </w:tc>
        <w:tc>
          <w:tcPr>
            <w:tcW w:w="816" w:type="dxa"/>
            <w:tcBorders>
              <w:top w:val="nil"/>
              <w:left w:val="nil"/>
              <w:bottom w:val="single" w:sz="4" w:space="0" w:color="auto"/>
              <w:right w:val="single" w:sz="4" w:space="0" w:color="auto"/>
            </w:tcBorders>
            <w:shd w:val="clear" w:color="000000" w:fill="FFC000"/>
            <w:noWrap/>
            <w:vAlign w:val="center"/>
            <w:hideMark/>
          </w:tcPr>
          <w:p w14:paraId="64CF50B2"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1 481,78</w:t>
            </w:r>
          </w:p>
        </w:tc>
        <w:tc>
          <w:tcPr>
            <w:tcW w:w="815" w:type="dxa"/>
            <w:tcBorders>
              <w:top w:val="nil"/>
              <w:left w:val="nil"/>
              <w:bottom w:val="single" w:sz="4" w:space="0" w:color="auto"/>
              <w:right w:val="single" w:sz="4" w:space="0" w:color="auto"/>
            </w:tcBorders>
            <w:shd w:val="clear" w:color="000000" w:fill="FFC000"/>
            <w:noWrap/>
            <w:vAlign w:val="center"/>
            <w:hideMark/>
          </w:tcPr>
          <w:p w14:paraId="0057A8CA"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1 581,83</w:t>
            </w:r>
          </w:p>
        </w:tc>
        <w:tc>
          <w:tcPr>
            <w:tcW w:w="816" w:type="dxa"/>
            <w:tcBorders>
              <w:top w:val="nil"/>
              <w:left w:val="nil"/>
              <w:bottom w:val="single" w:sz="4" w:space="0" w:color="auto"/>
              <w:right w:val="single" w:sz="4" w:space="0" w:color="auto"/>
            </w:tcBorders>
            <w:shd w:val="clear" w:color="000000" w:fill="FFC000"/>
            <w:noWrap/>
            <w:vAlign w:val="center"/>
            <w:hideMark/>
          </w:tcPr>
          <w:p w14:paraId="3DF304FB"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1 711,61</w:t>
            </w:r>
          </w:p>
        </w:tc>
        <w:tc>
          <w:tcPr>
            <w:tcW w:w="815" w:type="dxa"/>
            <w:tcBorders>
              <w:top w:val="nil"/>
              <w:left w:val="nil"/>
              <w:bottom w:val="single" w:sz="4" w:space="0" w:color="auto"/>
              <w:right w:val="single" w:sz="4" w:space="0" w:color="auto"/>
            </w:tcBorders>
            <w:shd w:val="clear" w:color="000000" w:fill="FFC000"/>
            <w:noWrap/>
            <w:vAlign w:val="center"/>
            <w:hideMark/>
          </w:tcPr>
          <w:p w14:paraId="2F12E27C" w14:textId="77777777" w:rsidR="00590B3E" w:rsidRPr="00B013F2" w:rsidRDefault="00590B3E" w:rsidP="00D75B88">
            <w:pPr>
              <w:spacing w:after="0"/>
              <w:ind w:firstLine="0"/>
              <w:jc w:val="center"/>
              <w:rPr>
                <w:rFonts w:ascii="Calibri" w:hAnsi="Calibri" w:cs="Calibri"/>
                <w:color w:val="000000"/>
                <w:sz w:val="18"/>
                <w:szCs w:val="18"/>
              </w:rPr>
            </w:pPr>
            <w:r w:rsidRPr="00B013F2">
              <w:rPr>
                <w:rFonts w:ascii="Calibri" w:hAnsi="Calibri" w:cs="Calibri"/>
                <w:color w:val="000000"/>
                <w:sz w:val="18"/>
                <w:szCs w:val="18"/>
              </w:rPr>
              <w:t>1 883,62</w:t>
            </w:r>
          </w:p>
        </w:tc>
        <w:tc>
          <w:tcPr>
            <w:tcW w:w="1495" w:type="dxa"/>
            <w:tcBorders>
              <w:top w:val="nil"/>
              <w:left w:val="nil"/>
              <w:bottom w:val="single" w:sz="4" w:space="0" w:color="auto"/>
              <w:right w:val="single" w:sz="4" w:space="0" w:color="auto"/>
            </w:tcBorders>
            <w:shd w:val="clear" w:color="000000" w:fill="FFC000"/>
            <w:noWrap/>
            <w:vAlign w:val="center"/>
            <w:hideMark/>
          </w:tcPr>
          <w:p w14:paraId="028773FC" w14:textId="77777777" w:rsidR="00590B3E" w:rsidRPr="00B013F2" w:rsidRDefault="00590B3E" w:rsidP="00D75B88">
            <w:pPr>
              <w:spacing w:after="0"/>
              <w:ind w:firstLine="0"/>
              <w:jc w:val="center"/>
              <w:rPr>
                <w:rFonts w:ascii="Calibri" w:hAnsi="Calibri" w:cs="Calibri"/>
                <w:b/>
                <w:bCs/>
                <w:color w:val="FF0000"/>
                <w:sz w:val="18"/>
                <w:szCs w:val="18"/>
              </w:rPr>
            </w:pPr>
            <w:r w:rsidRPr="00B013F2">
              <w:rPr>
                <w:rFonts w:ascii="Calibri" w:hAnsi="Calibri" w:cs="Calibri"/>
                <w:b/>
                <w:bCs/>
                <w:sz w:val="18"/>
                <w:szCs w:val="18"/>
              </w:rPr>
              <w:t>633,03</w:t>
            </w:r>
          </w:p>
        </w:tc>
        <w:tc>
          <w:tcPr>
            <w:tcW w:w="545" w:type="dxa"/>
            <w:tcBorders>
              <w:top w:val="nil"/>
              <w:left w:val="nil"/>
              <w:bottom w:val="single" w:sz="4" w:space="0" w:color="auto"/>
              <w:right w:val="single" w:sz="4" w:space="0" w:color="auto"/>
            </w:tcBorders>
            <w:shd w:val="clear" w:color="000000" w:fill="FFC000"/>
            <w:vAlign w:val="center"/>
          </w:tcPr>
          <w:p w14:paraId="665C8A4A" w14:textId="1506A773" w:rsidR="00590B3E" w:rsidRPr="00B013F2" w:rsidRDefault="00590B3E" w:rsidP="00D75B88">
            <w:pPr>
              <w:spacing w:after="0"/>
              <w:ind w:firstLine="0"/>
              <w:jc w:val="center"/>
              <w:rPr>
                <w:rFonts w:ascii="Calibri" w:hAnsi="Calibri" w:cs="Calibri"/>
                <w:b/>
                <w:bCs/>
                <w:sz w:val="18"/>
                <w:szCs w:val="18"/>
              </w:rPr>
            </w:pPr>
            <w:r>
              <w:rPr>
                <w:rFonts w:ascii="Calibri" w:hAnsi="Calibri" w:cs="Calibri"/>
                <w:b/>
                <w:bCs/>
                <w:sz w:val="18"/>
                <w:szCs w:val="18"/>
              </w:rPr>
              <w:t>50,62</w:t>
            </w:r>
          </w:p>
        </w:tc>
      </w:tr>
    </w:tbl>
    <w:p w14:paraId="02DB0162" w14:textId="03DC8B90" w:rsidR="00014D4D" w:rsidRPr="00C35CA8" w:rsidRDefault="00014D4D" w:rsidP="002070D1">
      <w:pPr>
        <w:pStyle w:val="Odsekzoznamu"/>
        <w:spacing w:after="0"/>
        <w:ind w:firstLine="0"/>
        <w:rPr>
          <w:rFonts w:cs="Times New Roman"/>
          <w:szCs w:val="24"/>
        </w:rPr>
      </w:pPr>
      <w:r w:rsidRPr="00C35CA8">
        <w:rPr>
          <w:rFonts w:cs="Times New Roman"/>
          <w:szCs w:val="24"/>
        </w:rPr>
        <w:t>Medziročné prírastky v úrovni CCP vidno na nasledujúcom grafe.</w:t>
      </w:r>
    </w:p>
    <w:p w14:paraId="493EFA8A" w14:textId="6AD976F7" w:rsidR="00014D4D" w:rsidRDefault="00590B3E" w:rsidP="002070D1">
      <w:pPr>
        <w:pStyle w:val="Odsekzoznamu"/>
        <w:spacing w:after="0"/>
        <w:ind w:firstLine="0"/>
        <w:rPr>
          <w:noProof/>
          <w:lang w:eastAsia="sk-SK"/>
        </w:rPr>
      </w:pPr>
      <w:r w:rsidRPr="00425781">
        <w:rPr>
          <w:noProof/>
          <w:color w:val="0033CC"/>
          <w:lang w:eastAsia="sk-SK"/>
        </w:rPr>
        <w:drawing>
          <wp:inline distT="0" distB="0" distL="0" distR="0" wp14:anchorId="33B5C3A0" wp14:editId="4DE9FCD7">
            <wp:extent cx="5850890" cy="2600076"/>
            <wp:effectExtent l="0" t="0" r="16510" b="10160"/>
            <wp:docPr id="473" name="Graf 473">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116344" w14:textId="79FA72AF" w:rsidR="00CB6176" w:rsidRDefault="00CB6176" w:rsidP="00F00675">
      <w:pPr>
        <w:pStyle w:val="Odsekzoznamu"/>
        <w:spacing w:after="120"/>
        <w:ind w:firstLine="0"/>
        <w:rPr>
          <w:rFonts w:cs="Times New Roman"/>
          <w:szCs w:val="24"/>
        </w:rPr>
      </w:pPr>
      <w:bookmarkStart w:id="5" w:name="_Hlk103501998"/>
      <w:r>
        <w:rPr>
          <w:rFonts w:cs="Times New Roman"/>
          <w:szCs w:val="24"/>
        </w:rPr>
        <w:t xml:space="preserve">Príspevky AOTP sa v hodnotenom roku 2023 </w:t>
      </w:r>
      <w:r w:rsidR="00371761">
        <w:rPr>
          <w:rFonts w:cs="Times New Roman"/>
          <w:szCs w:val="24"/>
        </w:rPr>
        <w:t xml:space="preserve">poskytovali viacmenej </w:t>
      </w:r>
      <w:r>
        <w:rPr>
          <w:rFonts w:cs="Times New Roman"/>
          <w:szCs w:val="24"/>
        </w:rPr>
        <w:t>len v režime príspevkov z dobiehajúcich zdrojov ESF</w:t>
      </w:r>
      <w:r w:rsidR="009A4F3A">
        <w:rPr>
          <w:rFonts w:cs="Times New Roman"/>
          <w:szCs w:val="24"/>
        </w:rPr>
        <w:t xml:space="preserve"> realizovaných ako programy a projekty podľa § 54</w:t>
      </w:r>
      <w:r w:rsidR="009A4F3A" w:rsidRPr="009A4F3A">
        <w:t xml:space="preserve"> </w:t>
      </w:r>
      <w:r w:rsidR="009A4F3A" w:rsidRPr="009A4F3A">
        <w:rPr>
          <w:rFonts w:cs="Times New Roman"/>
          <w:szCs w:val="24"/>
        </w:rPr>
        <w:t xml:space="preserve">zákona </w:t>
      </w:r>
      <w:r w:rsidR="009A4F3A">
        <w:rPr>
          <w:rFonts w:cs="Times New Roman"/>
          <w:szCs w:val="24"/>
        </w:rPr>
        <w:t xml:space="preserve">                  </w:t>
      </w:r>
      <w:r w:rsidR="009A4F3A" w:rsidRPr="009A4F3A">
        <w:rPr>
          <w:rFonts w:cs="Times New Roman"/>
          <w:szCs w:val="24"/>
        </w:rPr>
        <w:t>o službách zamestnanosti</w:t>
      </w:r>
      <w:r>
        <w:rPr>
          <w:rFonts w:cs="Times New Roman"/>
          <w:szCs w:val="24"/>
        </w:rPr>
        <w:t xml:space="preserve">. Zo štátneho rozpočtu sa </w:t>
      </w:r>
      <w:r w:rsidR="00094E57">
        <w:rPr>
          <w:rFonts w:cs="Times New Roman"/>
          <w:szCs w:val="24"/>
        </w:rPr>
        <w:t>financovali</w:t>
      </w:r>
      <w:r>
        <w:rPr>
          <w:rFonts w:cs="Times New Roman"/>
          <w:szCs w:val="24"/>
        </w:rPr>
        <w:t xml:space="preserve"> len príspevky </w:t>
      </w:r>
      <w:r w:rsidR="00094E57">
        <w:rPr>
          <w:rFonts w:cs="Times New Roman"/>
          <w:szCs w:val="24"/>
        </w:rPr>
        <w:t xml:space="preserve">na ktoré je právny nárok, </w:t>
      </w:r>
      <w:r>
        <w:rPr>
          <w:rFonts w:cs="Times New Roman"/>
          <w:szCs w:val="24"/>
        </w:rPr>
        <w:t xml:space="preserve">ak neboli kryté </w:t>
      </w:r>
      <w:r w:rsidR="00094E57">
        <w:rPr>
          <w:rFonts w:cs="Times New Roman"/>
          <w:szCs w:val="24"/>
        </w:rPr>
        <w:t xml:space="preserve">zo zdroja </w:t>
      </w:r>
      <w:r>
        <w:rPr>
          <w:rFonts w:cs="Times New Roman"/>
          <w:szCs w:val="24"/>
        </w:rPr>
        <w:t>ESF</w:t>
      </w:r>
      <w:r w:rsidR="00094E57">
        <w:rPr>
          <w:rFonts w:cs="Times New Roman"/>
          <w:szCs w:val="24"/>
        </w:rPr>
        <w:t>. Išlo o obligatórne príspevky, a to</w:t>
      </w:r>
      <w:r w:rsidR="00371761" w:rsidRPr="00371761">
        <w:t xml:space="preserve"> </w:t>
      </w:r>
      <w:r w:rsidR="00371761">
        <w:t xml:space="preserve">podľa § </w:t>
      </w:r>
      <w:r w:rsidR="00371761" w:rsidRPr="00371761">
        <w:rPr>
          <w:rFonts w:cs="Times New Roman"/>
          <w:szCs w:val="24"/>
        </w:rPr>
        <w:t>19b</w:t>
      </w:r>
      <w:r w:rsidR="00371761">
        <w:rPr>
          <w:rFonts w:cs="Times New Roman"/>
          <w:szCs w:val="24"/>
        </w:rPr>
        <w:t xml:space="preserve"> – vyrovnávací príspevok v zmysle </w:t>
      </w:r>
      <w:r w:rsidR="00371761" w:rsidRPr="00371761">
        <w:rPr>
          <w:rFonts w:cs="Times New Roman"/>
          <w:szCs w:val="24"/>
        </w:rPr>
        <w:t>zákona o sociálnej ekonomike a</w:t>
      </w:r>
      <w:r w:rsidR="00371761">
        <w:rPr>
          <w:rFonts w:cs="Times New Roman"/>
          <w:szCs w:val="24"/>
        </w:rPr>
        <w:t xml:space="preserve"> podľa § 53 - </w:t>
      </w:r>
      <w:r w:rsidR="009A4F3A">
        <w:rPr>
          <w:rFonts w:cs="Times New Roman"/>
          <w:szCs w:val="24"/>
        </w:rPr>
        <w:t>P</w:t>
      </w:r>
      <w:r w:rsidR="00371761">
        <w:rPr>
          <w:rFonts w:cs="Times New Roman"/>
          <w:szCs w:val="24"/>
        </w:rPr>
        <w:t>ríspevok na</w:t>
      </w:r>
      <w:r w:rsidR="00371761" w:rsidRPr="00371761">
        <w:rPr>
          <w:rFonts w:cs="Times New Roman"/>
          <w:szCs w:val="24"/>
        </w:rPr>
        <w:t xml:space="preserve"> dochádzku za prácou</w:t>
      </w:r>
      <w:r w:rsidR="00371761">
        <w:rPr>
          <w:rFonts w:cs="Times New Roman"/>
          <w:szCs w:val="24"/>
        </w:rPr>
        <w:t xml:space="preserve">, § 53a - </w:t>
      </w:r>
      <w:r w:rsidR="009A4F3A">
        <w:rPr>
          <w:rFonts w:cs="Times New Roman"/>
          <w:szCs w:val="24"/>
        </w:rPr>
        <w:t>P</w:t>
      </w:r>
      <w:r w:rsidR="00371761" w:rsidRPr="00371761">
        <w:rPr>
          <w:rFonts w:cs="Times New Roman"/>
          <w:szCs w:val="24"/>
        </w:rPr>
        <w:t>ríspevok na podporu mobility za prácou</w:t>
      </w:r>
      <w:r w:rsidR="00371761">
        <w:rPr>
          <w:rFonts w:cs="Times New Roman"/>
          <w:szCs w:val="24"/>
        </w:rPr>
        <w:t xml:space="preserve">, </w:t>
      </w:r>
      <w:r w:rsidR="00371761" w:rsidRPr="00371761">
        <w:rPr>
          <w:rFonts w:cs="Times New Roman"/>
          <w:szCs w:val="24"/>
        </w:rPr>
        <w:t xml:space="preserve">§ 59 </w:t>
      </w:r>
      <w:r w:rsidR="00371761">
        <w:rPr>
          <w:rFonts w:cs="Times New Roman"/>
          <w:szCs w:val="24"/>
        </w:rPr>
        <w:t xml:space="preserve">- </w:t>
      </w:r>
      <w:r w:rsidR="009A4F3A">
        <w:rPr>
          <w:rFonts w:cs="Times New Roman"/>
          <w:szCs w:val="24"/>
        </w:rPr>
        <w:t>P</w:t>
      </w:r>
      <w:r w:rsidR="00371761">
        <w:rPr>
          <w:rFonts w:cs="Times New Roman"/>
          <w:szCs w:val="24"/>
        </w:rPr>
        <w:t xml:space="preserve">ríspevok na činnosť pracovného asistenta a § 60 - </w:t>
      </w:r>
      <w:r w:rsidR="009A4F3A">
        <w:rPr>
          <w:rFonts w:cs="Times New Roman"/>
          <w:szCs w:val="24"/>
        </w:rPr>
        <w:t>P</w:t>
      </w:r>
      <w:r w:rsidR="00371761">
        <w:rPr>
          <w:rFonts w:cs="Times New Roman"/>
          <w:szCs w:val="24"/>
        </w:rPr>
        <w:t>ríspevok na úhradu prevádzkových nákladov</w:t>
      </w:r>
      <w:r w:rsidR="009A4F3A" w:rsidRPr="009A4F3A">
        <w:t xml:space="preserve"> </w:t>
      </w:r>
      <w:r w:rsidR="009A4F3A" w:rsidRPr="009A4F3A">
        <w:rPr>
          <w:rFonts w:cs="Times New Roman"/>
          <w:szCs w:val="24"/>
        </w:rPr>
        <w:t>chránenej dielne alebo chráneného pracoviska</w:t>
      </w:r>
      <w:r w:rsidR="00371761">
        <w:rPr>
          <w:rFonts w:cs="Times New Roman"/>
          <w:szCs w:val="24"/>
        </w:rPr>
        <w:t xml:space="preserve"> </w:t>
      </w:r>
      <w:r w:rsidR="009A4F3A">
        <w:rPr>
          <w:rFonts w:cs="Times New Roman"/>
          <w:szCs w:val="24"/>
        </w:rPr>
        <w:t>(ďalej aj „</w:t>
      </w:r>
      <w:r w:rsidR="00371761">
        <w:rPr>
          <w:rFonts w:cs="Times New Roman"/>
          <w:szCs w:val="24"/>
        </w:rPr>
        <w:t>CHD/CHP</w:t>
      </w:r>
      <w:r w:rsidR="009A4F3A">
        <w:rPr>
          <w:rFonts w:cs="Times New Roman"/>
          <w:szCs w:val="24"/>
        </w:rPr>
        <w:t>“)</w:t>
      </w:r>
      <w:r w:rsidR="00371761">
        <w:rPr>
          <w:rFonts w:cs="Times New Roman"/>
          <w:szCs w:val="24"/>
        </w:rPr>
        <w:t xml:space="preserve"> v zmysle  </w:t>
      </w:r>
      <w:r w:rsidR="00371761" w:rsidRPr="00371761">
        <w:rPr>
          <w:rFonts w:cs="Times New Roman"/>
          <w:szCs w:val="24"/>
        </w:rPr>
        <w:t>zákona o službách zamestnanosti</w:t>
      </w:r>
      <w:r w:rsidR="00371761">
        <w:rPr>
          <w:rFonts w:cs="Times New Roman"/>
          <w:szCs w:val="24"/>
        </w:rPr>
        <w:t>.</w:t>
      </w:r>
      <w:r w:rsidR="00094E57">
        <w:rPr>
          <w:rFonts w:cs="Times New Roman"/>
          <w:szCs w:val="24"/>
        </w:rPr>
        <w:t xml:space="preserve"> </w:t>
      </w:r>
      <w:r w:rsidR="009A4F3A">
        <w:rPr>
          <w:rFonts w:cs="Times New Roman"/>
          <w:szCs w:val="24"/>
        </w:rPr>
        <w:t xml:space="preserve">Ostatné príspevky vyplývajúce zo </w:t>
      </w:r>
      <w:r w:rsidR="009A4F3A" w:rsidRPr="009A4F3A">
        <w:rPr>
          <w:rFonts w:cs="Times New Roman"/>
          <w:szCs w:val="24"/>
        </w:rPr>
        <w:t>zákona o službách zamestnanosti</w:t>
      </w:r>
      <w:r w:rsidR="009A4F3A">
        <w:rPr>
          <w:rFonts w:cs="Times New Roman"/>
          <w:szCs w:val="24"/>
        </w:rPr>
        <w:t xml:space="preserve">, na ktoré nie je právny nárok, ako sú príspevky podľa </w:t>
      </w:r>
      <w:r w:rsidR="009A4F3A" w:rsidRPr="009A4F3A">
        <w:rPr>
          <w:rFonts w:cs="Times New Roman"/>
          <w:szCs w:val="24"/>
        </w:rPr>
        <w:t xml:space="preserve">§ 49 </w:t>
      </w:r>
      <w:r w:rsidR="009A4F3A">
        <w:rPr>
          <w:rFonts w:cs="Times New Roman"/>
          <w:szCs w:val="24"/>
        </w:rPr>
        <w:t>- P</w:t>
      </w:r>
      <w:r w:rsidR="009A4F3A" w:rsidRPr="009A4F3A">
        <w:rPr>
          <w:rFonts w:cs="Times New Roman"/>
          <w:szCs w:val="24"/>
        </w:rPr>
        <w:t>ríspevok na samostatnú zárobkovú činnosť</w:t>
      </w:r>
      <w:r w:rsidR="009A4F3A">
        <w:rPr>
          <w:rFonts w:cs="Times New Roman"/>
          <w:szCs w:val="24"/>
        </w:rPr>
        <w:t xml:space="preserve">, </w:t>
      </w:r>
      <w:r w:rsidR="00172525">
        <w:rPr>
          <w:rFonts w:cs="Times New Roman"/>
          <w:szCs w:val="24"/>
        </w:rPr>
        <w:t xml:space="preserve">        </w:t>
      </w:r>
      <w:r w:rsidR="009A4F3A">
        <w:rPr>
          <w:rFonts w:cs="Times New Roman"/>
          <w:szCs w:val="24"/>
        </w:rPr>
        <w:t>§ 50 - P</w:t>
      </w:r>
      <w:r w:rsidR="009A4F3A" w:rsidRPr="009A4F3A">
        <w:rPr>
          <w:rFonts w:cs="Times New Roman"/>
          <w:szCs w:val="24"/>
        </w:rPr>
        <w:t>ríspevok na podporu zamestnávania znevýhodneného</w:t>
      </w:r>
      <w:r w:rsidR="009A4F3A">
        <w:rPr>
          <w:rFonts w:cs="Times New Roman"/>
          <w:szCs w:val="24"/>
        </w:rPr>
        <w:t xml:space="preserve"> UoZ, </w:t>
      </w:r>
      <w:r w:rsidR="009A4F3A" w:rsidRPr="009A4F3A">
        <w:rPr>
          <w:rFonts w:cs="Times New Roman"/>
          <w:szCs w:val="24"/>
        </w:rPr>
        <w:t xml:space="preserve">§ 51 </w:t>
      </w:r>
      <w:r w:rsidR="009A4F3A">
        <w:rPr>
          <w:rFonts w:cs="Times New Roman"/>
          <w:szCs w:val="24"/>
        </w:rPr>
        <w:t xml:space="preserve">- </w:t>
      </w:r>
      <w:r w:rsidR="009A4F3A" w:rsidRPr="009A4F3A">
        <w:rPr>
          <w:rFonts w:cs="Times New Roman"/>
          <w:szCs w:val="24"/>
        </w:rPr>
        <w:t>Príspevok na vykonávanie absolventskej praxe</w:t>
      </w:r>
      <w:r w:rsidR="009A4F3A">
        <w:rPr>
          <w:rFonts w:cs="Times New Roman"/>
          <w:szCs w:val="24"/>
        </w:rPr>
        <w:t xml:space="preserve">, </w:t>
      </w:r>
      <w:r w:rsidR="009A4F3A" w:rsidRPr="009A4F3A">
        <w:rPr>
          <w:rFonts w:cs="Times New Roman"/>
          <w:szCs w:val="24"/>
        </w:rPr>
        <w:t xml:space="preserve">§ 52 </w:t>
      </w:r>
      <w:r w:rsidR="009A4F3A">
        <w:rPr>
          <w:rFonts w:cs="Times New Roman"/>
          <w:szCs w:val="24"/>
        </w:rPr>
        <w:t xml:space="preserve">- </w:t>
      </w:r>
      <w:r w:rsidR="009A4F3A" w:rsidRPr="009A4F3A">
        <w:rPr>
          <w:rFonts w:cs="Times New Roman"/>
          <w:szCs w:val="24"/>
        </w:rPr>
        <w:t>Príspevok na aktivačnú činnosť formou menších obecných služieb pre obec alebo formou menších služieb pre samosprávny kraj</w:t>
      </w:r>
      <w:r w:rsidR="009A4F3A">
        <w:rPr>
          <w:rFonts w:cs="Times New Roman"/>
          <w:szCs w:val="24"/>
        </w:rPr>
        <w:t>,</w:t>
      </w:r>
      <w:r w:rsidR="009A4F3A" w:rsidRPr="009A4F3A">
        <w:rPr>
          <w:rFonts w:cs="Times New Roman"/>
          <w:szCs w:val="24"/>
        </w:rPr>
        <w:t xml:space="preserve"> 53b </w:t>
      </w:r>
      <w:r w:rsidR="009A4F3A">
        <w:rPr>
          <w:rFonts w:cs="Times New Roman"/>
          <w:szCs w:val="24"/>
        </w:rPr>
        <w:t xml:space="preserve">- </w:t>
      </w:r>
      <w:r w:rsidR="009A4F3A" w:rsidRPr="009A4F3A">
        <w:rPr>
          <w:rFonts w:cs="Times New Roman"/>
          <w:szCs w:val="24"/>
        </w:rPr>
        <w:t>Príspevok na dopravu do zamestnania</w:t>
      </w:r>
      <w:r w:rsidR="009A4F3A">
        <w:rPr>
          <w:rFonts w:cs="Times New Roman"/>
          <w:szCs w:val="24"/>
        </w:rPr>
        <w:t xml:space="preserve">, </w:t>
      </w:r>
      <w:r w:rsidR="009A4F3A" w:rsidRPr="009A4F3A">
        <w:rPr>
          <w:rFonts w:cs="Times New Roman"/>
          <w:szCs w:val="24"/>
        </w:rPr>
        <w:t xml:space="preserve">§ 56 </w:t>
      </w:r>
      <w:r w:rsidR="009A4F3A">
        <w:rPr>
          <w:rFonts w:cs="Times New Roman"/>
          <w:szCs w:val="24"/>
        </w:rPr>
        <w:t xml:space="preserve">- </w:t>
      </w:r>
      <w:r w:rsidR="009A4F3A" w:rsidRPr="009A4F3A">
        <w:rPr>
          <w:rFonts w:cs="Times New Roman"/>
          <w:szCs w:val="24"/>
        </w:rPr>
        <w:t>Príspevok na zriadenie chránenej dielne alebo chráneného pracoviska</w:t>
      </w:r>
      <w:r w:rsidR="001C7964">
        <w:rPr>
          <w:rFonts w:cs="Times New Roman"/>
          <w:szCs w:val="24"/>
        </w:rPr>
        <w:t xml:space="preserve">, </w:t>
      </w:r>
      <w:r w:rsidR="001C7964" w:rsidRPr="001C7964">
        <w:rPr>
          <w:rFonts w:cs="Times New Roman"/>
          <w:szCs w:val="24"/>
        </w:rPr>
        <w:t xml:space="preserve">§ 56a </w:t>
      </w:r>
      <w:r w:rsidR="001C7964">
        <w:rPr>
          <w:rFonts w:cs="Times New Roman"/>
          <w:szCs w:val="24"/>
        </w:rPr>
        <w:t xml:space="preserve">- </w:t>
      </w:r>
      <w:r w:rsidR="001C7964" w:rsidRPr="001C7964">
        <w:rPr>
          <w:rFonts w:cs="Times New Roman"/>
          <w:szCs w:val="24"/>
        </w:rPr>
        <w:t>Príspevok na udržanie občana so zdravotným postihnutím v</w:t>
      </w:r>
      <w:r w:rsidR="001C7964">
        <w:rPr>
          <w:rFonts w:cs="Times New Roman"/>
          <w:szCs w:val="24"/>
        </w:rPr>
        <w:t> </w:t>
      </w:r>
      <w:r w:rsidR="001C7964" w:rsidRPr="001C7964">
        <w:rPr>
          <w:rFonts w:cs="Times New Roman"/>
          <w:szCs w:val="24"/>
        </w:rPr>
        <w:t>zamestnaní</w:t>
      </w:r>
      <w:r w:rsidR="001C7964">
        <w:rPr>
          <w:rFonts w:cs="Times New Roman"/>
          <w:szCs w:val="24"/>
        </w:rPr>
        <w:t xml:space="preserve"> a podľa </w:t>
      </w:r>
      <w:r w:rsidR="001C7964" w:rsidRPr="001C7964">
        <w:rPr>
          <w:rFonts w:cs="Times New Roman"/>
          <w:szCs w:val="24"/>
        </w:rPr>
        <w:t xml:space="preserve">§ 57 </w:t>
      </w:r>
      <w:r w:rsidR="001C7964">
        <w:rPr>
          <w:rFonts w:cs="Times New Roman"/>
          <w:szCs w:val="24"/>
        </w:rPr>
        <w:t xml:space="preserve">- </w:t>
      </w:r>
      <w:r w:rsidR="001C7964" w:rsidRPr="001C7964">
        <w:rPr>
          <w:rFonts w:cs="Times New Roman"/>
          <w:szCs w:val="24"/>
        </w:rPr>
        <w:t>Príspevok občanovi so zdravotným postihnutím na samostatnú zárobkovú činnosť</w:t>
      </w:r>
      <w:r w:rsidR="001C7964">
        <w:rPr>
          <w:rFonts w:cs="Times New Roman"/>
          <w:szCs w:val="24"/>
        </w:rPr>
        <w:t>, sa v hodnotenom období nepodporovali vôbec, a to z dôvodu vydaného pokynu generálneho riaditeľa ústredia na základe príkazu ministra PSVR ešte z apríla 2020 na zastavenie uzatvárania všetkých nových dohôd na príspevky AOTP na poskytnutie ktorých nie je zo zákona právny nárok. Tento zákaz platil aj  počas celého roka 2023.</w:t>
      </w:r>
    </w:p>
    <w:p w14:paraId="165FDC97" w14:textId="03CD7C6D" w:rsidR="00837986" w:rsidRPr="00A617A8" w:rsidRDefault="00837986" w:rsidP="00837986">
      <w:pPr>
        <w:spacing w:after="0"/>
        <w:ind w:firstLine="0"/>
        <w:rPr>
          <w:rFonts w:ascii="Arial" w:hAnsi="Arial" w:cs="Arial"/>
          <w:b/>
          <w:bCs/>
          <w:color w:val="000000"/>
          <w:sz w:val="18"/>
          <w:szCs w:val="18"/>
        </w:rPr>
      </w:pPr>
      <w:r w:rsidRPr="00C35CA8">
        <w:t>Vo všeobecnosti je potrebné uviesť, že AOTP</w:t>
      </w:r>
      <w:r w:rsidR="00970F64">
        <w:t xml:space="preserve"> </w:t>
      </w:r>
      <w:r w:rsidRPr="00C35CA8">
        <w:t>a v ich rámci poskytované finančné príspevky</w:t>
      </w:r>
      <w:r>
        <w:t>,</w:t>
      </w:r>
      <w:r w:rsidRPr="00C35CA8">
        <w:t xml:space="preserve">                   sú z makroekonomického hľadiska len doplnkovým prostriedkom zmierňovania nerovnováhy            na TP v SR. </w:t>
      </w:r>
      <w:r>
        <w:t>Ich podiel v porovnaní s hrubým domácim produktom sa viacročne pohybuje len vo výške okolo 0,1 až 0,2 % hrubého domáceho produktu v stálych cenách. V roku 2023 bol, podľa zverejnených údajov Štatistického úradu SR (</w:t>
      </w:r>
      <w:r w:rsidRPr="007A312B">
        <w:t>revidované dáta</w:t>
      </w:r>
      <w:r>
        <w:t xml:space="preserve"> - </w:t>
      </w:r>
      <w:r w:rsidRPr="007A312B">
        <w:t>stav k 19.</w:t>
      </w:r>
      <w:r>
        <w:t xml:space="preserve"> </w:t>
      </w:r>
      <w:r w:rsidRPr="007A312B">
        <w:t>4.</w:t>
      </w:r>
      <w:r>
        <w:t xml:space="preserve"> </w:t>
      </w:r>
      <w:r w:rsidRPr="007A312B">
        <w:t>2024)</w:t>
      </w:r>
      <w:r>
        <w:t xml:space="preserve">, hrubý domáci produkt vo výške </w:t>
      </w:r>
      <w:r w:rsidRPr="007A312B">
        <w:t>93 994,6 mil. eur</w:t>
      </w:r>
      <w:r>
        <w:t xml:space="preserve">. Čerpanie finančných prostriedkov na AOTP za rok 2023 vo výške </w:t>
      </w:r>
      <w:r w:rsidRPr="00551F29">
        <w:t>188 473</w:t>
      </w:r>
      <w:r>
        <w:t> </w:t>
      </w:r>
      <w:r w:rsidRPr="00551F29">
        <w:t>799</w:t>
      </w:r>
      <w:r>
        <w:t xml:space="preserve"> eur, tak predstavuje podiel na úrovni 0,2 % HDP.</w:t>
      </w:r>
    </w:p>
    <w:p w14:paraId="33DF82F8" w14:textId="77777777" w:rsidR="00837986" w:rsidRDefault="00837986" w:rsidP="00837986">
      <w:pPr>
        <w:spacing w:before="120"/>
        <w:ind w:firstLine="0"/>
        <w:rPr>
          <w:iCs/>
        </w:rPr>
      </w:pPr>
      <w:r>
        <w:rPr>
          <w:iCs/>
        </w:rPr>
        <w:lastRenderedPageBreak/>
        <w:t xml:space="preserve">Za rok 2023 bol priemerný počet disponibilných UoZ vedených v evidencii úradov práce, sociálnych vecí a rodiny na úrovní </w:t>
      </w:r>
      <w:r w:rsidRPr="00042F75">
        <w:rPr>
          <w:iCs/>
        </w:rPr>
        <w:t>147</w:t>
      </w:r>
      <w:r>
        <w:rPr>
          <w:iCs/>
        </w:rPr>
        <w:t> </w:t>
      </w:r>
      <w:r w:rsidRPr="00042F75">
        <w:rPr>
          <w:iCs/>
        </w:rPr>
        <w:t>886</w:t>
      </w:r>
      <w:r>
        <w:rPr>
          <w:iCs/>
        </w:rPr>
        <w:t xml:space="preserve"> osôb a ich podiel na o</w:t>
      </w:r>
      <w:r w:rsidRPr="00042F75">
        <w:rPr>
          <w:iCs/>
        </w:rPr>
        <w:t>byvateľstv</w:t>
      </w:r>
      <w:r>
        <w:rPr>
          <w:iCs/>
        </w:rPr>
        <w:t xml:space="preserve">e v </w:t>
      </w:r>
      <w:r w:rsidRPr="00042F75">
        <w:rPr>
          <w:iCs/>
        </w:rPr>
        <w:t>produktívnom veku</w:t>
      </w:r>
      <w:r>
        <w:rPr>
          <w:iCs/>
        </w:rPr>
        <w:t xml:space="preserve"> predstavoval v priemere 4,05 % za celý rok 2023. Nebolo by korektné v tomto ukazovateli porovnávať uvedené čísla s rokom 2022, nakoľko od 1. 1. 2023 sa nezamestnanosť počíta nie z ekonomicky aktívneho obyvateľstva ale z</w:t>
      </w:r>
      <w:r w:rsidRPr="00042F75">
        <w:t xml:space="preserve"> </w:t>
      </w:r>
      <w:r>
        <w:rPr>
          <w:iCs/>
        </w:rPr>
        <w:t>obyvateľstva</w:t>
      </w:r>
      <w:r w:rsidRPr="00042F75">
        <w:rPr>
          <w:iCs/>
        </w:rPr>
        <w:t xml:space="preserve"> v produktívnom veku</w:t>
      </w:r>
      <w:r>
        <w:rPr>
          <w:iCs/>
        </w:rPr>
        <w:t xml:space="preserve"> (produktívny vek 15 -</w:t>
      </w:r>
      <w:r w:rsidRPr="00042F75">
        <w:rPr>
          <w:iCs/>
        </w:rPr>
        <w:t xml:space="preserve"> 64 rokov)</w:t>
      </w:r>
      <w:r>
        <w:rPr>
          <w:iCs/>
        </w:rPr>
        <w:t>.</w:t>
      </w:r>
    </w:p>
    <w:p w14:paraId="24839A30" w14:textId="77777777" w:rsidR="00837986" w:rsidRPr="00C35CA8" w:rsidRDefault="00837986" w:rsidP="00837986">
      <w:pPr>
        <w:spacing w:before="120" w:after="0"/>
        <w:ind w:hanging="6"/>
      </w:pPr>
      <w:r w:rsidRPr="00C35CA8">
        <w:rPr>
          <w:iCs/>
        </w:rPr>
        <w:t xml:space="preserve">S prihliadnutím na výzvy, ktoré rok 2023 priniesol, </w:t>
      </w:r>
      <w:r>
        <w:rPr>
          <w:iCs/>
        </w:rPr>
        <w:t xml:space="preserve">možno </w:t>
      </w:r>
      <w:r w:rsidRPr="00C35CA8">
        <w:rPr>
          <w:iCs/>
        </w:rPr>
        <w:t>konštatovať, že oblasť zamestnanosti bola úspešná a kondícia TP sa postupne z</w:t>
      </w:r>
      <w:r>
        <w:rPr>
          <w:iCs/>
        </w:rPr>
        <w:t>otavo</w:t>
      </w:r>
      <w:r w:rsidRPr="00C35CA8">
        <w:rPr>
          <w:iCs/>
        </w:rPr>
        <w:t>vala</w:t>
      </w:r>
      <w:r>
        <w:rPr>
          <w:iCs/>
        </w:rPr>
        <w:t xml:space="preserve"> ešte z postcovidovej traumy</w:t>
      </w:r>
      <w:r w:rsidRPr="00C35CA8">
        <w:rPr>
          <w:iCs/>
        </w:rPr>
        <w:t xml:space="preserve">. Okrem </w:t>
      </w:r>
      <w:r>
        <w:rPr>
          <w:iCs/>
        </w:rPr>
        <w:t xml:space="preserve">zdrojov použitých v rámci </w:t>
      </w:r>
      <w:r w:rsidRPr="00C35CA8">
        <w:rPr>
          <w:iCs/>
        </w:rPr>
        <w:t>AOTP,</w:t>
      </w:r>
      <w:r>
        <w:rPr>
          <w:iCs/>
        </w:rPr>
        <w:t xml:space="preserve"> </w:t>
      </w:r>
      <w:r w:rsidRPr="00C35CA8">
        <w:rPr>
          <w:iCs/>
        </w:rPr>
        <w:t>k priaznivému vývoju nezamestnanosti, premietnut</w:t>
      </w:r>
      <w:r>
        <w:rPr>
          <w:iCs/>
        </w:rPr>
        <w:t>é</w:t>
      </w:r>
      <w:r w:rsidRPr="00C35CA8">
        <w:rPr>
          <w:iCs/>
        </w:rPr>
        <w:t>m</w:t>
      </w:r>
      <w:r>
        <w:rPr>
          <w:iCs/>
        </w:rPr>
        <w:t>u</w:t>
      </w:r>
      <w:r w:rsidRPr="00C35CA8">
        <w:rPr>
          <w:iCs/>
        </w:rPr>
        <w:t xml:space="preserve"> do zníženej miery nezamestnanosti </w:t>
      </w:r>
      <w:r>
        <w:rPr>
          <w:iCs/>
        </w:rPr>
        <w:t xml:space="preserve">prispeli </w:t>
      </w:r>
      <w:r w:rsidRPr="00C35CA8">
        <w:rPr>
          <w:iCs/>
        </w:rPr>
        <w:t xml:space="preserve">aj stabilizačné opatrenia vlády SR pre </w:t>
      </w:r>
      <w:r>
        <w:rPr>
          <w:iCs/>
        </w:rPr>
        <w:t>ceny</w:t>
      </w:r>
      <w:r w:rsidRPr="00C35CA8">
        <w:rPr>
          <w:iCs/>
        </w:rPr>
        <w:t xml:space="preserve"> energií. </w:t>
      </w:r>
    </w:p>
    <w:p w14:paraId="68B33014" w14:textId="77777777" w:rsidR="00D67D09" w:rsidRDefault="00837986" w:rsidP="00837986">
      <w:pPr>
        <w:pStyle w:val="Odsekzoznamu"/>
        <w:spacing w:after="120"/>
        <w:ind w:firstLine="0"/>
        <w:rPr>
          <w:rFonts w:cs="Times New Roman"/>
          <w:szCs w:val="24"/>
        </w:rPr>
      </w:pPr>
      <w:r w:rsidRPr="00C35CA8">
        <w:rPr>
          <w:rFonts w:cs="Times New Roman"/>
          <w:szCs w:val="24"/>
        </w:rPr>
        <w:t xml:space="preserve">Realizácia AOTP aj v hodnotenom období roku 2023 bola ovplyvňovaná existujúcimi </w:t>
      </w:r>
      <w:r w:rsidR="00D67D09">
        <w:rPr>
          <w:rFonts w:cs="Times New Roman"/>
          <w:szCs w:val="24"/>
        </w:rPr>
        <w:t xml:space="preserve">a novými </w:t>
      </w:r>
      <w:r w:rsidRPr="00C35CA8">
        <w:rPr>
          <w:rFonts w:cs="Times New Roman"/>
          <w:szCs w:val="24"/>
        </w:rPr>
        <w:t xml:space="preserve">nariadeniami </w:t>
      </w:r>
      <w:r w:rsidR="00D67D09">
        <w:rPr>
          <w:rFonts w:cs="Times New Roman"/>
          <w:szCs w:val="24"/>
        </w:rPr>
        <w:t>komisie (EÚ)</w:t>
      </w:r>
      <w:r w:rsidRPr="00C35CA8">
        <w:rPr>
          <w:rFonts w:cs="Times New Roman"/>
          <w:szCs w:val="24"/>
        </w:rPr>
        <w:t xml:space="preserve">, </w:t>
      </w:r>
      <w:r w:rsidR="00D67D09">
        <w:rPr>
          <w:rFonts w:cs="Times New Roman"/>
          <w:szCs w:val="24"/>
        </w:rPr>
        <w:t xml:space="preserve">zmenami v schémach štátnej a minimálnej pomoci, končiacim starým a začínajúcim novým programovým obdobím a s tým súvisiacimi zmenami pravidiel </w:t>
      </w:r>
      <w:r w:rsidRPr="00C35CA8">
        <w:rPr>
          <w:rFonts w:cs="Times New Roman"/>
          <w:szCs w:val="24"/>
        </w:rPr>
        <w:t>pre poskytovanie štátnej pomoci a minimálnej pomoci v prípadoch, ak prijímateľmi príspevkov boli podniky vykonávajúce hospodársku činnosť.</w:t>
      </w:r>
      <w:r>
        <w:rPr>
          <w:rFonts w:cs="Times New Roman"/>
          <w:szCs w:val="24"/>
        </w:rPr>
        <w:t xml:space="preserve"> </w:t>
      </w:r>
    </w:p>
    <w:p w14:paraId="737ECBE2" w14:textId="53073D83" w:rsidR="00837986" w:rsidRDefault="00837986" w:rsidP="00837986">
      <w:pPr>
        <w:pStyle w:val="Odsekzoznamu"/>
        <w:spacing w:after="120"/>
        <w:ind w:firstLine="0"/>
        <w:rPr>
          <w:rFonts w:cs="Times New Roman"/>
          <w:szCs w:val="24"/>
        </w:rPr>
      </w:pPr>
      <w:r w:rsidRPr="00C35CA8">
        <w:t xml:space="preserve">Z hľadiska množstva pracovných </w:t>
      </w:r>
      <w:r>
        <w:t xml:space="preserve">miest </w:t>
      </w:r>
      <w:r w:rsidRPr="00C35CA8">
        <w:t xml:space="preserve">rozhodujúci podiel na ich tvorbe stále majú </w:t>
      </w:r>
      <w:r>
        <w:t>malé a stredné podniky (MSP), aj keď ich počet, ako zamestnávateľov, v posledných rokoch vykazuje mierny pokles, čo možno pripísať na účet Covid - 19</w:t>
      </w:r>
      <w:r w:rsidRPr="00C35CA8">
        <w:t>.</w:t>
      </w:r>
    </w:p>
    <w:p w14:paraId="4F4AE659" w14:textId="5F182D89" w:rsidR="00F00675" w:rsidRPr="00C35CA8" w:rsidRDefault="00F00675" w:rsidP="00F00675">
      <w:pPr>
        <w:pStyle w:val="Odsekzoznamu"/>
        <w:spacing w:before="240" w:after="120"/>
        <w:ind w:firstLine="0"/>
        <w:rPr>
          <w:b/>
        </w:rPr>
      </w:pPr>
      <w:r w:rsidRPr="00C35CA8">
        <w:rPr>
          <w:b/>
        </w:rPr>
        <w:t>1.1</w:t>
      </w:r>
      <w:r w:rsidRPr="00C35CA8">
        <w:rPr>
          <w:b/>
        </w:rPr>
        <w:tab/>
        <w:t xml:space="preserve">Štátna pomoc </w:t>
      </w:r>
      <w:r w:rsidR="00CA39DF">
        <w:rPr>
          <w:b/>
        </w:rPr>
        <w:t>podnikom</w:t>
      </w:r>
      <w:r w:rsidRPr="00C35CA8">
        <w:rPr>
          <w:b/>
        </w:rPr>
        <w:t xml:space="preserve"> </w:t>
      </w:r>
    </w:p>
    <w:p w14:paraId="0773B170" w14:textId="038918AC" w:rsidR="00F00675" w:rsidRPr="00C35CA8" w:rsidRDefault="00F00675" w:rsidP="00F00675">
      <w:pPr>
        <w:spacing w:before="120" w:after="120"/>
        <w:rPr>
          <w:b/>
        </w:rPr>
      </w:pPr>
      <w:r w:rsidRPr="00C35CA8">
        <w:rPr>
          <w:b/>
        </w:rPr>
        <w:t xml:space="preserve">Pomoc poskytnutá malým a stredným podnikom </w:t>
      </w:r>
      <w:r w:rsidR="00154EBD" w:rsidRPr="00154EBD">
        <w:t>(MSP)</w:t>
      </w:r>
    </w:p>
    <w:p w14:paraId="521E1A11" w14:textId="780360F3" w:rsidR="00154EBD" w:rsidRPr="00154EBD" w:rsidRDefault="00154EBD" w:rsidP="00154EBD">
      <w:pPr>
        <w:pStyle w:val="Odsekzoznamu"/>
        <w:spacing w:after="120"/>
        <w:ind w:firstLine="0"/>
        <w:rPr>
          <w:rFonts w:cs="Times New Roman"/>
          <w:b/>
        </w:rPr>
      </w:pPr>
      <w:r w:rsidRPr="00154EBD">
        <w:rPr>
          <w:rFonts w:cs="Times New Roman"/>
        </w:rPr>
        <w:t xml:space="preserve">Celkový podiel štátnej pomoci poskytnutej v roku 2023 malým a stredným podnikom (MSP) vo výške </w:t>
      </w:r>
      <w:r w:rsidRPr="00154EBD">
        <w:rPr>
          <w:rFonts w:cs="Times New Roman"/>
          <w:b/>
        </w:rPr>
        <w:t xml:space="preserve">70,53 mil. </w:t>
      </w:r>
      <w:r w:rsidR="00AC5AC2">
        <w:rPr>
          <w:rFonts w:cs="Times New Roman"/>
          <w:b/>
        </w:rPr>
        <w:t>eur</w:t>
      </w:r>
      <w:r w:rsidRPr="00154EBD">
        <w:rPr>
          <w:rFonts w:cs="Times New Roman"/>
        </w:rPr>
        <w:t xml:space="preserve"> tvoril </w:t>
      </w:r>
      <w:r w:rsidR="00386530">
        <w:rPr>
          <w:rFonts w:cs="Times New Roman"/>
          <w:b/>
        </w:rPr>
        <w:t>92,15</w:t>
      </w:r>
      <w:r w:rsidRPr="00154EBD">
        <w:rPr>
          <w:rFonts w:cs="Times New Roman"/>
          <w:b/>
        </w:rPr>
        <w:t>%</w:t>
      </w:r>
      <w:r w:rsidRPr="00154EBD">
        <w:rPr>
          <w:rFonts w:cs="Times New Roman"/>
        </w:rPr>
        <w:t xml:space="preserve"> z celkovej poskytnutej štátnej pomoci poskytnutej ústredím.</w:t>
      </w:r>
    </w:p>
    <w:tbl>
      <w:tblPr>
        <w:tblW w:w="9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537"/>
        <w:gridCol w:w="2952"/>
        <w:gridCol w:w="1129"/>
        <w:gridCol w:w="1496"/>
        <w:gridCol w:w="1584"/>
      </w:tblGrid>
      <w:tr w:rsidR="00154EBD" w:rsidRPr="00330E5E" w14:paraId="1CF5C460" w14:textId="77777777" w:rsidTr="00442E8D">
        <w:trPr>
          <w:trHeight w:val="341"/>
        </w:trPr>
        <w:tc>
          <w:tcPr>
            <w:tcW w:w="1464" w:type="dxa"/>
            <w:vMerge w:val="restart"/>
            <w:vAlign w:val="center"/>
          </w:tcPr>
          <w:p w14:paraId="698B3A51" w14:textId="77777777" w:rsidR="00154EBD" w:rsidRPr="00330E5E" w:rsidRDefault="00154EBD" w:rsidP="00D75B88">
            <w:pPr>
              <w:spacing w:after="0"/>
              <w:ind w:right="426"/>
              <w:rPr>
                <w:rFonts w:asciiTheme="minorHAnsi" w:hAnsiTheme="minorHAnsi" w:cstheme="minorHAnsi"/>
                <w:b/>
                <w:sz w:val="18"/>
                <w:szCs w:val="18"/>
              </w:rPr>
            </w:pPr>
            <w:r w:rsidRPr="00330E5E">
              <w:rPr>
                <w:rFonts w:asciiTheme="minorHAnsi" w:hAnsiTheme="minorHAnsi" w:cstheme="minorHAnsi"/>
                <w:b/>
                <w:sz w:val="18"/>
                <w:szCs w:val="18"/>
              </w:rPr>
              <w:t>Pomoc podnikom</w:t>
            </w:r>
          </w:p>
        </w:tc>
        <w:tc>
          <w:tcPr>
            <w:tcW w:w="4618" w:type="dxa"/>
            <w:gridSpan w:val="3"/>
            <w:vAlign w:val="center"/>
            <w:hideMark/>
          </w:tcPr>
          <w:p w14:paraId="1D492B84" w14:textId="29FC065E" w:rsidR="00154EBD" w:rsidRPr="00330E5E" w:rsidRDefault="00154EBD" w:rsidP="00D75B88">
            <w:pPr>
              <w:spacing w:after="0"/>
              <w:ind w:right="426"/>
              <w:rPr>
                <w:rFonts w:asciiTheme="minorHAnsi" w:hAnsiTheme="minorHAnsi" w:cstheme="minorHAnsi"/>
                <w:b/>
                <w:sz w:val="18"/>
                <w:szCs w:val="18"/>
              </w:rPr>
            </w:pPr>
            <w:r w:rsidRPr="00330E5E">
              <w:rPr>
                <w:rFonts w:asciiTheme="minorHAnsi" w:hAnsiTheme="minorHAnsi" w:cstheme="minorHAnsi"/>
                <w:b/>
                <w:sz w:val="18"/>
                <w:szCs w:val="18"/>
              </w:rPr>
              <w:t xml:space="preserve">Celková štátna pomoc </w:t>
            </w:r>
            <w:r w:rsidRPr="00330E5E">
              <w:rPr>
                <w:rFonts w:asciiTheme="minorHAnsi" w:hAnsiTheme="minorHAnsi" w:cstheme="minorHAnsi"/>
                <w:sz w:val="18"/>
                <w:szCs w:val="18"/>
              </w:rPr>
              <w:t xml:space="preserve">(v mil. </w:t>
            </w:r>
            <w:r w:rsidR="00AC5AC2" w:rsidRPr="00330E5E">
              <w:rPr>
                <w:rFonts w:asciiTheme="minorHAnsi" w:hAnsiTheme="minorHAnsi" w:cstheme="minorHAnsi"/>
                <w:sz w:val="18"/>
                <w:szCs w:val="18"/>
              </w:rPr>
              <w:t>eur</w:t>
            </w:r>
            <w:r w:rsidRPr="00330E5E">
              <w:rPr>
                <w:rFonts w:asciiTheme="minorHAnsi" w:hAnsiTheme="minorHAnsi" w:cstheme="minorHAnsi"/>
                <w:sz w:val="18"/>
                <w:szCs w:val="18"/>
              </w:rPr>
              <w:t>)</w:t>
            </w:r>
          </w:p>
        </w:tc>
        <w:tc>
          <w:tcPr>
            <w:tcW w:w="1496" w:type="dxa"/>
            <w:vAlign w:val="center"/>
            <w:hideMark/>
          </w:tcPr>
          <w:p w14:paraId="1B17249F" w14:textId="1CDA6CB2" w:rsidR="00154EBD" w:rsidRPr="00330E5E" w:rsidRDefault="00154EBD" w:rsidP="00D75B88">
            <w:pPr>
              <w:spacing w:after="0"/>
              <w:jc w:val="center"/>
              <w:rPr>
                <w:rFonts w:asciiTheme="minorHAnsi" w:hAnsiTheme="minorHAnsi" w:cstheme="minorHAnsi"/>
                <w:b/>
                <w:sz w:val="18"/>
                <w:szCs w:val="18"/>
              </w:rPr>
            </w:pPr>
            <w:r w:rsidRPr="00330E5E">
              <w:rPr>
                <w:rFonts w:asciiTheme="minorHAnsi" w:hAnsiTheme="minorHAnsi" w:cstheme="minorHAnsi"/>
                <w:b/>
                <w:sz w:val="18"/>
                <w:szCs w:val="18"/>
              </w:rPr>
              <w:t>76,54</w:t>
            </w:r>
          </w:p>
        </w:tc>
        <w:tc>
          <w:tcPr>
            <w:tcW w:w="1584" w:type="dxa"/>
            <w:vAlign w:val="center"/>
            <w:hideMark/>
          </w:tcPr>
          <w:p w14:paraId="61E4AE0B" w14:textId="77777777" w:rsidR="00154EBD" w:rsidRPr="00330E5E" w:rsidRDefault="00154EBD" w:rsidP="00D75B88">
            <w:pPr>
              <w:spacing w:after="0"/>
              <w:ind w:right="40"/>
              <w:jc w:val="center"/>
              <w:rPr>
                <w:rFonts w:asciiTheme="minorHAnsi" w:hAnsiTheme="minorHAnsi" w:cstheme="minorHAnsi"/>
                <w:b/>
                <w:sz w:val="18"/>
                <w:szCs w:val="18"/>
              </w:rPr>
            </w:pPr>
            <w:r w:rsidRPr="00330E5E">
              <w:rPr>
                <w:rFonts w:asciiTheme="minorHAnsi" w:hAnsiTheme="minorHAnsi" w:cstheme="minorHAnsi"/>
                <w:b/>
                <w:sz w:val="18"/>
                <w:szCs w:val="18"/>
              </w:rPr>
              <w:t xml:space="preserve">podiel </w:t>
            </w:r>
            <w:r w:rsidRPr="00330E5E">
              <w:rPr>
                <w:rFonts w:asciiTheme="minorHAnsi" w:hAnsiTheme="minorHAnsi" w:cstheme="minorHAnsi"/>
                <w:sz w:val="18"/>
                <w:szCs w:val="18"/>
              </w:rPr>
              <w:t>(v%)</w:t>
            </w:r>
          </w:p>
        </w:tc>
      </w:tr>
      <w:tr w:rsidR="00154EBD" w:rsidRPr="00330E5E" w14:paraId="20162D0B" w14:textId="77777777" w:rsidTr="00442E8D">
        <w:trPr>
          <w:trHeight w:val="341"/>
        </w:trPr>
        <w:tc>
          <w:tcPr>
            <w:tcW w:w="1464" w:type="dxa"/>
            <w:vMerge/>
            <w:vAlign w:val="center"/>
            <w:hideMark/>
          </w:tcPr>
          <w:p w14:paraId="1B7B4B54" w14:textId="77777777" w:rsidR="00154EBD" w:rsidRPr="00330E5E" w:rsidRDefault="00154EBD" w:rsidP="00D75B88">
            <w:pPr>
              <w:spacing w:after="0"/>
              <w:rPr>
                <w:rFonts w:asciiTheme="minorHAnsi" w:hAnsiTheme="minorHAnsi" w:cstheme="minorHAnsi"/>
                <w:b/>
                <w:sz w:val="18"/>
                <w:szCs w:val="18"/>
              </w:rPr>
            </w:pPr>
          </w:p>
        </w:tc>
        <w:tc>
          <w:tcPr>
            <w:tcW w:w="537" w:type="dxa"/>
            <w:vMerge w:val="restart"/>
            <w:textDirection w:val="btLr"/>
            <w:vAlign w:val="center"/>
            <w:hideMark/>
          </w:tcPr>
          <w:p w14:paraId="64058EAF" w14:textId="0A13537E" w:rsidR="00154EBD" w:rsidRPr="00330E5E" w:rsidRDefault="00396146" w:rsidP="00D75B88">
            <w:pPr>
              <w:spacing w:after="0"/>
              <w:ind w:left="113" w:right="426"/>
              <w:jc w:val="center"/>
              <w:rPr>
                <w:rFonts w:asciiTheme="minorHAnsi" w:hAnsiTheme="minorHAnsi" w:cstheme="minorHAnsi"/>
                <w:b/>
                <w:sz w:val="18"/>
                <w:szCs w:val="18"/>
              </w:rPr>
            </w:pPr>
            <w:r w:rsidRPr="00330E5E">
              <w:rPr>
                <w:rFonts w:asciiTheme="minorHAnsi" w:hAnsiTheme="minorHAnsi" w:cstheme="minorHAnsi"/>
                <w:b/>
                <w:sz w:val="18"/>
                <w:szCs w:val="18"/>
              </w:rPr>
              <w:t>z toho MSP</w:t>
            </w:r>
          </w:p>
        </w:tc>
        <w:tc>
          <w:tcPr>
            <w:tcW w:w="2951" w:type="dxa"/>
            <w:vAlign w:val="center"/>
            <w:hideMark/>
          </w:tcPr>
          <w:p w14:paraId="443FC01E" w14:textId="479CF2F0" w:rsidR="00154EBD" w:rsidRPr="00330E5E" w:rsidRDefault="00154EBD" w:rsidP="00D75B88">
            <w:pPr>
              <w:spacing w:after="0"/>
              <w:ind w:right="426"/>
              <w:jc w:val="left"/>
              <w:rPr>
                <w:rFonts w:asciiTheme="minorHAnsi" w:hAnsiTheme="minorHAnsi" w:cstheme="minorHAnsi"/>
                <w:b/>
                <w:sz w:val="18"/>
                <w:szCs w:val="18"/>
              </w:rPr>
            </w:pPr>
            <w:r w:rsidRPr="00330E5E">
              <w:rPr>
                <w:rFonts w:asciiTheme="minorHAnsi" w:hAnsiTheme="minorHAnsi" w:cstheme="minorHAnsi"/>
                <w:b/>
                <w:sz w:val="18"/>
                <w:szCs w:val="18"/>
              </w:rPr>
              <w:t xml:space="preserve">Pomoc pre </w:t>
            </w:r>
            <w:r w:rsidR="00871DDB" w:rsidRPr="00330E5E">
              <w:rPr>
                <w:rFonts w:asciiTheme="minorHAnsi" w:hAnsiTheme="minorHAnsi" w:cstheme="minorHAnsi"/>
                <w:b/>
                <w:sz w:val="18"/>
                <w:szCs w:val="18"/>
              </w:rPr>
              <w:t>m</w:t>
            </w:r>
            <w:r w:rsidRPr="00330E5E">
              <w:rPr>
                <w:rFonts w:asciiTheme="minorHAnsi" w:hAnsiTheme="minorHAnsi" w:cstheme="minorHAnsi"/>
                <w:b/>
                <w:sz w:val="18"/>
                <w:szCs w:val="18"/>
              </w:rPr>
              <w:t>ikropodniky</w:t>
            </w:r>
          </w:p>
        </w:tc>
        <w:tc>
          <w:tcPr>
            <w:tcW w:w="1129" w:type="dxa"/>
            <w:vAlign w:val="center"/>
            <w:hideMark/>
          </w:tcPr>
          <w:p w14:paraId="5CBA11FE" w14:textId="77777777" w:rsidR="00154EBD" w:rsidRPr="00330E5E" w:rsidRDefault="00154EBD" w:rsidP="00D75B88">
            <w:pPr>
              <w:spacing w:after="0"/>
              <w:ind w:right="426"/>
              <w:jc w:val="right"/>
              <w:rPr>
                <w:rFonts w:asciiTheme="minorHAnsi" w:hAnsiTheme="minorHAnsi" w:cstheme="minorHAnsi"/>
                <w:b/>
                <w:sz w:val="18"/>
                <w:szCs w:val="18"/>
              </w:rPr>
            </w:pPr>
            <w:r w:rsidRPr="00330E5E">
              <w:rPr>
                <w:rFonts w:asciiTheme="minorHAnsi" w:hAnsiTheme="minorHAnsi" w:cstheme="minorHAnsi"/>
                <w:b/>
                <w:sz w:val="18"/>
                <w:szCs w:val="18"/>
              </w:rPr>
              <w:t>473</w:t>
            </w:r>
          </w:p>
        </w:tc>
        <w:tc>
          <w:tcPr>
            <w:tcW w:w="1496" w:type="dxa"/>
            <w:vAlign w:val="center"/>
            <w:hideMark/>
          </w:tcPr>
          <w:p w14:paraId="695127F8" w14:textId="77777777" w:rsidR="00154EBD" w:rsidRPr="00330E5E" w:rsidRDefault="00154EBD" w:rsidP="00D75B88">
            <w:pPr>
              <w:spacing w:after="0"/>
              <w:jc w:val="center"/>
              <w:rPr>
                <w:rFonts w:asciiTheme="minorHAnsi" w:hAnsiTheme="minorHAnsi" w:cstheme="minorHAnsi"/>
                <w:sz w:val="18"/>
                <w:szCs w:val="18"/>
              </w:rPr>
            </w:pPr>
            <w:r w:rsidRPr="00330E5E">
              <w:rPr>
                <w:rFonts w:asciiTheme="minorHAnsi" w:hAnsiTheme="minorHAnsi" w:cstheme="minorHAnsi"/>
                <w:sz w:val="18"/>
                <w:szCs w:val="18"/>
              </w:rPr>
              <w:t>27,75</w:t>
            </w:r>
          </w:p>
        </w:tc>
        <w:tc>
          <w:tcPr>
            <w:tcW w:w="1584" w:type="dxa"/>
            <w:vAlign w:val="center"/>
            <w:hideMark/>
          </w:tcPr>
          <w:p w14:paraId="6977481B" w14:textId="77777777" w:rsidR="00154EBD" w:rsidRPr="00330E5E" w:rsidRDefault="00154EBD" w:rsidP="00D75B88">
            <w:pPr>
              <w:spacing w:after="0"/>
              <w:ind w:firstLine="0"/>
              <w:jc w:val="center"/>
              <w:rPr>
                <w:rFonts w:asciiTheme="minorHAnsi" w:hAnsiTheme="minorHAnsi" w:cstheme="minorHAnsi"/>
                <w:sz w:val="18"/>
                <w:szCs w:val="18"/>
              </w:rPr>
            </w:pPr>
            <w:r w:rsidRPr="00330E5E">
              <w:rPr>
                <w:rFonts w:asciiTheme="minorHAnsi" w:hAnsiTheme="minorHAnsi" w:cstheme="minorHAnsi"/>
                <w:sz w:val="18"/>
                <w:szCs w:val="18"/>
              </w:rPr>
              <w:t>36,26</w:t>
            </w:r>
          </w:p>
        </w:tc>
      </w:tr>
      <w:tr w:rsidR="00154EBD" w:rsidRPr="00330E5E" w14:paraId="0D9D8CCF" w14:textId="77777777" w:rsidTr="00442E8D">
        <w:trPr>
          <w:trHeight w:val="341"/>
        </w:trPr>
        <w:tc>
          <w:tcPr>
            <w:tcW w:w="1464" w:type="dxa"/>
            <w:vMerge/>
            <w:vAlign w:val="center"/>
            <w:hideMark/>
          </w:tcPr>
          <w:p w14:paraId="0DCAD4CB" w14:textId="77777777" w:rsidR="00154EBD" w:rsidRPr="00330E5E" w:rsidRDefault="00154EBD" w:rsidP="00D75B88">
            <w:pPr>
              <w:spacing w:after="0"/>
              <w:rPr>
                <w:rFonts w:asciiTheme="minorHAnsi" w:hAnsiTheme="minorHAnsi" w:cstheme="minorHAnsi"/>
                <w:b/>
                <w:sz w:val="18"/>
                <w:szCs w:val="18"/>
              </w:rPr>
            </w:pPr>
          </w:p>
        </w:tc>
        <w:tc>
          <w:tcPr>
            <w:tcW w:w="537" w:type="dxa"/>
            <w:vMerge/>
            <w:vAlign w:val="center"/>
            <w:hideMark/>
          </w:tcPr>
          <w:p w14:paraId="39522266" w14:textId="77777777" w:rsidR="00154EBD" w:rsidRPr="00330E5E" w:rsidRDefault="00154EBD" w:rsidP="00D75B88">
            <w:pPr>
              <w:spacing w:after="0"/>
              <w:rPr>
                <w:rFonts w:asciiTheme="minorHAnsi" w:hAnsiTheme="minorHAnsi" w:cstheme="minorHAnsi"/>
                <w:sz w:val="18"/>
                <w:szCs w:val="18"/>
              </w:rPr>
            </w:pPr>
          </w:p>
        </w:tc>
        <w:tc>
          <w:tcPr>
            <w:tcW w:w="2951" w:type="dxa"/>
            <w:vAlign w:val="center"/>
            <w:hideMark/>
          </w:tcPr>
          <w:p w14:paraId="1EFE74CE" w14:textId="77777777" w:rsidR="00154EBD" w:rsidRPr="00330E5E" w:rsidRDefault="00154EBD" w:rsidP="00D75B88">
            <w:pPr>
              <w:spacing w:after="0"/>
              <w:ind w:right="426"/>
              <w:rPr>
                <w:rFonts w:asciiTheme="minorHAnsi" w:hAnsiTheme="minorHAnsi" w:cstheme="minorHAnsi"/>
                <w:b/>
                <w:sz w:val="18"/>
                <w:szCs w:val="18"/>
              </w:rPr>
            </w:pPr>
            <w:r w:rsidRPr="00330E5E">
              <w:rPr>
                <w:rFonts w:asciiTheme="minorHAnsi" w:hAnsiTheme="minorHAnsi" w:cstheme="minorHAnsi"/>
                <w:b/>
                <w:sz w:val="18"/>
                <w:szCs w:val="18"/>
              </w:rPr>
              <w:t>Pomoc pre malé podniky</w:t>
            </w:r>
          </w:p>
        </w:tc>
        <w:tc>
          <w:tcPr>
            <w:tcW w:w="1129" w:type="dxa"/>
            <w:vAlign w:val="center"/>
            <w:hideMark/>
          </w:tcPr>
          <w:p w14:paraId="22D3BCD5" w14:textId="77777777" w:rsidR="00154EBD" w:rsidRPr="00330E5E" w:rsidRDefault="00154EBD" w:rsidP="00D75B88">
            <w:pPr>
              <w:spacing w:after="0"/>
              <w:ind w:right="426"/>
              <w:jc w:val="right"/>
              <w:rPr>
                <w:rFonts w:asciiTheme="minorHAnsi" w:hAnsiTheme="minorHAnsi" w:cstheme="minorHAnsi"/>
                <w:sz w:val="18"/>
                <w:szCs w:val="18"/>
              </w:rPr>
            </w:pPr>
            <w:r w:rsidRPr="00330E5E">
              <w:rPr>
                <w:rFonts w:asciiTheme="minorHAnsi" w:hAnsiTheme="minorHAnsi" w:cstheme="minorHAnsi"/>
                <w:sz w:val="18"/>
                <w:szCs w:val="18"/>
              </w:rPr>
              <w:t>280</w:t>
            </w:r>
          </w:p>
        </w:tc>
        <w:tc>
          <w:tcPr>
            <w:tcW w:w="1496" w:type="dxa"/>
            <w:vAlign w:val="center"/>
            <w:hideMark/>
          </w:tcPr>
          <w:p w14:paraId="3000017C" w14:textId="77777777" w:rsidR="00154EBD" w:rsidRPr="00330E5E" w:rsidRDefault="00154EBD" w:rsidP="00D75B88">
            <w:pPr>
              <w:spacing w:after="0"/>
              <w:jc w:val="center"/>
              <w:rPr>
                <w:rFonts w:asciiTheme="minorHAnsi" w:hAnsiTheme="minorHAnsi" w:cstheme="minorHAnsi"/>
                <w:sz w:val="18"/>
                <w:szCs w:val="18"/>
              </w:rPr>
            </w:pPr>
            <w:r w:rsidRPr="00330E5E">
              <w:rPr>
                <w:rFonts w:asciiTheme="minorHAnsi" w:hAnsiTheme="minorHAnsi" w:cstheme="minorHAnsi"/>
                <w:sz w:val="18"/>
                <w:szCs w:val="18"/>
              </w:rPr>
              <w:t>31,39</w:t>
            </w:r>
          </w:p>
        </w:tc>
        <w:tc>
          <w:tcPr>
            <w:tcW w:w="1584" w:type="dxa"/>
            <w:vAlign w:val="center"/>
            <w:hideMark/>
          </w:tcPr>
          <w:p w14:paraId="0B45BE2D" w14:textId="77777777" w:rsidR="00154EBD" w:rsidRPr="00330E5E" w:rsidRDefault="00154EBD" w:rsidP="00D75B88">
            <w:pPr>
              <w:spacing w:after="0"/>
              <w:ind w:right="68" w:firstLine="0"/>
              <w:jc w:val="center"/>
              <w:rPr>
                <w:rFonts w:asciiTheme="minorHAnsi" w:hAnsiTheme="minorHAnsi" w:cstheme="minorHAnsi"/>
                <w:sz w:val="18"/>
                <w:szCs w:val="18"/>
              </w:rPr>
            </w:pPr>
            <w:r w:rsidRPr="00330E5E">
              <w:rPr>
                <w:rFonts w:asciiTheme="minorHAnsi" w:hAnsiTheme="minorHAnsi" w:cstheme="minorHAnsi"/>
                <w:sz w:val="18"/>
                <w:szCs w:val="18"/>
              </w:rPr>
              <w:t>41,01</w:t>
            </w:r>
          </w:p>
        </w:tc>
      </w:tr>
      <w:tr w:rsidR="00154EBD" w:rsidRPr="00330E5E" w14:paraId="641B188D" w14:textId="77777777" w:rsidTr="00442E8D">
        <w:trPr>
          <w:trHeight w:val="341"/>
        </w:trPr>
        <w:tc>
          <w:tcPr>
            <w:tcW w:w="1464" w:type="dxa"/>
            <w:vMerge/>
            <w:vAlign w:val="center"/>
            <w:hideMark/>
          </w:tcPr>
          <w:p w14:paraId="702F871C" w14:textId="77777777" w:rsidR="00154EBD" w:rsidRPr="00330E5E" w:rsidRDefault="00154EBD" w:rsidP="00D75B88">
            <w:pPr>
              <w:spacing w:after="0"/>
              <w:rPr>
                <w:rFonts w:asciiTheme="minorHAnsi" w:hAnsiTheme="minorHAnsi" w:cstheme="minorHAnsi"/>
                <w:b/>
                <w:sz w:val="18"/>
                <w:szCs w:val="18"/>
              </w:rPr>
            </w:pPr>
          </w:p>
        </w:tc>
        <w:tc>
          <w:tcPr>
            <w:tcW w:w="537" w:type="dxa"/>
            <w:vMerge/>
            <w:vAlign w:val="center"/>
            <w:hideMark/>
          </w:tcPr>
          <w:p w14:paraId="6A5F39ED" w14:textId="77777777" w:rsidR="00154EBD" w:rsidRPr="00330E5E" w:rsidRDefault="00154EBD" w:rsidP="00D75B88">
            <w:pPr>
              <w:spacing w:after="0"/>
              <w:rPr>
                <w:rFonts w:asciiTheme="minorHAnsi" w:hAnsiTheme="minorHAnsi" w:cstheme="minorHAnsi"/>
                <w:sz w:val="18"/>
                <w:szCs w:val="18"/>
              </w:rPr>
            </w:pPr>
          </w:p>
        </w:tc>
        <w:tc>
          <w:tcPr>
            <w:tcW w:w="2951" w:type="dxa"/>
            <w:vAlign w:val="center"/>
            <w:hideMark/>
          </w:tcPr>
          <w:p w14:paraId="623E2392" w14:textId="77777777" w:rsidR="00154EBD" w:rsidRPr="00330E5E" w:rsidRDefault="00154EBD" w:rsidP="00D75B88">
            <w:pPr>
              <w:spacing w:after="0"/>
              <w:ind w:right="426"/>
              <w:rPr>
                <w:rFonts w:asciiTheme="minorHAnsi" w:hAnsiTheme="minorHAnsi" w:cstheme="minorHAnsi"/>
                <w:b/>
                <w:sz w:val="18"/>
                <w:szCs w:val="18"/>
              </w:rPr>
            </w:pPr>
            <w:r w:rsidRPr="00330E5E">
              <w:rPr>
                <w:rFonts w:asciiTheme="minorHAnsi" w:hAnsiTheme="minorHAnsi" w:cstheme="minorHAnsi"/>
                <w:b/>
                <w:sz w:val="18"/>
                <w:szCs w:val="18"/>
              </w:rPr>
              <w:t>Pomoc pre stredné podniky</w:t>
            </w:r>
          </w:p>
        </w:tc>
        <w:tc>
          <w:tcPr>
            <w:tcW w:w="1129" w:type="dxa"/>
            <w:vAlign w:val="center"/>
            <w:hideMark/>
          </w:tcPr>
          <w:p w14:paraId="04E77627" w14:textId="77777777" w:rsidR="00154EBD" w:rsidRPr="00330E5E" w:rsidRDefault="00154EBD" w:rsidP="00D75B88">
            <w:pPr>
              <w:spacing w:after="0"/>
              <w:ind w:right="426"/>
              <w:jc w:val="right"/>
              <w:rPr>
                <w:rFonts w:asciiTheme="minorHAnsi" w:hAnsiTheme="minorHAnsi" w:cstheme="minorHAnsi"/>
                <w:sz w:val="18"/>
                <w:szCs w:val="18"/>
              </w:rPr>
            </w:pPr>
            <w:r w:rsidRPr="00330E5E">
              <w:rPr>
                <w:rFonts w:asciiTheme="minorHAnsi" w:hAnsiTheme="minorHAnsi" w:cstheme="minorHAnsi"/>
                <w:sz w:val="18"/>
                <w:szCs w:val="18"/>
              </w:rPr>
              <w:t>24</w:t>
            </w:r>
          </w:p>
        </w:tc>
        <w:tc>
          <w:tcPr>
            <w:tcW w:w="1496" w:type="dxa"/>
            <w:vAlign w:val="center"/>
            <w:hideMark/>
          </w:tcPr>
          <w:p w14:paraId="3EAC6F0A" w14:textId="77777777" w:rsidR="00154EBD" w:rsidRPr="00330E5E" w:rsidRDefault="00154EBD" w:rsidP="00D75B88">
            <w:pPr>
              <w:spacing w:after="0"/>
              <w:jc w:val="center"/>
              <w:rPr>
                <w:rFonts w:asciiTheme="minorHAnsi" w:hAnsiTheme="minorHAnsi" w:cstheme="minorHAnsi"/>
                <w:sz w:val="18"/>
                <w:szCs w:val="18"/>
              </w:rPr>
            </w:pPr>
            <w:r w:rsidRPr="00330E5E">
              <w:rPr>
                <w:rFonts w:asciiTheme="minorHAnsi" w:hAnsiTheme="minorHAnsi" w:cstheme="minorHAnsi"/>
                <w:sz w:val="18"/>
                <w:szCs w:val="18"/>
              </w:rPr>
              <w:t>11,39</w:t>
            </w:r>
          </w:p>
        </w:tc>
        <w:tc>
          <w:tcPr>
            <w:tcW w:w="1584" w:type="dxa"/>
            <w:vAlign w:val="center"/>
            <w:hideMark/>
          </w:tcPr>
          <w:p w14:paraId="782CA74C" w14:textId="77777777" w:rsidR="00154EBD" w:rsidRPr="00330E5E" w:rsidRDefault="00154EBD" w:rsidP="00D75B88">
            <w:pPr>
              <w:spacing w:after="0"/>
              <w:ind w:right="68" w:firstLine="0"/>
              <w:jc w:val="center"/>
              <w:rPr>
                <w:rFonts w:asciiTheme="minorHAnsi" w:hAnsiTheme="minorHAnsi" w:cstheme="minorHAnsi"/>
                <w:sz w:val="18"/>
                <w:szCs w:val="18"/>
              </w:rPr>
            </w:pPr>
            <w:r w:rsidRPr="00330E5E">
              <w:rPr>
                <w:rFonts w:asciiTheme="minorHAnsi" w:hAnsiTheme="minorHAnsi" w:cstheme="minorHAnsi"/>
                <w:sz w:val="18"/>
                <w:szCs w:val="18"/>
              </w:rPr>
              <w:t>14,88</w:t>
            </w:r>
          </w:p>
        </w:tc>
      </w:tr>
      <w:tr w:rsidR="00154EBD" w:rsidRPr="00330E5E" w14:paraId="29861149" w14:textId="77777777" w:rsidTr="00442E8D">
        <w:trPr>
          <w:trHeight w:val="341"/>
        </w:trPr>
        <w:tc>
          <w:tcPr>
            <w:tcW w:w="1464" w:type="dxa"/>
            <w:vMerge/>
            <w:vAlign w:val="center"/>
            <w:hideMark/>
          </w:tcPr>
          <w:p w14:paraId="7E89C27E" w14:textId="77777777" w:rsidR="00154EBD" w:rsidRPr="00330E5E" w:rsidRDefault="00154EBD" w:rsidP="00D75B88">
            <w:pPr>
              <w:spacing w:after="0"/>
              <w:rPr>
                <w:rFonts w:asciiTheme="minorHAnsi" w:hAnsiTheme="minorHAnsi" w:cstheme="minorHAnsi"/>
                <w:b/>
                <w:sz w:val="18"/>
                <w:szCs w:val="18"/>
              </w:rPr>
            </w:pPr>
          </w:p>
        </w:tc>
        <w:tc>
          <w:tcPr>
            <w:tcW w:w="3489" w:type="dxa"/>
            <w:gridSpan w:val="2"/>
            <w:vAlign w:val="center"/>
            <w:hideMark/>
          </w:tcPr>
          <w:p w14:paraId="05F763D9" w14:textId="77777777" w:rsidR="00154EBD" w:rsidRPr="00330E5E" w:rsidRDefault="00154EBD" w:rsidP="00D75B88">
            <w:pPr>
              <w:spacing w:after="0"/>
              <w:ind w:right="426"/>
              <w:rPr>
                <w:rFonts w:asciiTheme="minorHAnsi" w:hAnsiTheme="minorHAnsi" w:cstheme="minorHAnsi"/>
                <w:sz w:val="18"/>
                <w:szCs w:val="18"/>
              </w:rPr>
            </w:pPr>
            <w:r w:rsidRPr="00330E5E">
              <w:rPr>
                <w:rFonts w:asciiTheme="minorHAnsi" w:hAnsiTheme="minorHAnsi" w:cstheme="minorHAnsi"/>
                <w:b/>
                <w:sz w:val="18"/>
                <w:szCs w:val="18"/>
              </w:rPr>
              <w:t>Pomoc pre veľké podniky</w:t>
            </w:r>
          </w:p>
        </w:tc>
        <w:tc>
          <w:tcPr>
            <w:tcW w:w="1129" w:type="dxa"/>
            <w:vAlign w:val="center"/>
            <w:hideMark/>
          </w:tcPr>
          <w:p w14:paraId="7EBE29E9" w14:textId="77777777" w:rsidR="00154EBD" w:rsidRPr="00330E5E" w:rsidRDefault="00154EBD" w:rsidP="00D75B88">
            <w:pPr>
              <w:spacing w:after="0"/>
              <w:ind w:right="426"/>
              <w:jc w:val="right"/>
              <w:rPr>
                <w:rFonts w:asciiTheme="minorHAnsi" w:hAnsiTheme="minorHAnsi" w:cstheme="minorHAnsi"/>
                <w:sz w:val="18"/>
                <w:szCs w:val="18"/>
              </w:rPr>
            </w:pPr>
            <w:r w:rsidRPr="00330E5E">
              <w:rPr>
                <w:rFonts w:asciiTheme="minorHAnsi" w:hAnsiTheme="minorHAnsi" w:cstheme="minorHAnsi"/>
                <w:sz w:val="18"/>
                <w:szCs w:val="18"/>
              </w:rPr>
              <w:t>48</w:t>
            </w:r>
          </w:p>
        </w:tc>
        <w:tc>
          <w:tcPr>
            <w:tcW w:w="1496" w:type="dxa"/>
            <w:vAlign w:val="center"/>
            <w:hideMark/>
          </w:tcPr>
          <w:p w14:paraId="605AC4AE" w14:textId="77777777" w:rsidR="00154EBD" w:rsidRPr="00330E5E" w:rsidRDefault="00154EBD" w:rsidP="00D75B88">
            <w:pPr>
              <w:spacing w:after="0"/>
              <w:jc w:val="center"/>
              <w:rPr>
                <w:rFonts w:asciiTheme="minorHAnsi" w:hAnsiTheme="minorHAnsi" w:cstheme="minorHAnsi"/>
                <w:sz w:val="18"/>
                <w:szCs w:val="18"/>
              </w:rPr>
            </w:pPr>
            <w:r w:rsidRPr="00330E5E">
              <w:rPr>
                <w:rFonts w:asciiTheme="minorHAnsi" w:hAnsiTheme="minorHAnsi" w:cstheme="minorHAnsi"/>
                <w:sz w:val="18"/>
                <w:szCs w:val="18"/>
              </w:rPr>
              <w:t>6,01</w:t>
            </w:r>
          </w:p>
        </w:tc>
        <w:tc>
          <w:tcPr>
            <w:tcW w:w="1584" w:type="dxa"/>
            <w:vAlign w:val="center"/>
            <w:hideMark/>
          </w:tcPr>
          <w:p w14:paraId="15383CED" w14:textId="77777777" w:rsidR="00154EBD" w:rsidRPr="00330E5E" w:rsidRDefault="00154EBD" w:rsidP="00D75B88">
            <w:pPr>
              <w:spacing w:after="0"/>
              <w:ind w:firstLine="0"/>
              <w:jc w:val="center"/>
              <w:rPr>
                <w:rFonts w:asciiTheme="minorHAnsi" w:hAnsiTheme="minorHAnsi" w:cstheme="minorHAnsi"/>
                <w:sz w:val="18"/>
                <w:szCs w:val="18"/>
              </w:rPr>
            </w:pPr>
            <w:r w:rsidRPr="00330E5E">
              <w:rPr>
                <w:rFonts w:asciiTheme="minorHAnsi" w:hAnsiTheme="minorHAnsi" w:cstheme="minorHAnsi"/>
                <w:sz w:val="18"/>
                <w:szCs w:val="18"/>
              </w:rPr>
              <w:t>7,85</w:t>
            </w:r>
          </w:p>
        </w:tc>
      </w:tr>
    </w:tbl>
    <w:p w14:paraId="2E4CD955" w14:textId="0B99A3A0" w:rsidR="0061305E" w:rsidRPr="00C35CA8" w:rsidRDefault="00F00675" w:rsidP="00F00675">
      <w:pPr>
        <w:pStyle w:val="Odsekzoznamu"/>
        <w:spacing w:before="240" w:after="0"/>
        <w:ind w:firstLine="0"/>
        <w:rPr>
          <w:rFonts w:cs="Times New Roman"/>
          <w:szCs w:val="24"/>
          <w:highlight w:val="yellow"/>
        </w:rPr>
      </w:pPr>
      <w:r w:rsidRPr="00C35CA8">
        <w:rPr>
          <w:b/>
        </w:rPr>
        <w:t>Štátna pomoc poskytnutá na vzdelávanie</w:t>
      </w:r>
    </w:p>
    <w:bookmarkEnd w:id="5"/>
    <w:p w14:paraId="25FD6900" w14:textId="7843BDE9" w:rsidR="008831A4" w:rsidRPr="00C35CA8" w:rsidRDefault="00154EBD" w:rsidP="00154EBD">
      <w:pPr>
        <w:spacing w:before="120" w:after="120"/>
        <w:ind w:hanging="6"/>
      </w:pPr>
      <w:r w:rsidRPr="00154EBD">
        <w:t>V roku 2023 neboli vynaložené žiadne nové finančné prostriedky (poskytnutá pomoc) v rámci štátnej pomoci na podporu vzdelávania v súlade s čl. 31 nariadenia Komisie (EÚ) č. 651/2014 zo 17. júna 2014 o vyhlásení určitých kategórií pomoci za zlučiteľné s vnútorným trhom podľa článkov 107 a 108 zmluvy. Prebiehalo však dočerpávanie finančných prostriedkov na vzdelávacie projekty (PSA Slovakia</w:t>
      </w:r>
      <w:r w:rsidR="00A25DC5">
        <w:t>,</w:t>
      </w:r>
      <w:r w:rsidRPr="00154EBD">
        <w:t xml:space="preserve"> s.</w:t>
      </w:r>
      <w:r w:rsidR="00A25DC5">
        <w:t xml:space="preserve"> </w:t>
      </w:r>
      <w:r w:rsidRPr="00154EBD">
        <w:t>r.</w:t>
      </w:r>
      <w:r w:rsidR="00A25DC5">
        <w:t xml:space="preserve"> </w:t>
      </w:r>
      <w:r w:rsidRPr="00154EBD">
        <w:t>o. a VW Slovakia</w:t>
      </w:r>
      <w:r w:rsidR="00A25DC5">
        <w:t>,</w:t>
      </w:r>
      <w:r w:rsidRPr="00154EBD">
        <w:t xml:space="preserve"> a. s), ktoré boli zazmluvnené </w:t>
      </w:r>
      <w:r w:rsidR="00871DDB">
        <w:t xml:space="preserve">                     </w:t>
      </w:r>
      <w:r w:rsidRPr="00154EBD">
        <w:t xml:space="preserve">v predchádzajúcich rokoch.   </w:t>
      </w:r>
      <w:r w:rsidR="008831A4" w:rsidRPr="00C35CA8">
        <w:t xml:space="preserve"> </w:t>
      </w:r>
    </w:p>
    <w:tbl>
      <w:tblPr>
        <w:tblW w:w="9168"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9"/>
        <w:gridCol w:w="823"/>
        <w:gridCol w:w="4281"/>
        <w:gridCol w:w="1425"/>
        <w:gridCol w:w="860"/>
      </w:tblGrid>
      <w:tr w:rsidR="000F2229" w:rsidRPr="00C35CA8" w14:paraId="39218C63" w14:textId="77777777" w:rsidTr="00D75B88">
        <w:trPr>
          <w:trHeight w:val="324"/>
        </w:trPr>
        <w:tc>
          <w:tcPr>
            <w:tcW w:w="1779" w:type="dxa"/>
            <w:vMerge w:val="restart"/>
            <w:tcBorders>
              <w:top w:val="single" w:sz="12" w:space="0" w:color="auto"/>
              <w:left w:val="single" w:sz="12" w:space="0" w:color="auto"/>
              <w:right w:val="double" w:sz="4" w:space="0" w:color="auto"/>
            </w:tcBorders>
            <w:vAlign w:val="center"/>
          </w:tcPr>
          <w:p w14:paraId="1656E921" w14:textId="0DBE0A41" w:rsidR="008831A4" w:rsidRPr="00C35CA8" w:rsidRDefault="008831A4" w:rsidP="00D75B88">
            <w:pPr>
              <w:spacing w:after="0"/>
              <w:ind w:hanging="6"/>
              <w:jc w:val="left"/>
              <w:rPr>
                <w:rFonts w:ascii="Calibri" w:hAnsi="Calibri" w:cs="Calibri"/>
                <w:b/>
                <w:sz w:val="18"/>
                <w:szCs w:val="18"/>
              </w:rPr>
            </w:pPr>
            <w:r w:rsidRPr="00C35CA8">
              <w:rPr>
                <w:rFonts w:ascii="Calibri" w:hAnsi="Calibri" w:cs="Calibri"/>
                <w:b/>
                <w:sz w:val="18"/>
                <w:szCs w:val="18"/>
              </w:rPr>
              <w:t xml:space="preserve">Pomoc </w:t>
            </w:r>
            <w:r w:rsidR="007933A3" w:rsidRPr="00C35CA8">
              <w:rPr>
                <w:rFonts w:ascii="Calibri" w:hAnsi="Calibri" w:cs="Calibri"/>
                <w:b/>
                <w:sz w:val="18"/>
                <w:szCs w:val="18"/>
              </w:rPr>
              <w:t xml:space="preserve">                                             </w:t>
            </w:r>
            <w:r w:rsidRPr="00C35CA8">
              <w:rPr>
                <w:rFonts w:ascii="Calibri" w:hAnsi="Calibri" w:cs="Calibri"/>
                <w:b/>
                <w:sz w:val="18"/>
                <w:szCs w:val="18"/>
              </w:rPr>
              <w:t>na vzdelávanie</w:t>
            </w:r>
          </w:p>
        </w:tc>
        <w:tc>
          <w:tcPr>
            <w:tcW w:w="5104" w:type="dxa"/>
            <w:gridSpan w:val="2"/>
            <w:tcBorders>
              <w:top w:val="single" w:sz="12" w:space="0" w:color="auto"/>
              <w:left w:val="double" w:sz="4" w:space="0" w:color="auto"/>
              <w:bottom w:val="single" w:sz="2" w:space="0" w:color="auto"/>
              <w:right w:val="single" w:sz="2" w:space="0" w:color="auto"/>
            </w:tcBorders>
            <w:vAlign w:val="center"/>
          </w:tcPr>
          <w:p w14:paraId="1F3A4C1D" w14:textId="0671C53F" w:rsidR="008831A4" w:rsidRPr="00C35CA8" w:rsidRDefault="008831A4" w:rsidP="00D75B88">
            <w:pPr>
              <w:spacing w:after="0"/>
              <w:ind w:hanging="6"/>
              <w:jc w:val="left"/>
              <w:rPr>
                <w:rFonts w:ascii="Calibri" w:hAnsi="Calibri" w:cs="Calibri"/>
                <w:b/>
                <w:sz w:val="18"/>
                <w:szCs w:val="18"/>
              </w:rPr>
            </w:pPr>
            <w:r w:rsidRPr="00C35CA8">
              <w:rPr>
                <w:rFonts w:ascii="Calibri" w:hAnsi="Calibri" w:cs="Calibri"/>
                <w:b/>
                <w:sz w:val="18"/>
                <w:szCs w:val="18"/>
              </w:rPr>
              <w:t xml:space="preserve">Celková pomoc na vzdelávanie </w:t>
            </w:r>
            <w:r w:rsidRPr="00C35CA8">
              <w:rPr>
                <w:rFonts w:ascii="Calibri" w:hAnsi="Calibri" w:cs="Calibri"/>
                <w:sz w:val="18"/>
                <w:szCs w:val="18"/>
              </w:rPr>
              <w:t xml:space="preserve">(v mil. </w:t>
            </w:r>
            <w:r w:rsidR="002E2CAC">
              <w:rPr>
                <w:rFonts w:ascii="Calibri" w:hAnsi="Calibri" w:cs="Calibri"/>
                <w:sz w:val="18"/>
                <w:szCs w:val="18"/>
              </w:rPr>
              <w:t>eur</w:t>
            </w:r>
            <w:r w:rsidRPr="00C35CA8">
              <w:rPr>
                <w:rFonts w:ascii="Calibri" w:hAnsi="Calibri" w:cs="Calibri"/>
                <w:sz w:val="18"/>
                <w:szCs w:val="18"/>
              </w:rPr>
              <w:t>)</w:t>
            </w:r>
          </w:p>
        </w:tc>
        <w:tc>
          <w:tcPr>
            <w:tcW w:w="1425" w:type="dxa"/>
            <w:tcBorders>
              <w:top w:val="single" w:sz="12" w:space="0" w:color="auto"/>
              <w:left w:val="single" w:sz="2" w:space="0" w:color="auto"/>
              <w:bottom w:val="single" w:sz="2" w:space="0" w:color="auto"/>
              <w:right w:val="single" w:sz="2" w:space="0" w:color="auto"/>
            </w:tcBorders>
            <w:vAlign w:val="center"/>
          </w:tcPr>
          <w:p w14:paraId="1A86C60F" w14:textId="77777777" w:rsidR="008831A4" w:rsidRPr="00C35CA8" w:rsidRDefault="008831A4" w:rsidP="00D75B88">
            <w:pPr>
              <w:spacing w:after="0"/>
              <w:ind w:hanging="6"/>
              <w:jc w:val="center"/>
              <w:rPr>
                <w:rFonts w:ascii="Calibri" w:hAnsi="Calibri" w:cs="Calibri"/>
                <w:b/>
                <w:sz w:val="18"/>
                <w:szCs w:val="18"/>
              </w:rPr>
            </w:pPr>
            <w:r w:rsidRPr="00C35CA8">
              <w:rPr>
                <w:rFonts w:ascii="Calibri" w:hAnsi="Calibri" w:cs="Calibri"/>
                <w:b/>
                <w:sz w:val="18"/>
                <w:szCs w:val="18"/>
              </w:rPr>
              <w:t>3,26</w:t>
            </w:r>
          </w:p>
        </w:tc>
        <w:tc>
          <w:tcPr>
            <w:tcW w:w="860" w:type="dxa"/>
            <w:tcBorders>
              <w:top w:val="single" w:sz="12" w:space="0" w:color="auto"/>
              <w:left w:val="single" w:sz="2" w:space="0" w:color="auto"/>
              <w:bottom w:val="single" w:sz="2" w:space="0" w:color="auto"/>
              <w:right w:val="single" w:sz="12" w:space="0" w:color="auto"/>
            </w:tcBorders>
            <w:vAlign w:val="center"/>
          </w:tcPr>
          <w:p w14:paraId="3F68F8E7" w14:textId="77777777" w:rsidR="008831A4" w:rsidRPr="00C35CA8" w:rsidRDefault="008831A4" w:rsidP="00D75B88">
            <w:pPr>
              <w:spacing w:after="0"/>
              <w:ind w:hanging="6"/>
              <w:jc w:val="center"/>
              <w:rPr>
                <w:rFonts w:ascii="Calibri" w:hAnsi="Calibri" w:cs="Calibri"/>
                <w:b/>
                <w:sz w:val="18"/>
                <w:szCs w:val="18"/>
              </w:rPr>
            </w:pPr>
            <w:r w:rsidRPr="00C35CA8">
              <w:rPr>
                <w:rFonts w:ascii="Calibri" w:hAnsi="Calibri" w:cs="Calibri"/>
                <w:b/>
                <w:sz w:val="18"/>
                <w:szCs w:val="18"/>
              </w:rPr>
              <w:t>%</w:t>
            </w:r>
          </w:p>
        </w:tc>
      </w:tr>
      <w:tr w:rsidR="000F2229" w:rsidRPr="00C35CA8" w14:paraId="2A0BEB3E" w14:textId="77777777" w:rsidTr="00D75B88">
        <w:trPr>
          <w:trHeight w:hRule="exact" w:val="362"/>
        </w:trPr>
        <w:tc>
          <w:tcPr>
            <w:tcW w:w="1779" w:type="dxa"/>
            <w:vMerge/>
            <w:tcBorders>
              <w:left w:val="single" w:sz="12" w:space="0" w:color="auto"/>
              <w:right w:val="double" w:sz="4" w:space="0" w:color="auto"/>
            </w:tcBorders>
          </w:tcPr>
          <w:p w14:paraId="57137CF8" w14:textId="77777777" w:rsidR="008831A4" w:rsidRPr="00C35CA8" w:rsidRDefault="008831A4" w:rsidP="00D75B88">
            <w:pPr>
              <w:spacing w:after="0"/>
              <w:ind w:hanging="6"/>
              <w:rPr>
                <w:rFonts w:ascii="Calibri" w:hAnsi="Calibri" w:cs="Calibri"/>
                <w:sz w:val="18"/>
                <w:szCs w:val="18"/>
              </w:rPr>
            </w:pPr>
          </w:p>
        </w:tc>
        <w:tc>
          <w:tcPr>
            <w:tcW w:w="823" w:type="dxa"/>
            <w:tcBorders>
              <w:top w:val="single" w:sz="2" w:space="0" w:color="auto"/>
              <w:left w:val="double" w:sz="4" w:space="0" w:color="auto"/>
              <w:right w:val="single" w:sz="2" w:space="0" w:color="auto"/>
            </w:tcBorders>
            <w:vAlign w:val="center"/>
          </w:tcPr>
          <w:p w14:paraId="21AE091E" w14:textId="77777777" w:rsidR="008831A4" w:rsidRPr="002E2CAC" w:rsidRDefault="008831A4" w:rsidP="00D75B88">
            <w:pPr>
              <w:spacing w:after="0"/>
              <w:ind w:hanging="6"/>
              <w:rPr>
                <w:rFonts w:ascii="Calibri" w:hAnsi="Calibri" w:cs="Calibri"/>
                <w:b/>
                <w:sz w:val="18"/>
                <w:szCs w:val="18"/>
              </w:rPr>
            </w:pPr>
            <w:r w:rsidRPr="002E2CAC">
              <w:rPr>
                <w:rFonts w:ascii="Calibri" w:hAnsi="Calibri" w:cs="Calibri"/>
                <w:b/>
                <w:sz w:val="18"/>
                <w:szCs w:val="18"/>
              </w:rPr>
              <w:t>z toho</w:t>
            </w:r>
          </w:p>
        </w:tc>
        <w:tc>
          <w:tcPr>
            <w:tcW w:w="4281" w:type="dxa"/>
            <w:tcBorders>
              <w:top w:val="single" w:sz="2" w:space="0" w:color="auto"/>
              <w:left w:val="single" w:sz="2" w:space="0" w:color="auto"/>
              <w:bottom w:val="single" w:sz="2" w:space="0" w:color="auto"/>
              <w:right w:val="single" w:sz="2" w:space="0" w:color="auto"/>
            </w:tcBorders>
            <w:vAlign w:val="center"/>
          </w:tcPr>
          <w:p w14:paraId="2CA08144" w14:textId="77777777" w:rsidR="008831A4" w:rsidRPr="00C35CA8" w:rsidRDefault="002E4391" w:rsidP="00D75B88">
            <w:pPr>
              <w:spacing w:after="0"/>
              <w:ind w:hanging="6"/>
              <w:jc w:val="left"/>
              <w:rPr>
                <w:rFonts w:ascii="Calibri" w:hAnsi="Calibri" w:cs="Calibri"/>
                <w:sz w:val="18"/>
                <w:szCs w:val="18"/>
              </w:rPr>
            </w:pPr>
            <w:r w:rsidRPr="00C35CA8">
              <w:rPr>
                <w:rFonts w:ascii="Calibri" w:hAnsi="Calibri" w:cs="Calibri"/>
                <w:sz w:val="18"/>
                <w:szCs w:val="18"/>
              </w:rPr>
              <w:t>ústredie</w:t>
            </w:r>
            <w:r w:rsidR="008831A4" w:rsidRPr="00C35CA8">
              <w:rPr>
                <w:rFonts w:ascii="Calibri" w:hAnsi="Calibri" w:cs="Calibri"/>
                <w:sz w:val="18"/>
                <w:szCs w:val="18"/>
              </w:rPr>
              <w:t xml:space="preserve"> / zákon o službách zamestnanosti</w:t>
            </w:r>
            <w:r w:rsidR="008831A4" w:rsidRPr="00C35CA8">
              <w:rPr>
                <w:rStyle w:val="Odkaznapoznmkupodiarou"/>
                <w:rFonts w:ascii="Calibri" w:hAnsi="Calibri" w:cs="Calibri"/>
                <w:sz w:val="18"/>
                <w:szCs w:val="18"/>
              </w:rPr>
              <w:footnoteReference w:id="1"/>
            </w:r>
          </w:p>
        </w:tc>
        <w:tc>
          <w:tcPr>
            <w:tcW w:w="1425" w:type="dxa"/>
            <w:tcBorders>
              <w:top w:val="single" w:sz="2" w:space="0" w:color="auto"/>
              <w:left w:val="single" w:sz="2" w:space="0" w:color="auto"/>
              <w:bottom w:val="single" w:sz="2" w:space="0" w:color="auto"/>
              <w:right w:val="single" w:sz="2" w:space="0" w:color="auto"/>
            </w:tcBorders>
            <w:vAlign w:val="center"/>
          </w:tcPr>
          <w:p w14:paraId="248BDE7A" w14:textId="77777777" w:rsidR="008831A4" w:rsidRPr="00C35CA8" w:rsidRDefault="008831A4" w:rsidP="00D75B88">
            <w:pPr>
              <w:spacing w:after="0"/>
              <w:ind w:hanging="6"/>
              <w:jc w:val="center"/>
              <w:rPr>
                <w:rFonts w:ascii="Calibri" w:hAnsi="Calibri" w:cs="Calibri"/>
                <w:sz w:val="18"/>
                <w:szCs w:val="18"/>
              </w:rPr>
            </w:pPr>
            <w:r w:rsidRPr="00C35CA8">
              <w:rPr>
                <w:rFonts w:ascii="Calibri" w:hAnsi="Calibri" w:cs="Calibri"/>
                <w:sz w:val="18"/>
                <w:szCs w:val="18"/>
              </w:rPr>
              <w:t>3,26 mil.</w:t>
            </w:r>
          </w:p>
        </w:tc>
        <w:tc>
          <w:tcPr>
            <w:tcW w:w="860" w:type="dxa"/>
            <w:tcBorders>
              <w:top w:val="single" w:sz="2" w:space="0" w:color="auto"/>
              <w:left w:val="single" w:sz="2" w:space="0" w:color="auto"/>
              <w:bottom w:val="single" w:sz="2" w:space="0" w:color="auto"/>
              <w:right w:val="single" w:sz="12" w:space="0" w:color="auto"/>
            </w:tcBorders>
            <w:vAlign w:val="center"/>
          </w:tcPr>
          <w:p w14:paraId="24E2C0D1" w14:textId="77777777" w:rsidR="008831A4" w:rsidRPr="00C35CA8" w:rsidRDefault="008831A4" w:rsidP="00D75B88">
            <w:pPr>
              <w:spacing w:after="0"/>
              <w:ind w:hanging="6"/>
              <w:jc w:val="center"/>
              <w:rPr>
                <w:rFonts w:ascii="Calibri" w:hAnsi="Calibri" w:cs="Calibri"/>
                <w:sz w:val="18"/>
                <w:szCs w:val="18"/>
              </w:rPr>
            </w:pPr>
            <w:r w:rsidRPr="00C35CA8">
              <w:rPr>
                <w:rFonts w:ascii="Calibri" w:hAnsi="Calibri" w:cs="Calibri"/>
                <w:sz w:val="18"/>
                <w:szCs w:val="18"/>
              </w:rPr>
              <w:t>100</w:t>
            </w:r>
          </w:p>
        </w:tc>
      </w:tr>
      <w:tr w:rsidR="008831A4" w:rsidRPr="00C35CA8" w14:paraId="640FC502" w14:textId="77777777" w:rsidTr="00442E8D">
        <w:trPr>
          <w:trHeight w:val="360"/>
        </w:trPr>
        <w:tc>
          <w:tcPr>
            <w:tcW w:w="1779" w:type="dxa"/>
            <w:tcBorders>
              <w:top w:val="single" w:sz="2" w:space="0" w:color="auto"/>
              <w:left w:val="single" w:sz="12" w:space="0" w:color="auto"/>
              <w:bottom w:val="single" w:sz="12" w:space="0" w:color="auto"/>
              <w:right w:val="double" w:sz="4" w:space="0" w:color="auto"/>
            </w:tcBorders>
            <w:vAlign w:val="center"/>
          </w:tcPr>
          <w:p w14:paraId="264C70C8" w14:textId="77777777" w:rsidR="008831A4" w:rsidRPr="00396146" w:rsidRDefault="008831A4" w:rsidP="00D75B88">
            <w:pPr>
              <w:spacing w:after="0"/>
              <w:ind w:hanging="6"/>
              <w:jc w:val="left"/>
              <w:rPr>
                <w:rFonts w:ascii="Calibri" w:hAnsi="Calibri" w:cs="Calibri"/>
                <w:b/>
                <w:sz w:val="18"/>
                <w:szCs w:val="18"/>
              </w:rPr>
            </w:pPr>
            <w:r w:rsidRPr="00396146">
              <w:rPr>
                <w:rFonts w:ascii="Calibri" w:hAnsi="Calibri" w:cs="Calibri"/>
                <w:b/>
                <w:sz w:val="18"/>
                <w:szCs w:val="18"/>
              </w:rPr>
              <w:t>Forma pomoci</w:t>
            </w:r>
          </w:p>
        </w:tc>
        <w:tc>
          <w:tcPr>
            <w:tcW w:w="7389" w:type="dxa"/>
            <w:gridSpan w:val="4"/>
            <w:tcBorders>
              <w:top w:val="single" w:sz="2" w:space="0" w:color="auto"/>
              <w:left w:val="double" w:sz="4" w:space="0" w:color="auto"/>
              <w:bottom w:val="single" w:sz="12" w:space="0" w:color="auto"/>
              <w:right w:val="single" w:sz="12" w:space="0" w:color="auto"/>
            </w:tcBorders>
            <w:vAlign w:val="center"/>
          </w:tcPr>
          <w:p w14:paraId="5D8F7887" w14:textId="77777777" w:rsidR="008831A4" w:rsidRPr="00C35CA8" w:rsidRDefault="005400F5" w:rsidP="00D75B88">
            <w:pPr>
              <w:spacing w:after="0"/>
              <w:ind w:hanging="6"/>
              <w:jc w:val="left"/>
              <w:rPr>
                <w:rFonts w:ascii="Calibri" w:hAnsi="Calibri" w:cs="Calibri"/>
                <w:sz w:val="18"/>
                <w:szCs w:val="18"/>
              </w:rPr>
            </w:pPr>
            <w:r w:rsidRPr="00C35CA8">
              <w:rPr>
                <w:rFonts w:ascii="Calibri" w:hAnsi="Calibri" w:cs="Calibri"/>
                <w:sz w:val="18"/>
                <w:szCs w:val="18"/>
              </w:rPr>
              <w:t>n</w:t>
            </w:r>
            <w:r w:rsidR="008831A4" w:rsidRPr="00C35CA8">
              <w:rPr>
                <w:rFonts w:ascii="Calibri" w:hAnsi="Calibri" w:cs="Calibri"/>
                <w:sz w:val="18"/>
                <w:szCs w:val="18"/>
              </w:rPr>
              <w:t>enávratný finančný príspevok</w:t>
            </w:r>
          </w:p>
        </w:tc>
      </w:tr>
    </w:tbl>
    <w:p w14:paraId="13F5551E" w14:textId="02D049AD" w:rsidR="00B10F80" w:rsidRPr="00C35CA8" w:rsidRDefault="00B10F80" w:rsidP="00D67D09">
      <w:pPr>
        <w:spacing w:before="240" w:after="0"/>
        <w:ind w:firstLine="0"/>
        <w:jc w:val="left"/>
        <w:rPr>
          <w:b/>
          <w:lang w:eastAsia="en-US"/>
        </w:rPr>
      </w:pPr>
      <w:r w:rsidRPr="00C35CA8">
        <w:rPr>
          <w:b/>
          <w:lang w:eastAsia="en-US"/>
        </w:rPr>
        <w:t>Štátna pomoc poskytnutá na podporu zamestnanosti</w:t>
      </w:r>
    </w:p>
    <w:p w14:paraId="362DFDB6" w14:textId="1EBBF38F" w:rsidR="00154EBD" w:rsidRDefault="00154EBD" w:rsidP="00D75B88">
      <w:pPr>
        <w:spacing w:before="120" w:after="120"/>
        <w:ind w:hanging="6"/>
      </w:pPr>
      <w:r>
        <w:t xml:space="preserve">Celková pomoc na podporu zamestnanosti v rámci ústredia bola poskytnutá v  súhrnnom objeme </w:t>
      </w:r>
      <w:r w:rsidRPr="00154EBD">
        <w:rPr>
          <w:b/>
        </w:rPr>
        <w:t xml:space="preserve">76,54 mil. </w:t>
      </w:r>
      <w:r w:rsidR="00AC5AC2">
        <w:rPr>
          <w:b/>
        </w:rPr>
        <w:t>eur</w:t>
      </w:r>
      <w:r>
        <w:t xml:space="preserve">, z toho </w:t>
      </w:r>
      <w:r w:rsidRPr="00154EBD">
        <w:rPr>
          <w:b/>
        </w:rPr>
        <w:t xml:space="preserve">16,52 mil. </w:t>
      </w:r>
      <w:r w:rsidR="00AC5AC2">
        <w:rPr>
          <w:b/>
        </w:rPr>
        <w:t>eur</w:t>
      </w:r>
      <w:r>
        <w:t xml:space="preserve"> bolo zo štátneho rozpočtu, pričom pomoc bola poskytnutá </w:t>
      </w:r>
      <w:r w:rsidRPr="00154EBD">
        <w:rPr>
          <w:b/>
        </w:rPr>
        <w:t>825 oprávneným prijímateľom pomoci</w:t>
      </w:r>
      <w:r>
        <w:t>.</w:t>
      </w:r>
    </w:p>
    <w:p w14:paraId="7711221A" w14:textId="0744BD7D" w:rsidR="008831A4" w:rsidRPr="00154EBD" w:rsidRDefault="00154EBD" w:rsidP="00154EBD">
      <w:pPr>
        <w:spacing w:after="120"/>
        <w:rPr>
          <w:b/>
        </w:rPr>
      </w:pPr>
      <w:r>
        <w:lastRenderedPageBreak/>
        <w:t xml:space="preserve">V porovnaní s rokom 2022 sa pomoc v roku 2023 súhrnne znížila </w:t>
      </w:r>
      <w:r w:rsidRPr="00154EBD">
        <w:rPr>
          <w:b/>
        </w:rPr>
        <w:t xml:space="preserve">o 274,50 mil. </w:t>
      </w:r>
      <w:r w:rsidR="00AC5AC2">
        <w:rPr>
          <w:b/>
        </w:rPr>
        <w:t>eur</w:t>
      </w:r>
      <w:r>
        <w:t xml:space="preserve">, tzn.                </w:t>
      </w:r>
      <w:r w:rsidR="00AC5AC2">
        <w:t xml:space="preserve">   </w:t>
      </w:r>
      <w:r>
        <w:t xml:space="preserve">o </w:t>
      </w:r>
      <w:r w:rsidRPr="00154EBD">
        <w:rPr>
          <w:b/>
        </w:rPr>
        <w:t>78,19 %.</w:t>
      </w:r>
    </w:p>
    <w:tbl>
      <w:tblPr>
        <w:tblW w:w="9135" w:type="dxa"/>
        <w:tblInd w:w="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9"/>
        <w:gridCol w:w="574"/>
        <w:gridCol w:w="4771"/>
        <w:gridCol w:w="1073"/>
        <w:gridCol w:w="928"/>
      </w:tblGrid>
      <w:tr w:rsidR="00154EBD" w14:paraId="624A5ED0" w14:textId="77777777" w:rsidTr="00FD21F1">
        <w:trPr>
          <w:trHeight w:val="312"/>
        </w:trPr>
        <w:tc>
          <w:tcPr>
            <w:tcW w:w="1789" w:type="dxa"/>
            <w:vMerge w:val="restart"/>
            <w:vAlign w:val="center"/>
          </w:tcPr>
          <w:p w14:paraId="6A5CD5DB" w14:textId="77777777" w:rsidR="00154EBD" w:rsidRPr="00AC5AC2" w:rsidRDefault="00154EBD" w:rsidP="00D67D09">
            <w:pPr>
              <w:spacing w:after="0"/>
              <w:jc w:val="left"/>
              <w:rPr>
                <w:rFonts w:asciiTheme="minorHAnsi" w:hAnsiTheme="minorHAnsi" w:cstheme="minorHAnsi"/>
                <w:sz w:val="18"/>
                <w:szCs w:val="18"/>
              </w:rPr>
            </w:pPr>
          </w:p>
          <w:p w14:paraId="0685328A" w14:textId="5650EEDC" w:rsidR="00154EBD" w:rsidRPr="00AC5AC2" w:rsidRDefault="00396146" w:rsidP="00D67D09">
            <w:pPr>
              <w:spacing w:after="0"/>
              <w:ind w:right="426"/>
              <w:jc w:val="left"/>
              <w:rPr>
                <w:rFonts w:asciiTheme="minorHAnsi" w:hAnsiTheme="minorHAnsi" w:cstheme="minorHAnsi"/>
                <w:b/>
                <w:sz w:val="18"/>
                <w:szCs w:val="18"/>
              </w:rPr>
            </w:pPr>
            <w:r w:rsidRPr="00AC5AC2">
              <w:rPr>
                <w:rFonts w:asciiTheme="minorHAnsi" w:hAnsiTheme="minorHAnsi" w:cstheme="minorHAnsi"/>
                <w:b/>
                <w:sz w:val="18"/>
                <w:szCs w:val="18"/>
              </w:rPr>
              <w:t xml:space="preserve">Pomoc </w:t>
            </w:r>
            <w:r w:rsidR="00154EBD" w:rsidRPr="00AC5AC2">
              <w:rPr>
                <w:rFonts w:asciiTheme="minorHAnsi" w:hAnsiTheme="minorHAnsi" w:cstheme="minorHAnsi"/>
                <w:b/>
                <w:sz w:val="18"/>
                <w:szCs w:val="18"/>
              </w:rPr>
              <w:t>na zamestnanosť</w:t>
            </w:r>
          </w:p>
          <w:p w14:paraId="3EF094E6" w14:textId="77777777" w:rsidR="00154EBD" w:rsidRPr="00AC5AC2" w:rsidRDefault="00154EBD" w:rsidP="00D67D09">
            <w:pPr>
              <w:spacing w:after="0"/>
              <w:ind w:right="426"/>
              <w:jc w:val="left"/>
              <w:rPr>
                <w:rFonts w:asciiTheme="minorHAnsi" w:hAnsiTheme="minorHAnsi" w:cstheme="minorHAnsi"/>
                <w:sz w:val="18"/>
                <w:szCs w:val="18"/>
              </w:rPr>
            </w:pPr>
          </w:p>
        </w:tc>
        <w:tc>
          <w:tcPr>
            <w:tcW w:w="5345" w:type="dxa"/>
            <w:gridSpan w:val="2"/>
            <w:vAlign w:val="center"/>
            <w:hideMark/>
          </w:tcPr>
          <w:p w14:paraId="2E8D214F" w14:textId="369DC436" w:rsidR="00154EBD" w:rsidRPr="00AC5AC2" w:rsidRDefault="00154EBD"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 xml:space="preserve">Celková pomoc na zamestnanosť </w:t>
            </w:r>
            <w:r w:rsidRPr="00AC5AC2">
              <w:rPr>
                <w:rFonts w:asciiTheme="minorHAnsi" w:hAnsiTheme="minorHAnsi" w:cstheme="minorHAnsi"/>
                <w:sz w:val="18"/>
                <w:szCs w:val="18"/>
              </w:rPr>
              <w:t xml:space="preserve">(v mil. </w:t>
            </w:r>
            <w:r w:rsidR="00AC5AC2" w:rsidRPr="00AC5AC2">
              <w:rPr>
                <w:rFonts w:asciiTheme="minorHAnsi" w:hAnsiTheme="minorHAnsi" w:cstheme="minorHAnsi"/>
                <w:sz w:val="18"/>
                <w:szCs w:val="18"/>
              </w:rPr>
              <w:t>eur</w:t>
            </w:r>
            <w:r w:rsidRPr="00AC5AC2">
              <w:rPr>
                <w:rFonts w:asciiTheme="minorHAnsi" w:hAnsiTheme="minorHAnsi" w:cstheme="minorHAnsi"/>
                <w:sz w:val="18"/>
                <w:szCs w:val="18"/>
              </w:rPr>
              <w:t>)</w:t>
            </w:r>
          </w:p>
        </w:tc>
        <w:tc>
          <w:tcPr>
            <w:tcW w:w="1073" w:type="dxa"/>
            <w:vAlign w:val="center"/>
            <w:hideMark/>
          </w:tcPr>
          <w:p w14:paraId="7743A0CC" w14:textId="14CD7615" w:rsidR="00154EBD" w:rsidRPr="00AC5AC2" w:rsidRDefault="00154EBD" w:rsidP="00D67D09">
            <w:pPr>
              <w:spacing w:after="0"/>
              <w:jc w:val="center"/>
              <w:rPr>
                <w:rFonts w:asciiTheme="minorHAnsi" w:hAnsiTheme="minorHAnsi" w:cstheme="minorHAnsi"/>
                <w:b/>
                <w:sz w:val="18"/>
                <w:szCs w:val="18"/>
              </w:rPr>
            </w:pPr>
            <w:r w:rsidRPr="00AC5AC2">
              <w:rPr>
                <w:rFonts w:asciiTheme="minorHAnsi" w:hAnsiTheme="minorHAnsi" w:cstheme="minorHAnsi"/>
                <w:b/>
                <w:sz w:val="18"/>
                <w:szCs w:val="18"/>
              </w:rPr>
              <w:t>76,54</w:t>
            </w:r>
          </w:p>
        </w:tc>
        <w:tc>
          <w:tcPr>
            <w:tcW w:w="928" w:type="dxa"/>
            <w:vAlign w:val="center"/>
            <w:hideMark/>
          </w:tcPr>
          <w:p w14:paraId="787CAEC9" w14:textId="77777777" w:rsidR="00154EBD" w:rsidRPr="00AC5AC2" w:rsidRDefault="00154EBD" w:rsidP="00D67D09">
            <w:pPr>
              <w:spacing w:after="0"/>
              <w:ind w:right="-18"/>
              <w:jc w:val="center"/>
              <w:rPr>
                <w:rFonts w:asciiTheme="minorHAnsi" w:hAnsiTheme="minorHAnsi" w:cstheme="minorHAnsi"/>
                <w:b/>
                <w:sz w:val="18"/>
                <w:szCs w:val="18"/>
              </w:rPr>
            </w:pPr>
            <w:r w:rsidRPr="00AC5AC2">
              <w:rPr>
                <w:rFonts w:asciiTheme="minorHAnsi" w:hAnsiTheme="minorHAnsi" w:cstheme="minorHAnsi"/>
                <w:sz w:val="18"/>
                <w:szCs w:val="18"/>
              </w:rPr>
              <w:t>v</w:t>
            </w:r>
            <w:r w:rsidRPr="00AC5AC2">
              <w:rPr>
                <w:rFonts w:asciiTheme="minorHAnsi" w:hAnsiTheme="minorHAnsi" w:cstheme="minorHAnsi"/>
                <w:b/>
                <w:sz w:val="18"/>
                <w:szCs w:val="18"/>
              </w:rPr>
              <w:t xml:space="preserve"> %</w:t>
            </w:r>
          </w:p>
        </w:tc>
      </w:tr>
      <w:tr w:rsidR="00AC5AC2" w14:paraId="2FB7017E" w14:textId="77777777" w:rsidTr="00FD21F1">
        <w:trPr>
          <w:trHeight w:hRule="exact" w:val="422"/>
        </w:trPr>
        <w:tc>
          <w:tcPr>
            <w:tcW w:w="0" w:type="auto"/>
            <w:vMerge/>
            <w:vAlign w:val="center"/>
            <w:hideMark/>
          </w:tcPr>
          <w:p w14:paraId="5A242CE6" w14:textId="77777777" w:rsidR="00154EBD" w:rsidRPr="00AC5AC2" w:rsidRDefault="00154EBD" w:rsidP="00D67D09">
            <w:pPr>
              <w:spacing w:after="0"/>
              <w:rPr>
                <w:rFonts w:asciiTheme="minorHAnsi" w:hAnsiTheme="minorHAnsi" w:cstheme="minorHAnsi"/>
                <w:sz w:val="18"/>
                <w:szCs w:val="18"/>
              </w:rPr>
            </w:pPr>
          </w:p>
        </w:tc>
        <w:tc>
          <w:tcPr>
            <w:tcW w:w="574" w:type="dxa"/>
            <w:vMerge w:val="restart"/>
            <w:textDirection w:val="btLr"/>
            <w:vAlign w:val="center"/>
            <w:hideMark/>
          </w:tcPr>
          <w:p w14:paraId="38DB5D81" w14:textId="774D70A7" w:rsidR="00154EBD" w:rsidRPr="00D75B88" w:rsidRDefault="002E2CAC" w:rsidP="00D75B88">
            <w:pPr>
              <w:spacing w:after="0"/>
              <w:ind w:left="113" w:right="113" w:firstLine="0"/>
              <w:rPr>
                <w:rFonts w:asciiTheme="minorHAnsi" w:hAnsiTheme="minorHAnsi" w:cstheme="minorHAnsi"/>
                <w:sz w:val="18"/>
                <w:szCs w:val="18"/>
              </w:rPr>
            </w:pPr>
            <w:r w:rsidRPr="00D75B88">
              <w:rPr>
                <w:rFonts w:asciiTheme="minorHAnsi" w:hAnsiTheme="minorHAnsi" w:cstheme="minorHAnsi"/>
                <w:sz w:val="18"/>
                <w:szCs w:val="18"/>
              </w:rPr>
              <w:t xml:space="preserve"> z toho</w:t>
            </w:r>
          </w:p>
        </w:tc>
        <w:tc>
          <w:tcPr>
            <w:tcW w:w="4771" w:type="dxa"/>
            <w:vAlign w:val="center"/>
            <w:hideMark/>
          </w:tcPr>
          <w:p w14:paraId="529EF18F" w14:textId="77777777" w:rsidR="00154EBD" w:rsidRPr="00AC5AC2" w:rsidRDefault="00154EBD"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Ústredie PSVR / zákon o službách zamestnanosti / zákon o sociálnej ekonomike</w:t>
            </w:r>
          </w:p>
        </w:tc>
        <w:tc>
          <w:tcPr>
            <w:tcW w:w="1073" w:type="dxa"/>
            <w:vAlign w:val="center"/>
            <w:hideMark/>
          </w:tcPr>
          <w:p w14:paraId="36A5D0AB" w14:textId="77777777" w:rsidR="00154EBD" w:rsidRPr="00AC5AC2" w:rsidRDefault="00154EBD"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73,88</w:t>
            </w:r>
          </w:p>
        </w:tc>
        <w:tc>
          <w:tcPr>
            <w:tcW w:w="928" w:type="dxa"/>
            <w:vAlign w:val="center"/>
            <w:hideMark/>
          </w:tcPr>
          <w:p w14:paraId="1243022C" w14:textId="77777777" w:rsidR="00154EBD" w:rsidRPr="00AC5AC2" w:rsidRDefault="00154EBD" w:rsidP="00D67D09">
            <w:pPr>
              <w:spacing w:after="0"/>
              <w:ind w:right="-18"/>
              <w:jc w:val="center"/>
              <w:rPr>
                <w:rFonts w:asciiTheme="minorHAnsi" w:hAnsiTheme="minorHAnsi" w:cstheme="minorHAnsi"/>
                <w:sz w:val="18"/>
                <w:szCs w:val="18"/>
              </w:rPr>
            </w:pPr>
            <w:r w:rsidRPr="00AC5AC2">
              <w:rPr>
                <w:rFonts w:asciiTheme="minorHAnsi" w:hAnsiTheme="minorHAnsi" w:cstheme="minorHAnsi"/>
                <w:sz w:val="18"/>
                <w:szCs w:val="18"/>
              </w:rPr>
              <w:t>96,52</w:t>
            </w:r>
          </w:p>
        </w:tc>
      </w:tr>
      <w:tr w:rsidR="00AC5AC2" w14:paraId="5A6B1279" w14:textId="77777777" w:rsidTr="00442E8D">
        <w:trPr>
          <w:trHeight w:hRule="exact" w:val="413"/>
        </w:trPr>
        <w:tc>
          <w:tcPr>
            <w:tcW w:w="0" w:type="auto"/>
            <w:vMerge/>
            <w:vAlign w:val="center"/>
            <w:hideMark/>
          </w:tcPr>
          <w:p w14:paraId="1AC0F865" w14:textId="77777777" w:rsidR="00154EBD" w:rsidRPr="00AC5AC2" w:rsidRDefault="00154EBD" w:rsidP="00D67D09">
            <w:pPr>
              <w:spacing w:after="0"/>
              <w:rPr>
                <w:rFonts w:asciiTheme="minorHAnsi" w:hAnsiTheme="minorHAnsi" w:cstheme="minorHAnsi"/>
                <w:sz w:val="18"/>
                <w:szCs w:val="18"/>
              </w:rPr>
            </w:pPr>
          </w:p>
        </w:tc>
        <w:tc>
          <w:tcPr>
            <w:tcW w:w="574" w:type="dxa"/>
            <w:vMerge/>
            <w:vAlign w:val="center"/>
            <w:hideMark/>
          </w:tcPr>
          <w:p w14:paraId="78060850" w14:textId="77777777" w:rsidR="00154EBD" w:rsidRPr="00AC5AC2" w:rsidRDefault="00154EBD" w:rsidP="00D67D09">
            <w:pPr>
              <w:spacing w:after="0"/>
              <w:rPr>
                <w:rFonts w:asciiTheme="minorHAnsi" w:hAnsiTheme="minorHAnsi" w:cstheme="minorHAnsi"/>
                <w:sz w:val="18"/>
                <w:szCs w:val="18"/>
              </w:rPr>
            </w:pPr>
          </w:p>
        </w:tc>
        <w:tc>
          <w:tcPr>
            <w:tcW w:w="4771" w:type="dxa"/>
            <w:vAlign w:val="center"/>
            <w:hideMark/>
          </w:tcPr>
          <w:p w14:paraId="1A79EC29" w14:textId="77777777" w:rsidR="00154EBD" w:rsidRPr="00AC5AC2" w:rsidRDefault="00154EBD"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Ústredie PSVR / individuálne opatrenia investičnej pomoci</w:t>
            </w:r>
          </w:p>
        </w:tc>
        <w:tc>
          <w:tcPr>
            <w:tcW w:w="1073" w:type="dxa"/>
            <w:vAlign w:val="center"/>
            <w:hideMark/>
          </w:tcPr>
          <w:p w14:paraId="5265A78D" w14:textId="2937B66F" w:rsidR="00154EBD" w:rsidRPr="00AC5AC2" w:rsidRDefault="00154EBD"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2,66</w:t>
            </w:r>
          </w:p>
        </w:tc>
        <w:tc>
          <w:tcPr>
            <w:tcW w:w="928" w:type="dxa"/>
            <w:vAlign w:val="center"/>
            <w:hideMark/>
          </w:tcPr>
          <w:p w14:paraId="20D9B114" w14:textId="77777777" w:rsidR="00154EBD" w:rsidRPr="00AC5AC2" w:rsidRDefault="00154EBD" w:rsidP="00D67D09">
            <w:pPr>
              <w:spacing w:after="0"/>
              <w:ind w:right="-18"/>
              <w:jc w:val="center"/>
              <w:rPr>
                <w:rFonts w:asciiTheme="minorHAnsi" w:hAnsiTheme="minorHAnsi" w:cstheme="minorHAnsi"/>
                <w:sz w:val="18"/>
                <w:szCs w:val="18"/>
              </w:rPr>
            </w:pPr>
            <w:r w:rsidRPr="00AC5AC2">
              <w:rPr>
                <w:rFonts w:asciiTheme="minorHAnsi" w:hAnsiTheme="minorHAnsi" w:cstheme="minorHAnsi"/>
                <w:sz w:val="18"/>
                <w:szCs w:val="18"/>
              </w:rPr>
              <w:t>3,48</w:t>
            </w:r>
          </w:p>
        </w:tc>
      </w:tr>
    </w:tbl>
    <w:p w14:paraId="51C6AC3C" w14:textId="5C076754" w:rsidR="00721E97" w:rsidRPr="00C35CA8" w:rsidRDefault="00396146" w:rsidP="001420BB">
      <w:pPr>
        <w:spacing w:before="240" w:after="120"/>
        <w:ind w:firstLine="0"/>
      </w:pPr>
      <w:r w:rsidRPr="00C35CA8">
        <w:rPr>
          <w:b/>
          <w:lang w:eastAsia="en-US"/>
        </w:rPr>
        <w:t xml:space="preserve">Štátna pomoc </w:t>
      </w:r>
      <w:r>
        <w:rPr>
          <w:b/>
          <w:lang w:eastAsia="en-US"/>
        </w:rPr>
        <w:t>p</w:t>
      </w:r>
      <w:r w:rsidR="00721E97" w:rsidRPr="00C35CA8">
        <w:rPr>
          <w:b/>
        </w:rPr>
        <w:t>oskytnutá na zamestnanosť v zmysle nariadenia Komisie (EÚ) č. 651/2014</w:t>
      </w:r>
    </w:p>
    <w:p w14:paraId="14C0726F" w14:textId="623300E0" w:rsidR="00871DDB" w:rsidRPr="00D85F1D" w:rsidRDefault="00871DDB" w:rsidP="00396146">
      <w:pPr>
        <w:spacing w:before="120" w:after="0"/>
        <w:ind w:hanging="6"/>
      </w:pPr>
      <w:r w:rsidRPr="00D85F1D">
        <w:t xml:space="preserve">Štátna pomoc v roku 2023 poskytnutá na podporu zamestnanosti v zmysle nariadenia Komisie (EÚ) č. 651/2014 zo 17. júna 2014 o vyhlásení určitých kategórií pomoci za zlučiteľné s vnútorným trhom podľa článkov 107 a 108 zmluvy bola poskytnutá v celkove výške </w:t>
      </w:r>
      <w:r w:rsidR="001C7964">
        <w:t xml:space="preserve">              </w:t>
      </w:r>
      <w:r w:rsidRPr="00D85F1D">
        <w:rPr>
          <w:b/>
        </w:rPr>
        <w:t xml:space="preserve">73,88 mil. </w:t>
      </w:r>
      <w:r w:rsidR="00AC5AC2">
        <w:rPr>
          <w:b/>
        </w:rPr>
        <w:t>eur</w:t>
      </w:r>
      <w:r w:rsidRPr="00D85F1D">
        <w:rPr>
          <w:b/>
        </w:rPr>
        <w:t xml:space="preserve"> </w:t>
      </w:r>
      <w:r w:rsidRPr="00D85F1D">
        <w:t xml:space="preserve">z toho </w:t>
      </w:r>
      <w:r w:rsidRPr="00D85F1D">
        <w:rPr>
          <w:b/>
        </w:rPr>
        <w:t xml:space="preserve">13,84 mil. </w:t>
      </w:r>
      <w:r w:rsidR="00AC5AC2">
        <w:rPr>
          <w:b/>
        </w:rPr>
        <w:t>eur</w:t>
      </w:r>
      <w:r w:rsidRPr="00D85F1D">
        <w:t xml:space="preserve"> </w:t>
      </w:r>
      <w:r w:rsidRPr="00D85F1D">
        <w:rPr>
          <w:b/>
        </w:rPr>
        <w:t>zo štátneho rozpočtu</w:t>
      </w:r>
      <w:r w:rsidRPr="00D85F1D">
        <w:t xml:space="preserve">, celkom </w:t>
      </w:r>
      <w:r w:rsidRPr="00D85F1D">
        <w:rPr>
          <w:b/>
        </w:rPr>
        <w:t>817 oprávneným prijímateľom</w:t>
      </w:r>
      <w:r w:rsidRPr="00D85F1D">
        <w:t xml:space="preserve"> a bola poskytnutá v rámci nasledujúcich schém pomoci:</w:t>
      </w:r>
    </w:p>
    <w:p w14:paraId="35F2BD2E" w14:textId="2120E02C" w:rsidR="00871DDB" w:rsidRPr="00D85F1D" w:rsidRDefault="00871DDB" w:rsidP="006C526F">
      <w:pPr>
        <w:pStyle w:val="Odsekzoznamu"/>
        <w:numPr>
          <w:ilvl w:val="0"/>
          <w:numId w:val="13"/>
        </w:numPr>
        <w:spacing w:before="0" w:after="0"/>
        <w:ind w:left="284" w:hanging="284"/>
        <w:rPr>
          <w:rFonts w:cs="Times New Roman"/>
          <w:szCs w:val="24"/>
        </w:rPr>
      </w:pPr>
      <w:r w:rsidRPr="00D85F1D">
        <w:rPr>
          <w:rFonts w:cs="Times New Roman"/>
          <w:szCs w:val="24"/>
        </w:rPr>
        <w:t xml:space="preserve">Schéma štátnej pomoci na podporu vzdelávania a pomoci na prijímanie do zamestnania a zamestnávanie znevýhodnených zamestnancov a zamestnancov so zdravotným postihnutím v znení dodatku č. 2 - </w:t>
      </w:r>
      <w:r w:rsidRPr="00D85F1D">
        <w:rPr>
          <w:rFonts w:cs="Times New Roman"/>
          <w:b/>
          <w:szCs w:val="24"/>
        </w:rPr>
        <w:t>SA. 101576</w:t>
      </w:r>
      <w:r w:rsidR="006257F7">
        <w:rPr>
          <w:rFonts w:cs="Times New Roman"/>
          <w:szCs w:val="24"/>
        </w:rPr>
        <w:t>, na základe ktorej</w:t>
      </w:r>
      <w:r w:rsidRPr="00D85F1D">
        <w:rPr>
          <w:rFonts w:cs="Times New Roman"/>
          <w:szCs w:val="24"/>
        </w:rPr>
        <w:t xml:space="preserve"> bola v roku 202</w:t>
      </w:r>
      <w:r w:rsidR="006257F7">
        <w:rPr>
          <w:rFonts w:cs="Times New Roman"/>
          <w:szCs w:val="24"/>
        </w:rPr>
        <w:t>3</w:t>
      </w:r>
      <w:r w:rsidRPr="00D85F1D">
        <w:rPr>
          <w:rFonts w:cs="Times New Roman"/>
          <w:szCs w:val="24"/>
        </w:rPr>
        <w:t xml:space="preserve"> poskytnutá </w:t>
      </w:r>
      <w:r w:rsidR="006257F7" w:rsidRPr="00D85F1D">
        <w:rPr>
          <w:rFonts w:cs="Times New Roman"/>
          <w:szCs w:val="24"/>
        </w:rPr>
        <w:t xml:space="preserve">pomoc </w:t>
      </w:r>
      <w:r w:rsidRPr="00D85F1D">
        <w:rPr>
          <w:rFonts w:cs="Times New Roman"/>
          <w:szCs w:val="24"/>
        </w:rPr>
        <w:t xml:space="preserve">súhrnne v celkovej výške </w:t>
      </w:r>
      <w:r w:rsidRPr="00D85F1D">
        <w:rPr>
          <w:rFonts w:cs="Times New Roman"/>
          <w:b/>
          <w:szCs w:val="24"/>
        </w:rPr>
        <w:t xml:space="preserve">29,41 mil. </w:t>
      </w:r>
      <w:r w:rsidR="00AC5AC2">
        <w:rPr>
          <w:rFonts w:cs="Times New Roman"/>
          <w:b/>
          <w:szCs w:val="24"/>
        </w:rPr>
        <w:t>eur</w:t>
      </w:r>
      <w:r w:rsidR="006257F7">
        <w:rPr>
          <w:rFonts w:cs="Times New Roman"/>
          <w:szCs w:val="24"/>
        </w:rPr>
        <w:t xml:space="preserve">, </w:t>
      </w:r>
      <w:r w:rsidRPr="00D85F1D">
        <w:rPr>
          <w:rFonts w:cs="Times New Roman"/>
          <w:szCs w:val="24"/>
        </w:rPr>
        <w:t xml:space="preserve">pre </w:t>
      </w:r>
      <w:r w:rsidRPr="00D85F1D">
        <w:rPr>
          <w:rFonts w:cs="Times New Roman"/>
          <w:b/>
          <w:szCs w:val="24"/>
        </w:rPr>
        <w:t xml:space="preserve">392 </w:t>
      </w:r>
      <w:r w:rsidRPr="00D85F1D">
        <w:rPr>
          <w:rFonts w:cs="Times New Roman"/>
          <w:szCs w:val="24"/>
        </w:rPr>
        <w:t>oprávnených prijímateľov.</w:t>
      </w:r>
    </w:p>
    <w:p w14:paraId="3C5051AC" w14:textId="36336263" w:rsidR="00871DDB" w:rsidRPr="00D85F1D" w:rsidRDefault="00871DDB" w:rsidP="006C526F">
      <w:pPr>
        <w:pStyle w:val="Odsekzoznamu"/>
        <w:numPr>
          <w:ilvl w:val="0"/>
          <w:numId w:val="13"/>
        </w:numPr>
        <w:spacing w:before="0" w:after="120"/>
        <w:ind w:left="284" w:hanging="284"/>
        <w:contextualSpacing/>
        <w:rPr>
          <w:rFonts w:cs="Times New Roman"/>
          <w:szCs w:val="24"/>
        </w:rPr>
      </w:pPr>
      <w:r w:rsidRPr="00D85F1D">
        <w:rPr>
          <w:rFonts w:cs="Times New Roman"/>
          <w:szCs w:val="24"/>
        </w:rPr>
        <w:t xml:space="preserve">Schéma štátnej pomoci na podporu vzdelávania a pomoci na prijímanie do zamestnania a zamestnávanie znevýhodnených zamestnancov a zamestnancov so zdravotným postihnutím v znení dodatku č. 3 - </w:t>
      </w:r>
      <w:r w:rsidRPr="00D85F1D">
        <w:rPr>
          <w:rFonts w:cs="Times New Roman"/>
          <w:b/>
          <w:szCs w:val="24"/>
        </w:rPr>
        <w:t>SA. 107348</w:t>
      </w:r>
      <w:r w:rsidRPr="00D85F1D">
        <w:rPr>
          <w:rFonts w:cs="Times New Roman"/>
          <w:szCs w:val="24"/>
        </w:rPr>
        <w:t xml:space="preserve">, </w:t>
      </w:r>
      <w:r w:rsidR="006257F7">
        <w:rPr>
          <w:rFonts w:cs="Times New Roman"/>
          <w:szCs w:val="24"/>
        </w:rPr>
        <w:t>podľa ktorej</w:t>
      </w:r>
      <w:r w:rsidRPr="00D85F1D">
        <w:rPr>
          <w:rFonts w:cs="Times New Roman"/>
          <w:szCs w:val="24"/>
        </w:rPr>
        <w:t xml:space="preserve"> bola v roku 2023 poskytnutá </w:t>
      </w:r>
      <w:r w:rsidR="006257F7" w:rsidRPr="00D85F1D">
        <w:rPr>
          <w:rFonts w:cs="Times New Roman"/>
          <w:szCs w:val="24"/>
        </w:rPr>
        <w:t xml:space="preserve">pomoc </w:t>
      </w:r>
      <w:r w:rsidRPr="00D85F1D">
        <w:rPr>
          <w:rFonts w:cs="Times New Roman"/>
          <w:szCs w:val="24"/>
        </w:rPr>
        <w:t xml:space="preserve">súhrnne v celkovej výške </w:t>
      </w:r>
      <w:r w:rsidRPr="00D85F1D">
        <w:rPr>
          <w:rFonts w:cs="Times New Roman"/>
          <w:b/>
          <w:szCs w:val="24"/>
        </w:rPr>
        <w:t xml:space="preserve">43,77 mil. </w:t>
      </w:r>
      <w:r w:rsidR="00AC5AC2">
        <w:rPr>
          <w:rFonts w:cs="Times New Roman"/>
          <w:b/>
          <w:szCs w:val="24"/>
        </w:rPr>
        <w:t>eur</w:t>
      </w:r>
      <w:r w:rsidR="006257F7">
        <w:rPr>
          <w:rFonts w:cs="Times New Roman"/>
          <w:b/>
          <w:szCs w:val="24"/>
        </w:rPr>
        <w:t>,</w:t>
      </w:r>
      <w:r w:rsidRPr="00D85F1D">
        <w:rPr>
          <w:rFonts w:cs="Times New Roman"/>
          <w:szCs w:val="24"/>
        </w:rPr>
        <w:t xml:space="preserve"> pre </w:t>
      </w:r>
      <w:r w:rsidRPr="00D85F1D">
        <w:rPr>
          <w:rFonts w:cs="Times New Roman"/>
          <w:b/>
          <w:szCs w:val="24"/>
        </w:rPr>
        <w:t xml:space="preserve">358 </w:t>
      </w:r>
      <w:r w:rsidRPr="00D85F1D">
        <w:rPr>
          <w:rFonts w:cs="Times New Roman"/>
          <w:szCs w:val="24"/>
        </w:rPr>
        <w:t>oprávnených prijímateľov.</w:t>
      </w:r>
    </w:p>
    <w:p w14:paraId="705A03A8" w14:textId="282BE072" w:rsidR="00871DDB" w:rsidRPr="00D85F1D" w:rsidRDefault="00871DDB" w:rsidP="006C526F">
      <w:pPr>
        <w:pStyle w:val="Odsekzoznamu"/>
        <w:numPr>
          <w:ilvl w:val="0"/>
          <w:numId w:val="13"/>
        </w:numPr>
        <w:spacing w:before="0" w:after="120"/>
        <w:ind w:left="284" w:hanging="284"/>
        <w:contextualSpacing/>
        <w:rPr>
          <w:rFonts w:cs="Times New Roman"/>
          <w:szCs w:val="24"/>
        </w:rPr>
      </w:pPr>
      <w:r w:rsidRPr="00D85F1D">
        <w:rPr>
          <w:rFonts w:cs="Times New Roman"/>
          <w:szCs w:val="24"/>
        </w:rPr>
        <w:t xml:space="preserve">Schéma štátnej pomoci na podporu vzdelávania a pomoci na prijímanie do zamestnania a zamestnávanie znevýhodnených zamestnancov a zamestnancov so zdravotným postihnutím v znení dodatku č. 4 - </w:t>
      </w:r>
      <w:r w:rsidRPr="00D85F1D">
        <w:rPr>
          <w:rFonts w:cs="Times New Roman"/>
          <w:b/>
          <w:szCs w:val="24"/>
        </w:rPr>
        <w:t>SA. 110863</w:t>
      </w:r>
      <w:r w:rsidRPr="00D85F1D">
        <w:rPr>
          <w:rFonts w:cs="Times New Roman"/>
          <w:szCs w:val="24"/>
        </w:rPr>
        <w:t xml:space="preserve">, </w:t>
      </w:r>
      <w:r w:rsidR="006257F7">
        <w:rPr>
          <w:rFonts w:cs="Times New Roman"/>
          <w:szCs w:val="24"/>
        </w:rPr>
        <w:t>v zmysle ktorej</w:t>
      </w:r>
      <w:r w:rsidRPr="00D85F1D">
        <w:rPr>
          <w:rFonts w:cs="Times New Roman"/>
          <w:szCs w:val="24"/>
        </w:rPr>
        <w:t xml:space="preserve"> bola v roku 2023 poskytnutá </w:t>
      </w:r>
      <w:r w:rsidR="006257F7" w:rsidRPr="00D85F1D">
        <w:rPr>
          <w:rFonts w:cs="Times New Roman"/>
          <w:szCs w:val="24"/>
        </w:rPr>
        <w:t xml:space="preserve">pomoc </w:t>
      </w:r>
      <w:r w:rsidRPr="00D85F1D">
        <w:rPr>
          <w:rFonts w:cs="Times New Roman"/>
          <w:szCs w:val="24"/>
        </w:rPr>
        <w:t xml:space="preserve">súhrnne v celkovej výške </w:t>
      </w:r>
      <w:r w:rsidRPr="00D85F1D">
        <w:rPr>
          <w:rFonts w:cs="Times New Roman"/>
          <w:b/>
          <w:szCs w:val="24"/>
        </w:rPr>
        <w:t xml:space="preserve">0,7 mil. </w:t>
      </w:r>
      <w:r w:rsidR="00AC5AC2">
        <w:rPr>
          <w:rFonts w:cs="Times New Roman"/>
          <w:b/>
          <w:szCs w:val="24"/>
        </w:rPr>
        <w:t>eur</w:t>
      </w:r>
      <w:r w:rsidR="006257F7" w:rsidRPr="006257F7">
        <w:rPr>
          <w:rFonts w:cs="Times New Roman"/>
          <w:szCs w:val="24"/>
        </w:rPr>
        <w:t>,</w:t>
      </w:r>
      <w:r w:rsidRPr="00D85F1D">
        <w:rPr>
          <w:rFonts w:cs="Times New Roman"/>
          <w:szCs w:val="24"/>
        </w:rPr>
        <w:t xml:space="preserve"> pre </w:t>
      </w:r>
      <w:r w:rsidRPr="00D85F1D">
        <w:rPr>
          <w:rFonts w:cs="Times New Roman"/>
          <w:b/>
          <w:szCs w:val="24"/>
        </w:rPr>
        <w:t xml:space="preserve">67 </w:t>
      </w:r>
      <w:r w:rsidRPr="00D85F1D">
        <w:rPr>
          <w:rFonts w:cs="Times New Roman"/>
          <w:szCs w:val="24"/>
        </w:rPr>
        <w:t>oprávnených prijímateľov</w:t>
      </w:r>
      <w:r w:rsidR="006257F7">
        <w:rPr>
          <w:rFonts w:cs="Times New Roman"/>
          <w:szCs w:val="24"/>
        </w:rPr>
        <w:t>.</w:t>
      </w:r>
    </w:p>
    <w:p w14:paraId="484B2B82" w14:textId="2DBB6C42" w:rsidR="00871DDB" w:rsidRDefault="00871DDB" w:rsidP="00871DDB">
      <w:pPr>
        <w:spacing w:after="120"/>
      </w:pPr>
      <w:r w:rsidRPr="00D85F1D">
        <w:t xml:space="preserve">Kým štátna pomoc na podporu zamestnanosti v roku 2022 predstavovala v úhrne čiastku </w:t>
      </w:r>
      <w:r w:rsidRPr="00D85F1D">
        <w:rPr>
          <w:b/>
        </w:rPr>
        <w:t xml:space="preserve">70,62 mil. </w:t>
      </w:r>
      <w:r w:rsidR="00AC5AC2">
        <w:rPr>
          <w:b/>
        </w:rPr>
        <w:t>eur</w:t>
      </w:r>
      <w:r w:rsidR="006257F7">
        <w:t>, jej z</w:t>
      </w:r>
      <w:r w:rsidRPr="00D85F1D">
        <w:t xml:space="preserve">výšenie </w:t>
      </w:r>
      <w:r w:rsidR="006257F7">
        <w:t>o</w:t>
      </w:r>
      <w:r w:rsidRPr="00D85F1D">
        <w:rPr>
          <w:b/>
        </w:rPr>
        <w:t xml:space="preserve"> 3,26 mil. </w:t>
      </w:r>
      <w:r w:rsidR="00AC5AC2">
        <w:rPr>
          <w:b/>
        </w:rPr>
        <w:t>eur</w:t>
      </w:r>
      <w:r w:rsidRPr="00D85F1D">
        <w:t xml:space="preserve"> v roku 2023 predstavuje </w:t>
      </w:r>
      <w:r w:rsidRPr="00D85F1D">
        <w:rPr>
          <w:b/>
        </w:rPr>
        <w:t>nárast o 4,41 %</w:t>
      </w:r>
      <w:r w:rsidRPr="00D85F1D">
        <w:t xml:space="preserve">. </w:t>
      </w:r>
    </w:p>
    <w:tbl>
      <w:tblPr>
        <w:tblW w:w="9263" w:type="dxa"/>
        <w:tblInd w:w="-15" w:type="dxa"/>
        <w:tblLayout w:type="fixed"/>
        <w:tblCellMar>
          <w:left w:w="70" w:type="dxa"/>
          <w:right w:w="70" w:type="dxa"/>
        </w:tblCellMar>
        <w:tblLook w:val="04A0" w:firstRow="1" w:lastRow="0" w:firstColumn="1" w:lastColumn="0" w:noHBand="0" w:noVBand="1"/>
      </w:tblPr>
      <w:tblGrid>
        <w:gridCol w:w="1588"/>
        <w:gridCol w:w="355"/>
        <w:gridCol w:w="1155"/>
        <w:gridCol w:w="1020"/>
        <w:gridCol w:w="10"/>
        <w:gridCol w:w="1848"/>
        <w:gridCol w:w="11"/>
        <w:gridCol w:w="988"/>
        <w:gridCol w:w="11"/>
        <w:gridCol w:w="1118"/>
        <w:gridCol w:w="11"/>
        <w:gridCol w:w="1148"/>
      </w:tblGrid>
      <w:tr w:rsidR="00871DDB" w:rsidRPr="00AC5AC2" w14:paraId="42410EB7" w14:textId="77777777" w:rsidTr="00FD21F1">
        <w:trPr>
          <w:trHeight w:val="281"/>
        </w:trPr>
        <w:tc>
          <w:tcPr>
            <w:tcW w:w="1588" w:type="dxa"/>
            <w:vMerge w:val="restart"/>
            <w:tcBorders>
              <w:top w:val="single" w:sz="12" w:space="0" w:color="auto"/>
              <w:left w:val="single" w:sz="12" w:space="0" w:color="auto"/>
              <w:bottom w:val="nil"/>
              <w:right w:val="double" w:sz="2" w:space="0" w:color="auto"/>
            </w:tcBorders>
            <w:vAlign w:val="center"/>
            <w:hideMark/>
          </w:tcPr>
          <w:p w14:paraId="2874DCC6" w14:textId="276E753F" w:rsidR="00871DDB" w:rsidRPr="00AC5AC2" w:rsidRDefault="006257F7" w:rsidP="00D67D09">
            <w:pPr>
              <w:spacing w:after="0"/>
              <w:jc w:val="left"/>
              <w:rPr>
                <w:rFonts w:asciiTheme="minorHAnsi" w:hAnsiTheme="minorHAnsi" w:cstheme="minorHAnsi"/>
                <w:b/>
                <w:sz w:val="18"/>
                <w:szCs w:val="18"/>
              </w:rPr>
            </w:pPr>
            <w:r w:rsidRPr="00AC5AC2">
              <w:rPr>
                <w:rFonts w:asciiTheme="minorHAnsi" w:hAnsiTheme="minorHAnsi" w:cstheme="minorHAnsi"/>
                <w:b/>
                <w:sz w:val="18"/>
                <w:szCs w:val="18"/>
              </w:rPr>
              <w:t>Pomoc p</w:t>
            </w:r>
            <w:r w:rsidR="00871DDB" w:rsidRPr="00AC5AC2">
              <w:rPr>
                <w:rFonts w:asciiTheme="minorHAnsi" w:hAnsiTheme="minorHAnsi" w:cstheme="minorHAnsi"/>
                <w:b/>
                <w:sz w:val="18"/>
                <w:szCs w:val="18"/>
              </w:rPr>
              <w:t>oskytnutá v zmysle čl. 22, 32</w:t>
            </w:r>
            <w:r w:rsidRPr="00AC5AC2">
              <w:rPr>
                <w:rFonts w:asciiTheme="minorHAnsi" w:hAnsiTheme="minorHAnsi" w:cstheme="minorHAnsi"/>
                <w:b/>
                <w:sz w:val="18"/>
                <w:szCs w:val="18"/>
              </w:rPr>
              <w:t xml:space="preserve"> </w:t>
            </w:r>
            <w:r w:rsidR="00871DDB" w:rsidRPr="00AC5AC2">
              <w:rPr>
                <w:rFonts w:asciiTheme="minorHAnsi" w:hAnsiTheme="minorHAnsi" w:cstheme="minorHAnsi"/>
                <w:b/>
                <w:sz w:val="18"/>
                <w:szCs w:val="18"/>
              </w:rPr>
              <w:t>-</w:t>
            </w:r>
            <w:r w:rsidRPr="00AC5AC2">
              <w:rPr>
                <w:rFonts w:asciiTheme="minorHAnsi" w:hAnsiTheme="minorHAnsi" w:cstheme="minorHAnsi"/>
                <w:b/>
                <w:sz w:val="18"/>
                <w:szCs w:val="18"/>
              </w:rPr>
              <w:t xml:space="preserve"> </w:t>
            </w:r>
            <w:r w:rsidR="00871DDB" w:rsidRPr="00AC5AC2">
              <w:rPr>
                <w:rFonts w:asciiTheme="minorHAnsi" w:hAnsiTheme="minorHAnsi" w:cstheme="minorHAnsi"/>
                <w:b/>
                <w:sz w:val="18"/>
                <w:szCs w:val="18"/>
              </w:rPr>
              <w:t>3</w:t>
            </w:r>
            <w:r w:rsidRPr="00AC5AC2">
              <w:rPr>
                <w:rFonts w:asciiTheme="minorHAnsi" w:hAnsiTheme="minorHAnsi" w:cstheme="minorHAnsi"/>
                <w:b/>
                <w:sz w:val="18"/>
                <w:szCs w:val="18"/>
              </w:rPr>
              <w:t>5  nariadenia Komisie (EÚ)</w:t>
            </w:r>
            <w:r w:rsidR="00871DDB" w:rsidRPr="00AC5AC2">
              <w:rPr>
                <w:rFonts w:asciiTheme="minorHAnsi" w:hAnsiTheme="minorHAnsi" w:cstheme="minorHAnsi"/>
                <w:b/>
                <w:sz w:val="18"/>
                <w:szCs w:val="18"/>
              </w:rPr>
              <w:t xml:space="preserve"> č. 651/2014</w:t>
            </w:r>
          </w:p>
        </w:tc>
        <w:tc>
          <w:tcPr>
            <w:tcW w:w="4399" w:type="dxa"/>
            <w:gridSpan w:val="6"/>
            <w:tcBorders>
              <w:top w:val="single" w:sz="12" w:space="0" w:color="auto"/>
              <w:left w:val="double" w:sz="2" w:space="0" w:color="auto"/>
              <w:bottom w:val="nil"/>
              <w:right w:val="single" w:sz="4" w:space="0" w:color="auto"/>
            </w:tcBorders>
            <w:vAlign w:val="center"/>
            <w:hideMark/>
          </w:tcPr>
          <w:p w14:paraId="26466D80" w14:textId="2D357A8A"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b/>
                <w:sz w:val="18"/>
                <w:szCs w:val="18"/>
              </w:rPr>
              <w:t xml:space="preserve">Podľa typu podniku  </w:t>
            </w:r>
            <w:r w:rsidRPr="00AC5AC2">
              <w:rPr>
                <w:rFonts w:asciiTheme="minorHAnsi" w:hAnsiTheme="minorHAnsi" w:cstheme="minorHAnsi"/>
                <w:sz w:val="18"/>
                <w:szCs w:val="18"/>
              </w:rPr>
              <w:t xml:space="preserve">(v mil. </w:t>
            </w:r>
            <w:r w:rsidR="00AC5AC2" w:rsidRPr="00AC5AC2">
              <w:rPr>
                <w:rFonts w:asciiTheme="minorHAnsi" w:hAnsiTheme="minorHAnsi" w:cstheme="minorHAnsi"/>
                <w:sz w:val="18"/>
                <w:szCs w:val="18"/>
              </w:rPr>
              <w:t>eur</w:t>
            </w:r>
            <w:r w:rsidRPr="00AC5AC2">
              <w:rPr>
                <w:rFonts w:asciiTheme="minorHAnsi" w:hAnsiTheme="minorHAnsi" w:cstheme="minorHAnsi"/>
                <w:sz w:val="18"/>
                <w:szCs w:val="18"/>
              </w:rPr>
              <w:t>)</w:t>
            </w:r>
          </w:p>
        </w:tc>
        <w:tc>
          <w:tcPr>
            <w:tcW w:w="999" w:type="dxa"/>
            <w:gridSpan w:val="2"/>
            <w:tcBorders>
              <w:top w:val="single" w:sz="12" w:space="0" w:color="auto"/>
              <w:left w:val="single" w:sz="4" w:space="0" w:color="auto"/>
              <w:bottom w:val="nil"/>
              <w:right w:val="single" w:sz="4" w:space="0" w:color="auto"/>
            </w:tcBorders>
            <w:vAlign w:val="center"/>
            <w:hideMark/>
          </w:tcPr>
          <w:p w14:paraId="76E38B9B" w14:textId="77777777" w:rsidR="00871DDB" w:rsidRPr="00AC5AC2" w:rsidRDefault="00871DDB"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Počet príjemcov</w:t>
            </w:r>
          </w:p>
        </w:tc>
        <w:tc>
          <w:tcPr>
            <w:tcW w:w="1129" w:type="dxa"/>
            <w:gridSpan w:val="2"/>
            <w:tcBorders>
              <w:top w:val="single" w:sz="12" w:space="0" w:color="auto"/>
              <w:left w:val="nil"/>
              <w:bottom w:val="nil"/>
              <w:right w:val="single" w:sz="4" w:space="0" w:color="auto"/>
            </w:tcBorders>
            <w:noWrap/>
            <w:vAlign w:val="center"/>
            <w:hideMark/>
          </w:tcPr>
          <w:p w14:paraId="126FBDC9" w14:textId="5DF84B9B" w:rsidR="00871DDB" w:rsidRPr="00AC5AC2" w:rsidRDefault="00871DDB"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73,88</w:t>
            </w:r>
          </w:p>
        </w:tc>
        <w:tc>
          <w:tcPr>
            <w:tcW w:w="1147" w:type="dxa"/>
            <w:tcBorders>
              <w:top w:val="single" w:sz="12" w:space="0" w:color="auto"/>
              <w:left w:val="nil"/>
              <w:bottom w:val="nil"/>
              <w:right w:val="single" w:sz="12" w:space="0" w:color="auto"/>
            </w:tcBorders>
            <w:noWrap/>
            <w:vAlign w:val="center"/>
            <w:hideMark/>
          </w:tcPr>
          <w:p w14:paraId="63D080E3" w14:textId="77777777" w:rsidR="00871DDB" w:rsidRPr="00AC5AC2" w:rsidRDefault="00871DDB"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podiel</w:t>
            </w:r>
          </w:p>
          <w:p w14:paraId="50ED7F7F" w14:textId="77777777" w:rsidR="00871DDB" w:rsidRPr="00AC5AC2" w:rsidRDefault="00871DDB" w:rsidP="00D67D09">
            <w:pPr>
              <w:spacing w:after="0"/>
              <w:ind w:hanging="6"/>
              <w:jc w:val="center"/>
              <w:rPr>
                <w:rFonts w:asciiTheme="minorHAnsi" w:hAnsiTheme="minorHAnsi" w:cstheme="minorHAnsi"/>
                <w:sz w:val="18"/>
                <w:szCs w:val="18"/>
              </w:rPr>
            </w:pPr>
            <w:r w:rsidRPr="00AC5AC2">
              <w:rPr>
                <w:rFonts w:asciiTheme="minorHAnsi" w:hAnsiTheme="minorHAnsi" w:cstheme="minorHAnsi"/>
                <w:sz w:val="18"/>
                <w:szCs w:val="18"/>
              </w:rPr>
              <w:t>(v %)</w:t>
            </w:r>
          </w:p>
        </w:tc>
      </w:tr>
      <w:tr w:rsidR="00D75B88" w:rsidRPr="00AC5AC2" w14:paraId="65C6864F"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54DE6BAE" w14:textId="77777777" w:rsidR="00871DDB" w:rsidRPr="00AC5AC2" w:rsidRDefault="00871DDB" w:rsidP="00D67D09">
            <w:pPr>
              <w:spacing w:after="0"/>
              <w:rPr>
                <w:rFonts w:asciiTheme="minorHAnsi" w:hAnsiTheme="minorHAnsi" w:cstheme="minorHAnsi"/>
                <w:sz w:val="18"/>
                <w:szCs w:val="18"/>
              </w:rPr>
            </w:pPr>
          </w:p>
        </w:tc>
        <w:tc>
          <w:tcPr>
            <w:tcW w:w="355" w:type="dxa"/>
            <w:vMerge w:val="restart"/>
            <w:tcBorders>
              <w:top w:val="single" w:sz="2" w:space="0" w:color="auto"/>
              <w:left w:val="double" w:sz="2" w:space="0" w:color="auto"/>
              <w:bottom w:val="single" w:sz="12" w:space="0" w:color="auto"/>
              <w:right w:val="single" w:sz="4" w:space="0" w:color="auto"/>
            </w:tcBorders>
            <w:textDirection w:val="btLr"/>
            <w:vAlign w:val="center"/>
            <w:hideMark/>
          </w:tcPr>
          <w:p w14:paraId="73D5CCF2" w14:textId="26C91295" w:rsidR="00871DDB" w:rsidRPr="00AC5AC2" w:rsidRDefault="00D75B88" w:rsidP="00D75B88">
            <w:pPr>
              <w:spacing w:after="0"/>
              <w:ind w:left="113" w:right="426"/>
              <w:jc w:val="center"/>
              <w:rPr>
                <w:rFonts w:asciiTheme="minorHAnsi" w:hAnsiTheme="minorHAnsi" w:cstheme="minorHAnsi"/>
                <w:sz w:val="18"/>
                <w:szCs w:val="18"/>
              </w:rPr>
            </w:pPr>
            <w:r w:rsidRPr="00D75B88">
              <w:rPr>
                <w:rFonts w:asciiTheme="minorHAnsi" w:hAnsiTheme="minorHAnsi" w:cstheme="minorHAnsi"/>
                <w:sz w:val="18"/>
                <w:szCs w:val="18"/>
              </w:rPr>
              <w:t>z toho</w:t>
            </w:r>
          </w:p>
        </w:tc>
        <w:tc>
          <w:tcPr>
            <w:tcW w:w="1155" w:type="dxa"/>
            <w:vMerge w:val="restart"/>
            <w:tcBorders>
              <w:top w:val="single" w:sz="8" w:space="0" w:color="auto"/>
              <w:left w:val="single" w:sz="4" w:space="0" w:color="auto"/>
              <w:bottom w:val="single" w:sz="4" w:space="0" w:color="auto"/>
              <w:right w:val="single" w:sz="4" w:space="0" w:color="auto"/>
            </w:tcBorders>
            <w:vAlign w:val="center"/>
            <w:hideMark/>
          </w:tcPr>
          <w:p w14:paraId="6C245ED7" w14:textId="61A99754" w:rsidR="00871DDB" w:rsidRPr="00AC5AC2" w:rsidRDefault="006257F7" w:rsidP="00D67D09">
            <w:pPr>
              <w:spacing w:after="0"/>
              <w:ind w:right="-56"/>
              <w:rPr>
                <w:rFonts w:asciiTheme="minorHAnsi" w:hAnsiTheme="minorHAnsi" w:cstheme="minorHAnsi"/>
                <w:sz w:val="18"/>
                <w:szCs w:val="18"/>
              </w:rPr>
            </w:pPr>
            <w:r w:rsidRPr="00AC5AC2">
              <w:rPr>
                <w:rFonts w:asciiTheme="minorHAnsi" w:hAnsiTheme="minorHAnsi" w:cstheme="minorHAnsi"/>
                <w:sz w:val="18"/>
                <w:szCs w:val="18"/>
              </w:rPr>
              <w:t>MS</w:t>
            </w:r>
            <w:r w:rsidR="00871DDB" w:rsidRPr="00AC5AC2">
              <w:rPr>
                <w:rFonts w:asciiTheme="minorHAnsi" w:hAnsiTheme="minorHAnsi" w:cstheme="minorHAnsi"/>
                <w:sz w:val="18"/>
                <w:szCs w:val="18"/>
              </w:rPr>
              <w:t>P</w:t>
            </w:r>
          </w:p>
        </w:tc>
        <w:tc>
          <w:tcPr>
            <w:tcW w:w="2878" w:type="dxa"/>
            <w:gridSpan w:val="3"/>
            <w:tcBorders>
              <w:top w:val="single" w:sz="8" w:space="0" w:color="auto"/>
              <w:left w:val="single" w:sz="4" w:space="0" w:color="auto"/>
              <w:bottom w:val="single" w:sz="4" w:space="0" w:color="auto"/>
              <w:right w:val="single" w:sz="4" w:space="0" w:color="auto"/>
            </w:tcBorders>
            <w:vAlign w:val="center"/>
            <w:hideMark/>
          </w:tcPr>
          <w:p w14:paraId="4A5752EB"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Mikropodniky</w:t>
            </w:r>
          </w:p>
        </w:tc>
        <w:tc>
          <w:tcPr>
            <w:tcW w:w="999" w:type="dxa"/>
            <w:gridSpan w:val="2"/>
            <w:tcBorders>
              <w:top w:val="single" w:sz="8" w:space="0" w:color="auto"/>
              <w:left w:val="single" w:sz="4" w:space="0" w:color="auto"/>
              <w:bottom w:val="single" w:sz="4" w:space="0" w:color="auto"/>
              <w:right w:val="single" w:sz="4" w:space="0" w:color="auto"/>
            </w:tcBorders>
            <w:vAlign w:val="center"/>
            <w:hideMark/>
          </w:tcPr>
          <w:p w14:paraId="1314E21B"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473</w:t>
            </w:r>
          </w:p>
        </w:tc>
        <w:tc>
          <w:tcPr>
            <w:tcW w:w="1129" w:type="dxa"/>
            <w:gridSpan w:val="2"/>
            <w:tcBorders>
              <w:top w:val="single" w:sz="8" w:space="0" w:color="auto"/>
              <w:left w:val="nil"/>
              <w:bottom w:val="single" w:sz="4" w:space="0" w:color="auto"/>
              <w:right w:val="single" w:sz="4" w:space="0" w:color="auto"/>
            </w:tcBorders>
            <w:vAlign w:val="center"/>
            <w:hideMark/>
          </w:tcPr>
          <w:p w14:paraId="2332EC65" w14:textId="77777777" w:rsidR="00871DDB" w:rsidRPr="00AC5AC2" w:rsidRDefault="00871DDB" w:rsidP="00D67D09">
            <w:pPr>
              <w:spacing w:after="0"/>
              <w:jc w:val="center"/>
              <w:rPr>
                <w:rFonts w:asciiTheme="minorHAnsi" w:hAnsiTheme="minorHAnsi" w:cstheme="minorHAnsi"/>
                <w:bCs/>
                <w:sz w:val="18"/>
                <w:szCs w:val="18"/>
              </w:rPr>
            </w:pPr>
            <w:r w:rsidRPr="00AC5AC2">
              <w:rPr>
                <w:rFonts w:asciiTheme="minorHAnsi" w:hAnsiTheme="minorHAnsi" w:cstheme="minorHAnsi"/>
                <w:bCs/>
                <w:sz w:val="18"/>
                <w:szCs w:val="18"/>
              </w:rPr>
              <w:t>27,75</w:t>
            </w:r>
          </w:p>
        </w:tc>
        <w:tc>
          <w:tcPr>
            <w:tcW w:w="1157" w:type="dxa"/>
            <w:gridSpan w:val="2"/>
            <w:tcBorders>
              <w:top w:val="single" w:sz="8" w:space="0" w:color="auto"/>
              <w:left w:val="nil"/>
              <w:bottom w:val="single" w:sz="4" w:space="0" w:color="auto"/>
              <w:right w:val="single" w:sz="12" w:space="0" w:color="auto"/>
            </w:tcBorders>
            <w:noWrap/>
            <w:vAlign w:val="center"/>
            <w:hideMark/>
          </w:tcPr>
          <w:p w14:paraId="73A39636"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37,56</w:t>
            </w:r>
          </w:p>
        </w:tc>
      </w:tr>
      <w:tr w:rsidR="00D75B88" w:rsidRPr="00AC5AC2" w14:paraId="4F3C5D58"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0C1B65BC"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12" w:space="0" w:color="auto"/>
              <w:right w:val="single" w:sz="4" w:space="0" w:color="auto"/>
            </w:tcBorders>
            <w:vAlign w:val="center"/>
            <w:hideMark/>
          </w:tcPr>
          <w:p w14:paraId="121A9964" w14:textId="77777777" w:rsidR="00871DDB" w:rsidRPr="00AC5AC2" w:rsidRDefault="00871DDB" w:rsidP="00D67D09">
            <w:pPr>
              <w:spacing w:after="0"/>
              <w:rPr>
                <w:rFonts w:asciiTheme="minorHAnsi" w:hAnsiTheme="minorHAnsi" w:cstheme="minorHAnsi"/>
                <w:sz w:val="18"/>
                <w:szCs w:val="18"/>
              </w:rPr>
            </w:pPr>
          </w:p>
        </w:tc>
        <w:tc>
          <w:tcPr>
            <w:tcW w:w="1155" w:type="dxa"/>
            <w:vMerge/>
            <w:tcBorders>
              <w:top w:val="single" w:sz="8" w:space="0" w:color="auto"/>
              <w:left w:val="single" w:sz="4" w:space="0" w:color="auto"/>
              <w:bottom w:val="single" w:sz="4" w:space="0" w:color="auto"/>
              <w:right w:val="single" w:sz="4" w:space="0" w:color="auto"/>
            </w:tcBorders>
            <w:vAlign w:val="center"/>
            <w:hideMark/>
          </w:tcPr>
          <w:p w14:paraId="217B5EBB" w14:textId="77777777" w:rsidR="00871DDB" w:rsidRPr="00AC5AC2" w:rsidRDefault="00871DDB" w:rsidP="00D67D09">
            <w:pPr>
              <w:spacing w:after="0"/>
              <w:rPr>
                <w:rFonts w:asciiTheme="minorHAnsi" w:hAnsiTheme="minorHAnsi" w:cstheme="minorHAnsi"/>
                <w:sz w:val="18"/>
                <w:szCs w:val="18"/>
              </w:rPr>
            </w:pPr>
          </w:p>
        </w:tc>
        <w:tc>
          <w:tcPr>
            <w:tcW w:w="2878" w:type="dxa"/>
            <w:gridSpan w:val="3"/>
            <w:tcBorders>
              <w:top w:val="single" w:sz="8" w:space="0" w:color="auto"/>
              <w:left w:val="single" w:sz="4" w:space="0" w:color="auto"/>
              <w:bottom w:val="single" w:sz="4" w:space="0" w:color="auto"/>
              <w:right w:val="single" w:sz="4" w:space="0" w:color="auto"/>
            </w:tcBorders>
            <w:vAlign w:val="center"/>
            <w:hideMark/>
          </w:tcPr>
          <w:p w14:paraId="14EDF7C4"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Malé podniky</w:t>
            </w:r>
          </w:p>
        </w:tc>
        <w:tc>
          <w:tcPr>
            <w:tcW w:w="999" w:type="dxa"/>
            <w:gridSpan w:val="2"/>
            <w:tcBorders>
              <w:top w:val="single" w:sz="8" w:space="0" w:color="auto"/>
              <w:left w:val="single" w:sz="4" w:space="0" w:color="auto"/>
              <w:bottom w:val="single" w:sz="4" w:space="0" w:color="auto"/>
              <w:right w:val="single" w:sz="4" w:space="0" w:color="auto"/>
            </w:tcBorders>
            <w:vAlign w:val="center"/>
            <w:hideMark/>
          </w:tcPr>
          <w:p w14:paraId="0846C6CA"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280</w:t>
            </w:r>
          </w:p>
        </w:tc>
        <w:tc>
          <w:tcPr>
            <w:tcW w:w="1129" w:type="dxa"/>
            <w:gridSpan w:val="2"/>
            <w:tcBorders>
              <w:top w:val="single" w:sz="8" w:space="0" w:color="auto"/>
              <w:left w:val="nil"/>
              <w:bottom w:val="single" w:sz="4" w:space="0" w:color="auto"/>
              <w:right w:val="single" w:sz="4" w:space="0" w:color="auto"/>
            </w:tcBorders>
            <w:vAlign w:val="center"/>
            <w:hideMark/>
          </w:tcPr>
          <w:p w14:paraId="1E44E9C8" w14:textId="77777777" w:rsidR="00871DDB" w:rsidRPr="00AC5AC2" w:rsidRDefault="00871DDB" w:rsidP="00D67D09">
            <w:pPr>
              <w:spacing w:after="0"/>
              <w:jc w:val="center"/>
              <w:rPr>
                <w:rFonts w:asciiTheme="minorHAnsi" w:hAnsiTheme="minorHAnsi" w:cstheme="minorHAnsi"/>
                <w:bCs/>
                <w:sz w:val="18"/>
                <w:szCs w:val="18"/>
              </w:rPr>
            </w:pPr>
            <w:r w:rsidRPr="00AC5AC2">
              <w:rPr>
                <w:rFonts w:asciiTheme="minorHAnsi" w:hAnsiTheme="minorHAnsi" w:cstheme="minorHAnsi"/>
                <w:bCs/>
                <w:sz w:val="18"/>
                <w:szCs w:val="18"/>
              </w:rPr>
              <w:t>31,39</w:t>
            </w:r>
          </w:p>
        </w:tc>
        <w:tc>
          <w:tcPr>
            <w:tcW w:w="1157" w:type="dxa"/>
            <w:gridSpan w:val="2"/>
            <w:tcBorders>
              <w:top w:val="single" w:sz="8" w:space="0" w:color="auto"/>
              <w:left w:val="nil"/>
              <w:bottom w:val="single" w:sz="4" w:space="0" w:color="auto"/>
              <w:right w:val="single" w:sz="12" w:space="0" w:color="auto"/>
            </w:tcBorders>
            <w:noWrap/>
            <w:vAlign w:val="center"/>
            <w:hideMark/>
          </w:tcPr>
          <w:p w14:paraId="54C9728D"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42,49</w:t>
            </w:r>
          </w:p>
        </w:tc>
      </w:tr>
      <w:tr w:rsidR="00D75B88" w:rsidRPr="00AC5AC2" w14:paraId="041C35AF"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59D5D5CE"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12" w:space="0" w:color="auto"/>
              <w:right w:val="single" w:sz="4" w:space="0" w:color="auto"/>
            </w:tcBorders>
            <w:vAlign w:val="center"/>
            <w:hideMark/>
          </w:tcPr>
          <w:p w14:paraId="7B781BB2" w14:textId="77777777" w:rsidR="00871DDB" w:rsidRPr="00AC5AC2" w:rsidRDefault="00871DDB" w:rsidP="00D67D09">
            <w:pPr>
              <w:spacing w:after="0"/>
              <w:rPr>
                <w:rFonts w:asciiTheme="minorHAnsi" w:hAnsiTheme="minorHAnsi" w:cstheme="minorHAnsi"/>
                <w:sz w:val="18"/>
                <w:szCs w:val="18"/>
              </w:rPr>
            </w:pPr>
          </w:p>
        </w:tc>
        <w:tc>
          <w:tcPr>
            <w:tcW w:w="1155" w:type="dxa"/>
            <w:vMerge/>
            <w:tcBorders>
              <w:top w:val="single" w:sz="8" w:space="0" w:color="auto"/>
              <w:left w:val="single" w:sz="4" w:space="0" w:color="auto"/>
              <w:bottom w:val="single" w:sz="4" w:space="0" w:color="auto"/>
              <w:right w:val="single" w:sz="4" w:space="0" w:color="auto"/>
            </w:tcBorders>
            <w:vAlign w:val="center"/>
            <w:hideMark/>
          </w:tcPr>
          <w:p w14:paraId="49CB7007" w14:textId="77777777" w:rsidR="00871DDB" w:rsidRPr="00AC5AC2" w:rsidRDefault="00871DDB" w:rsidP="00D67D09">
            <w:pPr>
              <w:spacing w:after="0"/>
              <w:rPr>
                <w:rFonts w:asciiTheme="minorHAnsi" w:hAnsiTheme="minorHAnsi" w:cstheme="minorHAnsi"/>
                <w:sz w:val="18"/>
                <w:szCs w:val="18"/>
              </w:rPr>
            </w:pPr>
          </w:p>
        </w:tc>
        <w:tc>
          <w:tcPr>
            <w:tcW w:w="2878" w:type="dxa"/>
            <w:gridSpan w:val="3"/>
            <w:tcBorders>
              <w:top w:val="single" w:sz="8" w:space="0" w:color="auto"/>
              <w:left w:val="single" w:sz="4" w:space="0" w:color="auto"/>
              <w:bottom w:val="single" w:sz="4" w:space="0" w:color="auto"/>
              <w:right w:val="single" w:sz="4" w:space="0" w:color="auto"/>
            </w:tcBorders>
            <w:vAlign w:val="center"/>
            <w:hideMark/>
          </w:tcPr>
          <w:p w14:paraId="1C9599D5"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Stredné podniky</w:t>
            </w:r>
          </w:p>
        </w:tc>
        <w:tc>
          <w:tcPr>
            <w:tcW w:w="999" w:type="dxa"/>
            <w:gridSpan w:val="2"/>
            <w:tcBorders>
              <w:top w:val="single" w:sz="8" w:space="0" w:color="auto"/>
              <w:left w:val="single" w:sz="4" w:space="0" w:color="auto"/>
              <w:bottom w:val="single" w:sz="4" w:space="0" w:color="auto"/>
              <w:right w:val="single" w:sz="4" w:space="0" w:color="auto"/>
            </w:tcBorders>
            <w:vAlign w:val="center"/>
            <w:hideMark/>
          </w:tcPr>
          <w:p w14:paraId="323B3953"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24</w:t>
            </w:r>
          </w:p>
        </w:tc>
        <w:tc>
          <w:tcPr>
            <w:tcW w:w="1129" w:type="dxa"/>
            <w:gridSpan w:val="2"/>
            <w:tcBorders>
              <w:top w:val="single" w:sz="8" w:space="0" w:color="auto"/>
              <w:left w:val="nil"/>
              <w:bottom w:val="single" w:sz="4" w:space="0" w:color="auto"/>
              <w:right w:val="single" w:sz="4" w:space="0" w:color="auto"/>
            </w:tcBorders>
            <w:vAlign w:val="center"/>
            <w:hideMark/>
          </w:tcPr>
          <w:p w14:paraId="251300CB" w14:textId="77777777" w:rsidR="00871DDB" w:rsidRPr="00AC5AC2" w:rsidRDefault="00871DDB" w:rsidP="00D67D09">
            <w:pPr>
              <w:spacing w:after="0"/>
              <w:jc w:val="center"/>
              <w:rPr>
                <w:rFonts w:asciiTheme="minorHAnsi" w:hAnsiTheme="minorHAnsi" w:cstheme="minorHAnsi"/>
                <w:bCs/>
                <w:sz w:val="18"/>
                <w:szCs w:val="18"/>
              </w:rPr>
            </w:pPr>
            <w:r w:rsidRPr="00AC5AC2">
              <w:rPr>
                <w:rFonts w:asciiTheme="minorHAnsi" w:hAnsiTheme="minorHAnsi" w:cstheme="minorHAnsi"/>
                <w:bCs/>
                <w:sz w:val="18"/>
                <w:szCs w:val="18"/>
              </w:rPr>
              <w:t>11,39</w:t>
            </w:r>
          </w:p>
        </w:tc>
        <w:tc>
          <w:tcPr>
            <w:tcW w:w="1157" w:type="dxa"/>
            <w:gridSpan w:val="2"/>
            <w:tcBorders>
              <w:top w:val="single" w:sz="8" w:space="0" w:color="auto"/>
              <w:left w:val="nil"/>
              <w:bottom w:val="single" w:sz="4" w:space="0" w:color="auto"/>
              <w:right w:val="single" w:sz="12" w:space="0" w:color="auto"/>
            </w:tcBorders>
            <w:noWrap/>
            <w:vAlign w:val="center"/>
            <w:hideMark/>
          </w:tcPr>
          <w:p w14:paraId="651224D7"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15,42</w:t>
            </w:r>
          </w:p>
        </w:tc>
      </w:tr>
      <w:tr w:rsidR="00D75B88" w:rsidRPr="00AC5AC2" w14:paraId="2DD0D22F" w14:textId="77777777" w:rsidTr="00FD21F1">
        <w:trPr>
          <w:trHeight w:val="326"/>
        </w:trPr>
        <w:tc>
          <w:tcPr>
            <w:tcW w:w="1588" w:type="dxa"/>
            <w:vMerge/>
            <w:tcBorders>
              <w:top w:val="single" w:sz="12" w:space="0" w:color="auto"/>
              <w:left w:val="single" w:sz="12" w:space="0" w:color="auto"/>
              <w:bottom w:val="nil"/>
              <w:right w:val="double" w:sz="2" w:space="0" w:color="auto"/>
            </w:tcBorders>
            <w:vAlign w:val="center"/>
            <w:hideMark/>
          </w:tcPr>
          <w:p w14:paraId="49442B6D"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12" w:space="0" w:color="auto"/>
              <w:right w:val="single" w:sz="4" w:space="0" w:color="auto"/>
            </w:tcBorders>
            <w:vAlign w:val="center"/>
            <w:hideMark/>
          </w:tcPr>
          <w:p w14:paraId="5742DEEB" w14:textId="77777777" w:rsidR="00871DDB" w:rsidRPr="00AC5AC2" w:rsidRDefault="00871DDB" w:rsidP="00D67D09">
            <w:pPr>
              <w:spacing w:after="0"/>
              <w:rPr>
                <w:rFonts w:asciiTheme="minorHAnsi" w:hAnsiTheme="minorHAnsi" w:cstheme="minorHAnsi"/>
                <w:sz w:val="18"/>
                <w:szCs w:val="18"/>
              </w:rPr>
            </w:pPr>
          </w:p>
        </w:tc>
        <w:tc>
          <w:tcPr>
            <w:tcW w:w="4033" w:type="dxa"/>
            <w:gridSpan w:val="4"/>
            <w:tcBorders>
              <w:top w:val="single" w:sz="4" w:space="0" w:color="auto"/>
              <w:left w:val="single" w:sz="4" w:space="0" w:color="auto"/>
              <w:bottom w:val="single" w:sz="12" w:space="0" w:color="auto"/>
              <w:right w:val="single" w:sz="4" w:space="0" w:color="auto"/>
            </w:tcBorders>
            <w:vAlign w:val="center"/>
            <w:hideMark/>
          </w:tcPr>
          <w:p w14:paraId="3B6ED3E9"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Veľké podniky</w:t>
            </w:r>
          </w:p>
        </w:tc>
        <w:tc>
          <w:tcPr>
            <w:tcW w:w="999" w:type="dxa"/>
            <w:gridSpan w:val="2"/>
            <w:tcBorders>
              <w:top w:val="single" w:sz="4" w:space="0" w:color="auto"/>
              <w:left w:val="single" w:sz="4" w:space="0" w:color="auto"/>
              <w:bottom w:val="single" w:sz="12" w:space="0" w:color="auto"/>
              <w:right w:val="single" w:sz="4" w:space="0" w:color="auto"/>
            </w:tcBorders>
            <w:vAlign w:val="center"/>
            <w:hideMark/>
          </w:tcPr>
          <w:p w14:paraId="25C452C2"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40</w:t>
            </w:r>
          </w:p>
        </w:tc>
        <w:tc>
          <w:tcPr>
            <w:tcW w:w="1129" w:type="dxa"/>
            <w:gridSpan w:val="2"/>
            <w:tcBorders>
              <w:top w:val="single" w:sz="4" w:space="0" w:color="auto"/>
              <w:left w:val="nil"/>
              <w:bottom w:val="single" w:sz="12" w:space="0" w:color="auto"/>
              <w:right w:val="single" w:sz="4" w:space="0" w:color="auto"/>
            </w:tcBorders>
            <w:vAlign w:val="center"/>
            <w:hideMark/>
          </w:tcPr>
          <w:p w14:paraId="77A7B065" w14:textId="77777777" w:rsidR="00871DDB" w:rsidRPr="00AC5AC2" w:rsidRDefault="00871DDB" w:rsidP="00D67D09">
            <w:pPr>
              <w:spacing w:after="0"/>
              <w:jc w:val="center"/>
              <w:rPr>
                <w:rFonts w:asciiTheme="minorHAnsi" w:hAnsiTheme="minorHAnsi" w:cstheme="minorHAnsi"/>
                <w:bCs/>
                <w:sz w:val="18"/>
                <w:szCs w:val="18"/>
              </w:rPr>
            </w:pPr>
            <w:r w:rsidRPr="00AC5AC2">
              <w:rPr>
                <w:rFonts w:asciiTheme="minorHAnsi" w:hAnsiTheme="minorHAnsi" w:cstheme="minorHAnsi"/>
                <w:bCs/>
                <w:sz w:val="18"/>
                <w:szCs w:val="18"/>
              </w:rPr>
              <w:t>3,35</w:t>
            </w:r>
          </w:p>
        </w:tc>
        <w:tc>
          <w:tcPr>
            <w:tcW w:w="1157" w:type="dxa"/>
            <w:gridSpan w:val="2"/>
            <w:tcBorders>
              <w:top w:val="single" w:sz="8" w:space="0" w:color="auto"/>
              <w:left w:val="nil"/>
              <w:bottom w:val="single" w:sz="12" w:space="0" w:color="auto"/>
              <w:right w:val="single" w:sz="12" w:space="0" w:color="auto"/>
            </w:tcBorders>
            <w:noWrap/>
            <w:vAlign w:val="center"/>
            <w:hideMark/>
          </w:tcPr>
          <w:p w14:paraId="7726FD50"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4,53</w:t>
            </w:r>
          </w:p>
        </w:tc>
      </w:tr>
      <w:tr w:rsidR="00AC5AC2" w:rsidRPr="00AC5AC2" w14:paraId="026E7A31" w14:textId="77777777" w:rsidTr="00FD21F1">
        <w:trPr>
          <w:trHeight w:val="116"/>
        </w:trPr>
        <w:tc>
          <w:tcPr>
            <w:tcW w:w="1588" w:type="dxa"/>
            <w:vMerge/>
            <w:tcBorders>
              <w:top w:val="single" w:sz="12" w:space="0" w:color="auto"/>
              <w:left w:val="single" w:sz="12" w:space="0" w:color="auto"/>
              <w:bottom w:val="nil"/>
              <w:right w:val="double" w:sz="2" w:space="0" w:color="auto"/>
            </w:tcBorders>
            <w:vAlign w:val="center"/>
            <w:hideMark/>
          </w:tcPr>
          <w:p w14:paraId="3F1C331C" w14:textId="77777777" w:rsidR="00871DDB" w:rsidRPr="00AC5AC2" w:rsidRDefault="00871DDB" w:rsidP="00D67D09">
            <w:pPr>
              <w:spacing w:after="0"/>
              <w:rPr>
                <w:rFonts w:asciiTheme="minorHAnsi" w:hAnsiTheme="minorHAnsi" w:cstheme="minorHAnsi"/>
                <w:sz w:val="18"/>
                <w:szCs w:val="18"/>
              </w:rPr>
            </w:pPr>
          </w:p>
        </w:tc>
        <w:tc>
          <w:tcPr>
            <w:tcW w:w="2540" w:type="dxa"/>
            <w:gridSpan w:val="4"/>
            <w:tcBorders>
              <w:top w:val="single" w:sz="12" w:space="0" w:color="auto"/>
              <w:left w:val="double" w:sz="2" w:space="0" w:color="auto"/>
              <w:bottom w:val="single" w:sz="2" w:space="0" w:color="auto"/>
              <w:right w:val="single" w:sz="2" w:space="0" w:color="auto"/>
            </w:tcBorders>
            <w:vAlign w:val="center"/>
            <w:hideMark/>
          </w:tcPr>
          <w:p w14:paraId="37E19170" w14:textId="77777777" w:rsidR="00871DDB" w:rsidRPr="00AC5AC2" w:rsidRDefault="00871DDB"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Podľa NUTS II</w:t>
            </w:r>
          </w:p>
        </w:tc>
        <w:tc>
          <w:tcPr>
            <w:tcW w:w="1859" w:type="dxa"/>
            <w:gridSpan w:val="2"/>
            <w:tcBorders>
              <w:top w:val="single" w:sz="12" w:space="0" w:color="auto"/>
              <w:left w:val="single" w:sz="2" w:space="0" w:color="auto"/>
              <w:bottom w:val="single" w:sz="2" w:space="0" w:color="auto"/>
              <w:right w:val="single" w:sz="4" w:space="0" w:color="auto"/>
            </w:tcBorders>
            <w:vAlign w:val="center"/>
            <w:hideMark/>
          </w:tcPr>
          <w:p w14:paraId="63954E7A" w14:textId="77777777" w:rsidR="00871DDB" w:rsidRPr="00AC5AC2" w:rsidRDefault="00871DDB"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Podľa NUTS III</w:t>
            </w:r>
          </w:p>
        </w:tc>
        <w:tc>
          <w:tcPr>
            <w:tcW w:w="999" w:type="dxa"/>
            <w:gridSpan w:val="2"/>
            <w:tcBorders>
              <w:top w:val="single" w:sz="12" w:space="0" w:color="auto"/>
              <w:left w:val="single" w:sz="2" w:space="0" w:color="auto"/>
              <w:bottom w:val="single" w:sz="2" w:space="0" w:color="auto"/>
              <w:right w:val="single" w:sz="4" w:space="0" w:color="auto"/>
            </w:tcBorders>
            <w:vAlign w:val="center"/>
          </w:tcPr>
          <w:p w14:paraId="71F08186" w14:textId="77777777" w:rsidR="00871DDB" w:rsidRPr="00AC5AC2" w:rsidRDefault="00871DDB" w:rsidP="00D67D09">
            <w:pPr>
              <w:spacing w:after="0"/>
              <w:ind w:hanging="6"/>
              <w:jc w:val="center"/>
              <w:rPr>
                <w:rFonts w:asciiTheme="minorHAnsi" w:hAnsiTheme="minorHAnsi" w:cstheme="minorHAnsi"/>
                <w:b/>
                <w:sz w:val="18"/>
                <w:szCs w:val="18"/>
              </w:rPr>
            </w:pPr>
          </w:p>
        </w:tc>
        <w:tc>
          <w:tcPr>
            <w:tcW w:w="1129" w:type="dxa"/>
            <w:gridSpan w:val="2"/>
            <w:tcBorders>
              <w:top w:val="single" w:sz="12" w:space="0" w:color="auto"/>
              <w:left w:val="single" w:sz="2" w:space="0" w:color="auto"/>
              <w:bottom w:val="single" w:sz="2" w:space="0" w:color="auto"/>
              <w:right w:val="single" w:sz="4" w:space="0" w:color="auto"/>
            </w:tcBorders>
            <w:vAlign w:val="center"/>
            <w:hideMark/>
          </w:tcPr>
          <w:p w14:paraId="32A5DE67" w14:textId="77777777" w:rsidR="00871DDB" w:rsidRPr="00AC5AC2" w:rsidRDefault="00871DDB"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73,88</w:t>
            </w:r>
          </w:p>
        </w:tc>
        <w:tc>
          <w:tcPr>
            <w:tcW w:w="1147" w:type="dxa"/>
            <w:tcBorders>
              <w:top w:val="single" w:sz="12" w:space="0" w:color="auto"/>
              <w:left w:val="single" w:sz="4" w:space="0" w:color="auto"/>
              <w:bottom w:val="single" w:sz="2" w:space="0" w:color="auto"/>
              <w:right w:val="single" w:sz="12" w:space="0" w:color="auto"/>
            </w:tcBorders>
            <w:vAlign w:val="center"/>
            <w:hideMark/>
          </w:tcPr>
          <w:p w14:paraId="2051DE7A" w14:textId="77777777" w:rsidR="00871DDB" w:rsidRPr="00AC5AC2" w:rsidRDefault="00871DDB"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podiel</w:t>
            </w:r>
          </w:p>
          <w:p w14:paraId="7FD0A59D" w14:textId="77777777" w:rsidR="00871DDB" w:rsidRPr="00AC5AC2" w:rsidRDefault="00871DDB" w:rsidP="00D67D09">
            <w:pPr>
              <w:spacing w:after="0"/>
              <w:ind w:hanging="6"/>
              <w:jc w:val="center"/>
              <w:rPr>
                <w:rFonts w:asciiTheme="minorHAnsi" w:hAnsiTheme="minorHAnsi" w:cstheme="minorHAnsi"/>
                <w:sz w:val="18"/>
                <w:szCs w:val="18"/>
              </w:rPr>
            </w:pPr>
            <w:r w:rsidRPr="00AC5AC2">
              <w:rPr>
                <w:rFonts w:asciiTheme="minorHAnsi" w:hAnsiTheme="minorHAnsi" w:cstheme="minorHAnsi"/>
                <w:sz w:val="18"/>
                <w:szCs w:val="18"/>
              </w:rPr>
              <w:t>(v %)</w:t>
            </w:r>
          </w:p>
        </w:tc>
      </w:tr>
      <w:tr w:rsidR="00D75B88" w:rsidRPr="00AC5AC2" w14:paraId="724E1AE1" w14:textId="77777777" w:rsidTr="00FD21F1">
        <w:trPr>
          <w:trHeight w:hRule="exact" w:val="374"/>
        </w:trPr>
        <w:tc>
          <w:tcPr>
            <w:tcW w:w="1588" w:type="dxa"/>
            <w:vMerge/>
            <w:tcBorders>
              <w:top w:val="single" w:sz="12" w:space="0" w:color="auto"/>
              <w:left w:val="single" w:sz="12" w:space="0" w:color="auto"/>
              <w:bottom w:val="nil"/>
              <w:right w:val="double" w:sz="2" w:space="0" w:color="auto"/>
            </w:tcBorders>
            <w:vAlign w:val="center"/>
            <w:hideMark/>
          </w:tcPr>
          <w:p w14:paraId="63524A8B" w14:textId="77777777" w:rsidR="00871DDB" w:rsidRPr="00AC5AC2" w:rsidRDefault="00871DDB" w:rsidP="00D67D09">
            <w:pPr>
              <w:spacing w:after="0"/>
              <w:rPr>
                <w:rFonts w:asciiTheme="minorHAnsi" w:hAnsiTheme="minorHAnsi" w:cstheme="minorHAnsi"/>
                <w:sz w:val="18"/>
                <w:szCs w:val="18"/>
              </w:rPr>
            </w:pPr>
          </w:p>
        </w:tc>
        <w:tc>
          <w:tcPr>
            <w:tcW w:w="355" w:type="dxa"/>
            <w:vMerge w:val="restart"/>
            <w:tcBorders>
              <w:top w:val="single" w:sz="2" w:space="0" w:color="auto"/>
              <w:left w:val="double" w:sz="2" w:space="0" w:color="auto"/>
              <w:bottom w:val="single" w:sz="4" w:space="0" w:color="auto"/>
              <w:right w:val="single" w:sz="2" w:space="0" w:color="auto"/>
            </w:tcBorders>
            <w:textDirection w:val="btLr"/>
            <w:hideMark/>
          </w:tcPr>
          <w:p w14:paraId="67029ECC" w14:textId="77777777" w:rsidR="00871DDB" w:rsidRPr="00AC5AC2" w:rsidRDefault="00871DDB" w:rsidP="00D67D09">
            <w:pPr>
              <w:spacing w:after="0"/>
              <w:ind w:left="113" w:right="426"/>
              <w:jc w:val="center"/>
              <w:rPr>
                <w:rFonts w:asciiTheme="minorHAnsi" w:hAnsiTheme="minorHAnsi" w:cstheme="minorHAnsi"/>
                <w:sz w:val="18"/>
                <w:szCs w:val="18"/>
              </w:rPr>
            </w:pPr>
            <w:r w:rsidRPr="00AC5AC2">
              <w:rPr>
                <w:rFonts w:asciiTheme="minorHAnsi" w:hAnsiTheme="minorHAnsi" w:cstheme="minorHAnsi"/>
                <w:sz w:val="18"/>
                <w:szCs w:val="18"/>
              </w:rPr>
              <w:t>z toho</w:t>
            </w:r>
          </w:p>
        </w:tc>
        <w:tc>
          <w:tcPr>
            <w:tcW w:w="2175" w:type="dxa"/>
            <w:gridSpan w:val="2"/>
            <w:tcBorders>
              <w:top w:val="single" w:sz="2" w:space="0" w:color="auto"/>
              <w:left w:val="single" w:sz="2" w:space="0" w:color="auto"/>
              <w:bottom w:val="single" w:sz="2" w:space="0" w:color="auto"/>
              <w:right w:val="single" w:sz="2" w:space="0" w:color="auto"/>
            </w:tcBorders>
            <w:vAlign w:val="center"/>
            <w:hideMark/>
          </w:tcPr>
          <w:p w14:paraId="6A92E2F4" w14:textId="77777777" w:rsidR="00871DDB" w:rsidRPr="00AC5AC2" w:rsidRDefault="00871DDB"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Bratislavský kraj</w:t>
            </w:r>
          </w:p>
        </w:tc>
        <w:tc>
          <w:tcPr>
            <w:tcW w:w="1858" w:type="dxa"/>
            <w:gridSpan w:val="2"/>
            <w:tcBorders>
              <w:top w:val="single" w:sz="2" w:space="0" w:color="auto"/>
              <w:left w:val="single" w:sz="2" w:space="0" w:color="auto"/>
              <w:bottom w:val="single" w:sz="2" w:space="0" w:color="auto"/>
              <w:right w:val="single" w:sz="4" w:space="0" w:color="auto"/>
            </w:tcBorders>
            <w:vAlign w:val="center"/>
            <w:hideMark/>
          </w:tcPr>
          <w:p w14:paraId="2019AB98"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Bratislavský kraj</w:t>
            </w:r>
          </w:p>
        </w:tc>
        <w:tc>
          <w:tcPr>
            <w:tcW w:w="999" w:type="dxa"/>
            <w:gridSpan w:val="2"/>
            <w:tcBorders>
              <w:top w:val="single" w:sz="2" w:space="0" w:color="auto"/>
              <w:left w:val="single" w:sz="2" w:space="0" w:color="auto"/>
              <w:bottom w:val="single" w:sz="4" w:space="0" w:color="auto"/>
              <w:right w:val="single" w:sz="4" w:space="0" w:color="auto"/>
            </w:tcBorders>
            <w:vAlign w:val="center"/>
            <w:hideMark/>
          </w:tcPr>
          <w:p w14:paraId="13D8B0DA"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51</w:t>
            </w:r>
          </w:p>
        </w:tc>
        <w:tc>
          <w:tcPr>
            <w:tcW w:w="1129" w:type="dxa"/>
            <w:gridSpan w:val="2"/>
            <w:tcBorders>
              <w:top w:val="single" w:sz="2" w:space="0" w:color="auto"/>
              <w:left w:val="single" w:sz="2" w:space="0" w:color="auto"/>
              <w:bottom w:val="single" w:sz="2" w:space="0" w:color="auto"/>
              <w:right w:val="single" w:sz="4" w:space="0" w:color="auto"/>
            </w:tcBorders>
            <w:vAlign w:val="center"/>
            <w:hideMark/>
          </w:tcPr>
          <w:p w14:paraId="7B054B5F"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2,84</w:t>
            </w:r>
          </w:p>
        </w:tc>
        <w:tc>
          <w:tcPr>
            <w:tcW w:w="1157" w:type="dxa"/>
            <w:gridSpan w:val="2"/>
            <w:tcBorders>
              <w:top w:val="single" w:sz="2" w:space="0" w:color="auto"/>
              <w:left w:val="single" w:sz="4" w:space="0" w:color="auto"/>
              <w:bottom w:val="single" w:sz="2" w:space="0" w:color="auto"/>
              <w:right w:val="single" w:sz="12" w:space="0" w:color="auto"/>
            </w:tcBorders>
            <w:vAlign w:val="center"/>
            <w:hideMark/>
          </w:tcPr>
          <w:p w14:paraId="152973D9"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3,84</w:t>
            </w:r>
          </w:p>
        </w:tc>
      </w:tr>
      <w:tr w:rsidR="00D75B88" w:rsidRPr="00AC5AC2" w14:paraId="6FADD304"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396A1BC8"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36B88CD1"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60FEFA80" w14:textId="77777777" w:rsidR="00871DDB" w:rsidRPr="00AC5AC2" w:rsidRDefault="00871DDB"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Západné Slovensko</w:t>
            </w:r>
          </w:p>
        </w:tc>
        <w:tc>
          <w:tcPr>
            <w:tcW w:w="1858" w:type="dxa"/>
            <w:gridSpan w:val="2"/>
            <w:tcBorders>
              <w:top w:val="single" w:sz="2" w:space="0" w:color="auto"/>
              <w:left w:val="single" w:sz="2" w:space="0" w:color="auto"/>
              <w:bottom w:val="single" w:sz="4" w:space="0" w:color="auto"/>
              <w:right w:val="single" w:sz="4" w:space="0" w:color="auto"/>
            </w:tcBorders>
            <w:vAlign w:val="center"/>
            <w:hideMark/>
          </w:tcPr>
          <w:p w14:paraId="30DCF2C4" w14:textId="77777777" w:rsidR="00871DDB" w:rsidRPr="00AC5AC2" w:rsidRDefault="00871DDB" w:rsidP="00D67D09">
            <w:pPr>
              <w:spacing w:after="0"/>
              <w:rPr>
                <w:rFonts w:asciiTheme="minorHAnsi" w:hAnsiTheme="minorHAnsi" w:cstheme="minorHAnsi"/>
                <w:sz w:val="18"/>
                <w:szCs w:val="18"/>
              </w:rPr>
            </w:pPr>
            <w:r w:rsidRPr="00AC5AC2">
              <w:rPr>
                <w:rFonts w:asciiTheme="minorHAnsi" w:hAnsiTheme="minorHAnsi" w:cstheme="minorHAnsi"/>
                <w:sz w:val="18"/>
                <w:szCs w:val="18"/>
              </w:rPr>
              <w:t>Trnavský kraj</w:t>
            </w:r>
          </w:p>
        </w:tc>
        <w:tc>
          <w:tcPr>
            <w:tcW w:w="999" w:type="dxa"/>
            <w:gridSpan w:val="2"/>
            <w:tcBorders>
              <w:top w:val="single" w:sz="4" w:space="0" w:color="auto"/>
              <w:left w:val="single" w:sz="2" w:space="0" w:color="auto"/>
              <w:bottom w:val="single" w:sz="4" w:space="0" w:color="auto"/>
              <w:right w:val="single" w:sz="4" w:space="0" w:color="auto"/>
            </w:tcBorders>
            <w:vAlign w:val="center"/>
            <w:hideMark/>
          </w:tcPr>
          <w:p w14:paraId="275A231E"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68</w:t>
            </w:r>
          </w:p>
        </w:tc>
        <w:tc>
          <w:tcPr>
            <w:tcW w:w="1129" w:type="dxa"/>
            <w:gridSpan w:val="2"/>
            <w:tcBorders>
              <w:top w:val="single" w:sz="2" w:space="0" w:color="auto"/>
              <w:left w:val="single" w:sz="2" w:space="0" w:color="auto"/>
              <w:bottom w:val="single" w:sz="4" w:space="0" w:color="auto"/>
              <w:right w:val="single" w:sz="4" w:space="0" w:color="auto"/>
            </w:tcBorders>
            <w:vAlign w:val="center"/>
            <w:hideMark/>
          </w:tcPr>
          <w:p w14:paraId="48020E8A"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5,04</w:t>
            </w:r>
          </w:p>
        </w:tc>
        <w:tc>
          <w:tcPr>
            <w:tcW w:w="1157" w:type="dxa"/>
            <w:gridSpan w:val="2"/>
            <w:tcBorders>
              <w:top w:val="single" w:sz="2" w:space="0" w:color="auto"/>
              <w:left w:val="single" w:sz="4" w:space="0" w:color="auto"/>
              <w:bottom w:val="single" w:sz="4" w:space="0" w:color="auto"/>
              <w:right w:val="single" w:sz="12" w:space="0" w:color="auto"/>
            </w:tcBorders>
            <w:vAlign w:val="center"/>
            <w:hideMark/>
          </w:tcPr>
          <w:p w14:paraId="11F49968"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6,83</w:t>
            </w:r>
          </w:p>
        </w:tc>
      </w:tr>
      <w:tr w:rsidR="00D75B88" w:rsidRPr="00AC5AC2" w14:paraId="111B430F"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7A852F0B"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626ABD18"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tcBorders>
              <w:top w:val="single" w:sz="2" w:space="0" w:color="auto"/>
              <w:left w:val="single" w:sz="2" w:space="0" w:color="auto"/>
              <w:bottom w:val="single" w:sz="2" w:space="0" w:color="auto"/>
              <w:right w:val="single" w:sz="2" w:space="0" w:color="auto"/>
            </w:tcBorders>
            <w:vAlign w:val="center"/>
            <w:hideMark/>
          </w:tcPr>
          <w:p w14:paraId="33E5248D" w14:textId="77777777" w:rsidR="00871DDB" w:rsidRPr="00AC5AC2" w:rsidRDefault="00871DDB" w:rsidP="00D67D09">
            <w:pPr>
              <w:spacing w:after="0"/>
              <w:rPr>
                <w:rFonts w:asciiTheme="minorHAnsi" w:hAnsiTheme="minorHAnsi" w:cstheme="minorHAnsi"/>
                <w:b/>
                <w:sz w:val="18"/>
                <w:szCs w:val="18"/>
              </w:rPr>
            </w:pPr>
          </w:p>
        </w:tc>
        <w:tc>
          <w:tcPr>
            <w:tcW w:w="1858" w:type="dxa"/>
            <w:gridSpan w:val="2"/>
            <w:tcBorders>
              <w:top w:val="single" w:sz="4" w:space="0" w:color="auto"/>
              <w:left w:val="single" w:sz="2" w:space="0" w:color="auto"/>
              <w:bottom w:val="single" w:sz="4" w:space="0" w:color="auto"/>
              <w:right w:val="single" w:sz="4" w:space="0" w:color="auto"/>
            </w:tcBorders>
            <w:vAlign w:val="center"/>
            <w:hideMark/>
          </w:tcPr>
          <w:p w14:paraId="78B7FF19"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Trenčiansky kraj</w:t>
            </w:r>
          </w:p>
        </w:tc>
        <w:tc>
          <w:tcPr>
            <w:tcW w:w="999" w:type="dxa"/>
            <w:gridSpan w:val="2"/>
            <w:tcBorders>
              <w:top w:val="single" w:sz="4" w:space="0" w:color="auto"/>
              <w:left w:val="single" w:sz="2" w:space="0" w:color="auto"/>
              <w:bottom w:val="single" w:sz="4" w:space="0" w:color="auto"/>
              <w:right w:val="single" w:sz="4" w:space="0" w:color="auto"/>
            </w:tcBorders>
            <w:vAlign w:val="center"/>
            <w:hideMark/>
          </w:tcPr>
          <w:p w14:paraId="45C26608"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112</w:t>
            </w:r>
          </w:p>
        </w:tc>
        <w:tc>
          <w:tcPr>
            <w:tcW w:w="1129" w:type="dxa"/>
            <w:gridSpan w:val="2"/>
            <w:tcBorders>
              <w:top w:val="single" w:sz="4" w:space="0" w:color="auto"/>
              <w:left w:val="single" w:sz="2" w:space="0" w:color="auto"/>
              <w:bottom w:val="single" w:sz="4" w:space="0" w:color="auto"/>
              <w:right w:val="single" w:sz="4" w:space="0" w:color="auto"/>
            </w:tcBorders>
            <w:vAlign w:val="center"/>
            <w:hideMark/>
          </w:tcPr>
          <w:p w14:paraId="4DD115CD"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12,24</w:t>
            </w:r>
          </w:p>
        </w:tc>
        <w:tc>
          <w:tcPr>
            <w:tcW w:w="1157" w:type="dxa"/>
            <w:gridSpan w:val="2"/>
            <w:tcBorders>
              <w:top w:val="single" w:sz="4" w:space="0" w:color="auto"/>
              <w:left w:val="single" w:sz="4" w:space="0" w:color="auto"/>
              <w:bottom w:val="single" w:sz="4" w:space="0" w:color="auto"/>
              <w:right w:val="single" w:sz="12" w:space="0" w:color="auto"/>
            </w:tcBorders>
            <w:vAlign w:val="center"/>
            <w:hideMark/>
          </w:tcPr>
          <w:p w14:paraId="693E2B98"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16,56</w:t>
            </w:r>
          </w:p>
        </w:tc>
      </w:tr>
      <w:tr w:rsidR="00D75B88" w:rsidRPr="00AC5AC2" w14:paraId="1641EE0D"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5DE84BF2"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33B67747"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tcBorders>
              <w:top w:val="single" w:sz="2" w:space="0" w:color="auto"/>
              <w:left w:val="single" w:sz="2" w:space="0" w:color="auto"/>
              <w:bottom w:val="single" w:sz="2" w:space="0" w:color="auto"/>
              <w:right w:val="single" w:sz="2" w:space="0" w:color="auto"/>
            </w:tcBorders>
            <w:vAlign w:val="center"/>
            <w:hideMark/>
          </w:tcPr>
          <w:p w14:paraId="7A0ABC00" w14:textId="77777777" w:rsidR="00871DDB" w:rsidRPr="00AC5AC2" w:rsidRDefault="00871DDB" w:rsidP="00D67D09">
            <w:pPr>
              <w:spacing w:after="0"/>
              <w:rPr>
                <w:rFonts w:asciiTheme="minorHAnsi" w:hAnsiTheme="minorHAnsi" w:cstheme="minorHAnsi"/>
                <w:b/>
                <w:sz w:val="18"/>
                <w:szCs w:val="18"/>
              </w:rPr>
            </w:pPr>
          </w:p>
        </w:tc>
        <w:tc>
          <w:tcPr>
            <w:tcW w:w="1858" w:type="dxa"/>
            <w:gridSpan w:val="2"/>
            <w:tcBorders>
              <w:top w:val="single" w:sz="4" w:space="0" w:color="auto"/>
              <w:left w:val="single" w:sz="2" w:space="0" w:color="auto"/>
              <w:bottom w:val="single" w:sz="4" w:space="0" w:color="auto"/>
              <w:right w:val="single" w:sz="4" w:space="0" w:color="auto"/>
            </w:tcBorders>
            <w:vAlign w:val="center"/>
            <w:hideMark/>
          </w:tcPr>
          <w:p w14:paraId="08DB4AB5"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Nitriansky kraj</w:t>
            </w:r>
          </w:p>
        </w:tc>
        <w:tc>
          <w:tcPr>
            <w:tcW w:w="999" w:type="dxa"/>
            <w:gridSpan w:val="2"/>
            <w:tcBorders>
              <w:top w:val="single" w:sz="4" w:space="0" w:color="auto"/>
              <w:left w:val="single" w:sz="2" w:space="0" w:color="auto"/>
              <w:bottom w:val="single" w:sz="4" w:space="0" w:color="auto"/>
              <w:right w:val="single" w:sz="4" w:space="0" w:color="auto"/>
            </w:tcBorders>
            <w:vAlign w:val="center"/>
            <w:hideMark/>
          </w:tcPr>
          <w:p w14:paraId="5FCDBB39"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66</w:t>
            </w:r>
          </w:p>
        </w:tc>
        <w:tc>
          <w:tcPr>
            <w:tcW w:w="1129" w:type="dxa"/>
            <w:gridSpan w:val="2"/>
            <w:tcBorders>
              <w:top w:val="single" w:sz="4" w:space="0" w:color="auto"/>
              <w:left w:val="single" w:sz="2" w:space="0" w:color="auto"/>
              <w:bottom w:val="single" w:sz="2" w:space="0" w:color="auto"/>
              <w:right w:val="single" w:sz="4" w:space="0" w:color="auto"/>
            </w:tcBorders>
            <w:vAlign w:val="center"/>
            <w:hideMark/>
          </w:tcPr>
          <w:p w14:paraId="72945FC2"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3,93</w:t>
            </w:r>
          </w:p>
        </w:tc>
        <w:tc>
          <w:tcPr>
            <w:tcW w:w="1157" w:type="dxa"/>
            <w:gridSpan w:val="2"/>
            <w:tcBorders>
              <w:top w:val="single" w:sz="4" w:space="0" w:color="auto"/>
              <w:left w:val="single" w:sz="4" w:space="0" w:color="auto"/>
              <w:bottom w:val="single" w:sz="2" w:space="0" w:color="auto"/>
              <w:right w:val="single" w:sz="12" w:space="0" w:color="auto"/>
            </w:tcBorders>
            <w:vAlign w:val="center"/>
            <w:hideMark/>
          </w:tcPr>
          <w:p w14:paraId="412A7E74"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5,32</w:t>
            </w:r>
          </w:p>
        </w:tc>
      </w:tr>
      <w:tr w:rsidR="00D75B88" w:rsidRPr="00AC5AC2" w14:paraId="2C5C47F7"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7A562E41"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57396308"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val="restart"/>
            <w:tcBorders>
              <w:top w:val="single" w:sz="2" w:space="0" w:color="auto"/>
              <w:left w:val="single" w:sz="2" w:space="0" w:color="auto"/>
              <w:bottom w:val="single" w:sz="4" w:space="0" w:color="auto"/>
              <w:right w:val="single" w:sz="2" w:space="0" w:color="auto"/>
            </w:tcBorders>
            <w:vAlign w:val="center"/>
            <w:hideMark/>
          </w:tcPr>
          <w:p w14:paraId="4F9907A4" w14:textId="77777777" w:rsidR="00871DDB" w:rsidRPr="00AC5AC2" w:rsidRDefault="00871DDB"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Stredné Slovensko</w:t>
            </w:r>
          </w:p>
        </w:tc>
        <w:tc>
          <w:tcPr>
            <w:tcW w:w="1858" w:type="dxa"/>
            <w:gridSpan w:val="2"/>
            <w:tcBorders>
              <w:top w:val="single" w:sz="4" w:space="0" w:color="auto"/>
              <w:left w:val="single" w:sz="2" w:space="0" w:color="auto"/>
              <w:bottom w:val="single" w:sz="4" w:space="0" w:color="auto"/>
              <w:right w:val="single" w:sz="4" w:space="0" w:color="auto"/>
            </w:tcBorders>
            <w:vAlign w:val="center"/>
            <w:hideMark/>
          </w:tcPr>
          <w:p w14:paraId="3CC70156"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Žilinský kraj</w:t>
            </w:r>
          </w:p>
        </w:tc>
        <w:tc>
          <w:tcPr>
            <w:tcW w:w="999" w:type="dxa"/>
            <w:gridSpan w:val="2"/>
            <w:tcBorders>
              <w:top w:val="single" w:sz="4" w:space="0" w:color="auto"/>
              <w:left w:val="single" w:sz="2" w:space="0" w:color="auto"/>
              <w:bottom w:val="single" w:sz="4" w:space="0" w:color="auto"/>
              <w:right w:val="single" w:sz="4" w:space="0" w:color="auto"/>
            </w:tcBorders>
            <w:vAlign w:val="center"/>
            <w:hideMark/>
          </w:tcPr>
          <w:p w14:paraId="398B0327"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156</w:t>
            </w:r>
          </w:p>
        </w:tc>
        <w:tc>
          <w:tcPr>
            <w:tcW w:w="1129" w:type="dxa"/>
            <w:gridSpan w:val="2"/>
            <w:tcBorders>
              <w:top w:val="single" w:sz="2" w:space="0" w:color="auto"/>
              <w:left w:val="single" w:sz="2" w:space="0" w:color="auto"/>
              <w:bottom w:val="single" w:sz="4" w:space="0" w:color="auto"/>
              <w:right w:val="single" w:sz="4" w:space="0" w:color="auto"/>
            </w:tcBorders>
            <w:vAlign w:val="center"/>
            <w:hideMark/>
          </w:tcPr>
          <w:p w14:paraId="2504D0E0"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15,10</w:t>
            </w:r>
          </w:p>
        </w:tc>
        <w:tc>
          <w:tcPr>
            <w:tcW w:w="1157" w:type="dxa"/>
            <w:gridSpan w:val="2"/>
            <w:tcBorders>
              <w:top w:val="single" w:sz="2" w:space="0" w:color="auto"/>
              <w:left w:val="single" w:sz="4" w:space="0" w:color="auto"/>
              <w:bottom w:val="single" w:sz="4" w:space="0" w:color="auto"/>
              <w:right w:val="single" w:sz="12" w:space="0" w:color="auto"/>
            </w:tcBorders>
            <w:vAlign w:val="center"/>
            <w:hideMark/>
          </w:tcPr>
          <w:p w14:paraId="44CDF5D2"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20,44</w:t>
            </w:r>
          </w:p>
        </w:tc>
      </w:tr>
      <w:tr w:rsidR="00D75B88" w:rsidRPr="00AC5AC2" w14:paraId="78448472"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6B419DED"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4F548D13"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tcBorders>
              <w:top w:val="single" w:sz="2" w:space="0" w:color="auto"/>
              <w:left w:val="single" w:sz="2" w:space="0" w:color="auto"/>
              <w:bottom w:val="single" w:sz="4" w:space="0" w:color="auto"/>
              <w:right w:val="single" w:sz="2" w:space="0" w:color="auto"/>
            </w:tcBorders>
            <w:vAlign w:val="center"/>
            <w:hideMark/>
          </w:tcPr>
          <w:p w14:paraId="79B4F507" w14:textId="77777777" w:rsidR="00871DDB" w:rsidRPr="00AC5AC2" w:rsidRDefault="00871DDB" w:rsidP="00D67D09">
            <w:pPr>
              <w:spacing w:after="0"/>
              <w:rPr>
                <w:rFonts w:asciiTheme="minorHAnsi" w:hAnsiTheme="minorHAnsi" w:cstheme="minorHAnsi"/>
                <w:b/>
                <w:sz w:val="18"/>
                <w:szCs w:val="18"/>
              </w:rPr>
            </w:pPr>
          </w:p>
        </w:tc>
        <w:tc>
          <w:tcPr>
            <w:tcW w:w="1858" w:type="dxa"/>
            <w:gridSpan w:val="2"/>
            <w:tcBorders>
              <w:top w:val="single" w:sz="4" w:space="0" w:color="auto"/>
              <w:left w:val="single" w:sz="2" w:space="0" w:color="auto"/>
              <w:bottom w:val="single" w:sz="2" w:space="0" w:color="auto"/>
              <w:right w:val="single" w:sz="4" w:space="0" w:color="auto"/>
            </w:tcBorders>
            <w:vAlign w:val="center"/>
            <w:hideMark/>
          </w:tcPr>
          <w:p w14:paraId="2E2919A9"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Banskobystrický kraj</w:t>
            </w:r>
          </w:p>
        </w:tc>
        <w:tc>
          <w:tcPr>
            <w:tcW w:w="999" w:type="dxa"/>
            <w:gridSpan w:val="2"/>
            <w:tcBorders>
              <w:top w:val="single" w:sz="4" w:space="0" w:color="auto"/>
              <w:left w:val="single" w:sz="2" w:space="0" w:color="auto"/>
              <w:bottom w:val="single" w:sz="2" w:space="0" w:color="auto"/>
              <w:right w:val="single" w:sz="4" w:space="0" w:color="auto"/>
            </w:tcBorders>
            <w:vAlign w:val="center"/>
            <w:hideMark/>
          </w:tcPr>
          <w:p w14:paraId="79CA35A4"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134</w:t>
            </w:r>
          </w:p>
        </w:tc>
        <w:tc>
          <w:tcPr>
            <w:tcW w:w="1129" w:type="dxa"/>
            <w:gridSpan w:val="2"/>
            <w:tcBorders>
              <w:top w:val="single" w:sz="4" w:space="0" w:color="auto"/>
              <w:left w:val="single" w:sz="2" w:space="0" w:color="auto"/>
              <w:bottom w:val="single" w:sz="2" w:space="0" w:color="auto"/>
              <w:right w:val="single" w:sz="4" w:space="0" w:color="auto"/>
            </w:tcBorders>
            <w:vAlign w:val="center"/>
            <w:hideMark/>
          </w:tcPr>
          <w:p w14:paraId="5D78DF32"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15,57</w:t>
            </w:r>
          </w:p>
        </w:tc>
        <w:tc>
          <w:tcPr>
            <w:tcW w:w="1157" w:type="dxa"/>
            <w:gridSpan w:val="2"/>
            <w:tcBorders>
              <w:top w:val="single" w:sz="4" w:space="0" w:color="auto"/>
              <w:left w:val="single" w:sz="4" w:space="0" w:color="auto"/>
              <w:bottom w:val="single" w:sz="2" w:space="0" w:color="auto"/>
              <w:right w:val="single" w:sz="12" w:space="0" w:color="auto"/>
            </w:tcBorders>
            <w:vAlign w:val="center"/>
            <w:hideMark/>
          </w:tcPr>
          <w:p w14:paraId="01175C81"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21,07</w:t>
            </w:r>
          </w:p>
        </w:tc>
      </w:tr>
      <w:tr w:rsidR="00D75B88" w:rsidRPr="00AC5AC2" w14:paraId="127BF086"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779A0378"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6A841A49"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val="restart"/>
            <w:tcBorders>
              <w:top w:val="single" w:sz="2" w:space="0" w:color="auto"/>
              <w:left w:val="single" w:sz="2" w:space="0" w:color="auto"/>
              <w:bottom w:val="single" w:sz="4" w:space="0" w:color="auto"/>
              <w:right w:val="single" w:sz="2" w:space="0" w:color="auto"/>
            </w:tcBorders>
            <w:vAlign w:val="center"/>
            <w:hideMark/>
          </w:tcPr>
          <w:p w14:paraId="68F160EC" w14:textId="77777777" w:rsidR="00871DDB" w:rsidRPr="00AC5AC2" w:rsidRDefault="00871DDB"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Východné Slovensko</w:t>
            </w:r>
          </w:p>
        </w:tc>
        <w:tc>
          <w:tcPr>
            <w:tcW w:w="1858" w:type="dxa"/>
            <w:gridSpan w:val="2"/>
            <w:tcBorders>
              <w:top w:val="single" w:sz="2" w:space="0" w:color="auto"/>
              <w:left w:val="single" w:sz="2" w:space="0" w:color="auto"/>
              <w:bottom w:val="single" w:sz="4" w:space="0" w:color="auto"/>
              <w:right w:val="single" w:sz="4" w:space="0" w:color="auto"/>
            </w:tcBorders>
            <w:vAlign w:val="center"/>
            <w:hideMark/>
          </w:tcPr>
          <w:p w14:paraId="0F2027FC"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Prešovský kraj</w:t>
            </w:r>
          </w:p>
        </w:tc>
        <w:tc>
          <w:tcPr>
            <w:tcW w:w="999" w:type="dxa"/>
            <w:gridSpan w:val="2"/>
            <w:tcBorders>
              <w:top w:val="single" w:sz="2" w:space="0" w:color="auto"/>
              <w:left w:val="single" w:sz="2" w:space="0" w:color="auto"/>
              <w:bottom w:val="single" w:sz="4" w:space="0" w:color="auto"/>
              <w:right w:val="single" w:sz="4" w:space="0" w:color="auto"/>
            </w:tcBorders>
            <w:vAlign w:val="center"/>
            <w:hideMark/>
          </w:tcPr>
          <w:p w14:paraId="5FAAB7C0"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103</w:t>
            </w:r>
          </w:p>
        </w:tc>
        <w:tc>
          <w:tcPr>
            <w:tcW w:w="1129" w:type="dxa"/>
            <w:gridSpan w:val="2"/>
            <w:tcBorders>
              <w:top w:val="single" w:sz="2" w:space="0" w:color="auto"/>
              <w:left w:val="single" w:sz="4" w:space="0" w:color="auto"/>
              <w:bottom w:val="single" w:sz="4" w:space="0" w:color="auto"/>
              <w:right w:val="single" w:sz="2" w:space="0" w:color="auto"/>
            </w:tcBorders>
            <w:vAlign w:val="center"/>
            <w:hideMark/>
          </w:tcPr>
          <w:p w14:paraId="33582C59"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7,12</w:t>
            </w:r>
          </w:p>
        </w:tc>
        <w:tc>
          <w:tcPr>
            <w:tcW w:w="1157" w:type="dxa"/>
            <w:gridSpan w:val="2"/>
            <w:tcBorders>
              <w:top w:val="single" w:sz="2" w:space="0" w:color="auto"/>
              <w:left w:val="single" w:sz="2" w:space="0" w:color="auto"/>
              <w:bottom w:val="single" w:sz="4" w:space="0" w:color="auto"/>
              <w:right w:val="single" w:sz="12" w:space="0" w:color="auto"/>
            </w:tcBorders>
            <w:vAlign w:val="center"/>
            <w:hideMark/>
          </w:tcPr>
          <w:p w14:paraId="58AA25E0"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9,64</w:t>
            </w:r>
          </w:p>
        </w:tc>
      </w:tr>
      <w:tr w:rsidR="00D75B88" w:rsidRPr="00AC5AC2" w14:paraId="1234EE3B" w14:textId="77777777" w:rsidTr="00FD21F1">
        <w:trPr>
          <w:trHeight w:val="90"/>
        </w:trPr>
        <w:tc>
          <w:tcPr>
            <w:tcW w:w="1588" w:type="dxa"/>
            <w:vMerge/>
            <w:tcBorders>
              <w:top w:val="single" w:sz="12" w:space="0" w:color="auto"/>
              <w:left w:val="single" w:sz="12" w:space="0" w:color="auto"/>
              <w:bottom w:val="nil"/>
              <w:right w:val="double" w:sz="2" w:space="0" w:color="auto"/>
            </w:tcBorders>
            <w:vAlign w:val="center"/>
            <w:hideMark/>
          </w:tcPr>
          <w:p w14:paraId="37C6F89B" w14:textId="77777777" w:rsidR="00871DDB" w:rsidRPr="00AC5AC2" w:rsidRDefault="00871DDB" w:rsidP="00D67D09">
            <w:pPr>
              <w:spacing w:after="0"/>
              <w:rPr>
                <w:rFonts w:asciiTheme="minorHAnsi" w:hAnsiTheme="minorHAnsi" w:cstheme="minorHAnsi"/>
                <w:sz w:val="18"/>
                <w:szCs w:val="18"/>
              </w:rPr>
            </w:pPr>
          </w:p>
        </w:tc>
        <w:tc>
          <w:tcPr>
            <w:tcW w:w="355" w:type="dxa"/>
            <w:vMerge/>
            <w:tcBorders>
              <w:top w:val="single" w:sz="2" w:space="0" w:color="auto"/>
              <w:left w:val="double" w:sz="2" w:space="0" w:color="auto"/>
              <w:bottom w:val="single" w:sz="4" w:space="0" w:color="auto"/>
              <w:right w:val="single" w:sz="2" w:space="0" w:color="auto"/>
            </w:tcBorders>
            <w:vAlign w:val="center"/>
            <w:hideMark/>
          </w:tcPr>
          <w:p w14:paraId="673C276D" w14:textId="77777777" w:rsidR="00871DDB" w:rsidRPr="00AC5AC2" w:rsidRDefault="00871DDB" w:rsidP="00D67D09">
            <w:pPr>
              <w:spacing w:after="0"/>
              <w:rPr>
                <w:rFonts w:asciiTheme="minorHAnsi" w:hAnsiTheme="minorHAnsi" w:cstheme="minorHAnsi"/>
                <w:sz w:val="18"/>
                <w:szCs w:val="18"/>
              </w:rPr>
            </w:pPr>
          </w:p>
        </w:tc>
        <w:tc>
          <w:tcPr>
            <w:tcW w:w="2175" w:type="dxa"/>
            <w:gridSpan w:val="2"/>
            <w:vMerge/>
            <w:tcBorders>
              <w:top w:val="single" w:sz="2" w:space="0" w:color="auto"/>
              <w:left w:val="single" w:sz="2" w:space="0" w:color="auto"/>
              <w:bottom w:val="single" w:sz="4" w:space="0" w:color="auto"/>
              <w:right w:val="single" w:sz="2" w:space="0" w:color="auto"/>
            </w:tcBorders>
            <w:vAlign w:val="center"/>
            <w:hideMark/>
          </w:tcPr>
          <w:p w14:paraId="09C167A1" w14:textId="77777777" w:rsidR="00871DDB" w:rsidRPr="00AC5AC2" w:rsidRDefault="00871DDB" w:rsidP="00D67D09">
            <w:pPr>
              <w:spacing w:after="0"/>
              <w:rPr>
                <w:rFonts w:asciiTheme="minorHAnsi" w:hAnsiTheme="minorHAnsi" w:cstheme="minorHAnsi"/>
                <w:b/>
                <w:sz w:val="18"/>
                <w:szCs w:val="18"/>
              </w:rPr>
            </w:pPr>
          </w:p>
        </w:tc>
        <w:tc>
          <w:tcPr>
            <w:tcW w:w="1858" w:type="dxa"/>
            <w:gridSpan w:val="2"/>
            <w:tcBorders>
              <w:top w:val="single" w:sz="4" w:space="0" w:color="auto"/>
              <w:left w:val="single" w:sz="2" w:space="0" w:color="auto"/>
              <w:bottom w:val="single" w:sz="2" w:space="0" w:color="auto"/>
              <w:right w:val="single" w:sz="4" w:space="0" w:color="auto"/>
            </w:tcBorders>
            <w:vAlign w:val="center"/>
            <w:hideMark/>
          </w:tcPr>
          <w:p w14:paraId="5BB13599" w14:textId="77777777" w:rsidR="00871DDB" w:rsidRPr="00AC5AC2" w:rsidRDefault="00871DDB"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Košicky kraj</w:t>
            </w:r>
          </w:p>
        </w:tc>
        <w:tc>
          <w:tcPr>
            <w:tcW w:w="999" w:type="dxa"/>
            <w:gridSpan w:val="2"/>
            <w:tcBorders>
              <w:top w:val="single" w:sz="4" w:space="0" w:color="auto"/>
              <w:left w:val="single" w:sz="2" w:space="0" w:color="auto"/>
              <w:bottom w:val="single" w:sz="2" w:space="0" w:color="auto"/>
              <w:right w:val="single" w:sz="4" w:space="0" w:color="auto"/>
            </w:tcBorders>
            <w:vAlign w:val="center"/>
            <w:hideMark/>
          </w:tcPr>
          <w:p w14:paraId="38620B92"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127</w:t>
            </w:r>
          </w:p>
        </w:tc>
        <w:tc>
          <w:tcPr>
            <w:tcW w:w="1129" w:type="dxa"/>
            <w:gridSpan w:val="2"/>
            <w:tcBorders>
              <w:top w:val="single" w:sz="4" w:space="0" w:color="auto"/>
              <w:left w:val="single" w:sz="4" w:space="0" w:color="auto"/>
              <w:bottom w:val="single" w:sz="2" w:space="0" w:color="auto"/>
              <w:right w:val="single" w:sz="2" w:space="0" w:color="auto"/>
            </w:tcBorders>
            <w:vAlign w:val="center"/>
            <w:hideMark/>
          </w:tcPr>
          <w:p w14:paraId="2462A37A"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12,04</w:t>
            </w:r>
          </w:p>
        </w:tc>
        <w:tc>
          <w:tcPr>
            <w:tcW w:w="1157" w:type="dxa"/>
            <w:gridSpan w:val="2"/>
            <w:tcBorders>
              <w:top w:val="single" w:sz="4" w:space="0" w:color="auto"/>
              <w:left w:val="single" w:sz="2" w:space="0" w:color="auto"/>
              <w:bottom w:val="single" w:sz="2" w:space="0" w:color="auto"/>
              <w:right w:val="single" w:sz="12" w:space="0" w:color="auto"/>
            </w:tcBorders>
            <w:vAlign w:val="center"/>
            <w:hideMark/>
          </w:tcPr>
          <w:p w14:paraId="77264513" w14:textId="77777777" w:rsidR="00871DDB" w:rsidRPr="00AC5AC2" w:rsidRDefault="00871DDB"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16,3</w:t>
            </w:r>
          </w:p>
        </w:tc>
      </w:tr>
      <w:tr w:rsidR="00871DDB" w:rsidRPr="00AC5AC2" w14:paraId="524DF50F" w14:textId="77777777" w:rsidTr="00FD21F1">
        <w:trPr>
          <w:trHeight w:val="81"/>
        </w:trPr>
        <w:tc>
          <w:tcPr>
            <w:tcW w:w="1588" w:type="dxa"/>
            <w:tcBorders>
              <w:top w:val="single" w:sz="12" w:space="0" w:color="auto"/>
              <w:left w:val="single" w:sz="12" w:space="0" w:color="auto"/>
              <w:bottom w:val="single" w:sz="12" w:space="0" w:color="auto"/>
              <w:right w:val="double" w:sz="4" w:space="0" w:color="auto"/>
            </w:tcBorders>
            <w:vAlign w:val="center"/>
            <w:hideMark/>
          </w:tcPr>
          <w:p w14:paraId="13A3F885" w14:textId="17CDC5B3" w:rsidR="00871DDB" w:rsidRPr="00AC5AC2" w:rsidRDefault="00871DDB" w:rsidP="00442E8D">
            <w:pPr>
              <w:spacing w:after="0"/>
              <w:ind w:right="97"/>
              <w:rPr>
                <w:rFonts w:asciiTheme="minorHAnsi" w:hAnsiTheme="minorHAnsi" w:cstheme="minorHAnsi"/>
                <w:b/>
                <w:sz w:val="18"/>
                <w:szCs w:val="18"/>
              </w:rPr>
            </w:pPr>
            <w:r w:rsidRPr="00AC5AC2">
              <w:rPr>
                <w:rFonts w:asciiTheme="minorHAnsi" w:hAnsiTheme="minorHAnsi" w:cstheme="minorHAnsi"/>
                <w:b/>
                <w:sz w:val="18"/>
                <w:szCs w:val="18"/>
              </w:rPr>
              <w:t xml:space="preserve">Forma </w:t>
            </w:r>
            <w:r w:rsidR="00442E8D">
              <w:rPr>
                <w:rFonts w:asciiTheme="minorHAnsi" w:hAnsiTheme="minorHAnsi" w:cstheme="minorHAnsi"/>
                <w:b/>
                <w:sz w:val="18"/>
                <w:szCs w:val="18"/>
              </w:rPr>
              <w:t>p</w:t>
            </w:r>
            <w:r w:rsidRPr="00AC5AC2">
              <w:rPr>
                <w:rFonts w:asciiTheme="minorHAnsi" w:hAnsiTheme="minorHAnsi" w:cstheme="minorHAnsi"/>
                <w:b/>
                <w:sz w:val="18"/>
                <w:szCs w:val="18"/>
              </w:rPr>
              <w:t>omoci</w:t>
            </w:r>
          </w:p>
        </w:tc>
        <w:tc>
          <w:tcPr>
            <w:tcW w:w="7675" w:type="dxa"/>
            <w:gridSpan w:val="11"/>
            <w:tcBorders>
              <w:top w:val="single" w:sz="12" w:space="0" w:color="auto"/>
              <w:left w:val="double" w:sz="4" w:space="0" w:color="auto"/>
              <w:bottom w:val="single" w:sz="12" w:space="0" w:color="auto"/>
              <w:right w:val="single" w:sz="12" w:space="0" w:color="auto"/>
            </w:tcBorders>
            <w:vAlign w:val="center"/>
            <w:hideMark/>
          </w:tcPr>
          <w:p w14:paraId="1481CACE" w14:textId="18AE086A" w:rsidR="00871DDB" w:rsidRPr="00AC5AC2" w:rsidRDefault="006257F7"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N</w:t>
            </w:r>
            <w:r w:rsidR="00871DDB" w:rsidRPr="00AC5AC2">
              <w:rPr>
                <w:rFonts w:asciiTheme="minorHAnsi" w:hAnsiTheme="minorHAnsi" w:cstheme="minorHAnsi"/>
                <w:sz w:val="18"/>
                <w:szCs w:val="18"/>
              </w:rPr>
              <w:t>enávratný finančný príspevok (ESF + štátny rozpočet)</w:t>
            </w:r>
          </w:p>
        </w:tc>
      </w:tr>
    </w:tbl>
    <w:p w14:paraId="4A624A41" w14:textId="77777777" w:rsidR="008A34AD" w:rsidRPr="0065167F" w:rsidRDefault="008A34AD" w:rsidP="00BB0269">
      <w:pPr>
        <w:tabs>
          <w:tab w:val="left" w:pos="0"/>
        </w:tabs>
        <w:spacing w:before="120" w:after="120"/>
        <w:ind w:hanging="6"/>
        <w:rPr>
          <w:b/>
        </w:rPr>
      </w:pPr>
      <w:r w:rsidRPr="0065167F">
        <w:t xml:space="preserve">V hodnotenom období roku 2023 bolo v rámci Schémy štátnej pomoci na podporu vzdelávania a pomoci na prijímanie do zamestnania a zamestnávanie znevýhodnených zamestnancov a zamestnancov so zdravotným postihnutím v znení dodatku č. 2 SA. 101576 uzatvorených </w:t>
      </w:r>
      <w:r w:rsidRPr="0065167F">
        <w:rPr>
          <w:b/>
        </w:rPr>
        <w:t>438 dohôd</w:t>
      </w:r>
      <w:r w:rsidRPr="0065167F">
        <w:t xml:space="preserve"> a podporených </w:t>
      </w:r>
      <w:r w:rsidRPr="0065167F">
        <w:rPr>
          <w:b/>
        </w:rPr>
        <w:t xml:space="preserve">3 129 uchádzačov o zamestnanie. </w:t>
      </w:r>
    </w:p>
    <w:p w14:paraId="37C769DE" w14:textId="77777777" w:rsidR="008A34AD" w:rsidRPr="0065167F" w:rsidRDefault="008A34AD" w:rsidP="00BB0269">
      <w:pPr>
        <w:tabs>
          <w:tab w:val="left" w:pos="0"/>
        </w:tabs>
        <w:spacing w:after="120"/>
        <w:rPr>
          <w:b/>
        </w:rPr>
      </w:pPr>
      <w:r w:rsidRPr="0065167F">
        <w:t xml:space="preserve">V rámci Schémy štátnej pomoci na podporu vzdelávania a pomoci na prijímanie do zamestnania a zamestnávanie znevýhodnených zamestnancov a zamestnancov so zdravotným postihnutím </w:t>
      </w:r>
      <w:r w:rsidRPr="0065167F">
        <w:lastRenderedPageBreak/>
        <w:t xml:space="preserve">v znení dodatku č. 3 SA. 107348 uzatvorených </w:t>
      </w:r>
      <w:r w:rsidRPr="0065167F">
        <w:rPr>
          <w:b/>
        </w:rPr>
        <w:t>749 dohôd</w:t>
      </w:r>
      <w:r w:rsidRPr="0065167F">
        <w:t xml:space="preserve"> a podporených </w:t>
      </w:r>
      <w:r w:rsidRPr="0065167F">
        <w:rPr>
          <w:b/>
        </w:rPr>
        <w:t xml:space="preserve">2 624 uchádzačov o zamestnanie. </w:t>
      </w:r>
    </w:p>
    <w:p w14:paraId="783543B6" w14:textId="77777777" w:rsidR="008A34AD" w:rsidRPr="0065167F" w:rsidRDefault="008A34AD" w:rsidP="00FD21F1">
      <w:pPr>
        <w:tabs>
          <w:tab w:val="left" w:pos="0"/>
        </w:tabs>
        <w:spacing w:after="0"/>
        <w:ind w:hanging="6"/>
        <w:rPr>
          <w:b/>
        </w:rPr>
      </w:pPr>
      <w:r w:rsidRPr="0065167F">
        <w:t xml:space="preserve">V rámci Schémy štátnej pomoci na podporu vzdelávania a pomoci na prijímanie do zamestnania a zamestnávanie znevýhodnených zamestnancov a zamestnancov so zdravotným postihnutím v znení dodatku č. 4 SA. 110863 uzatvorených 68 dohôd a  podporených </w:t>
      </w:r>
      <w:r w:rsidRPr="0065167F">
        <w:rPr>
          <w:b/>
        </w:rPr>
        <w:t xml:space="preserve">153 uchádzačov o zamestnanie. </w:t>
      </w:r>
    </w:p>
    <w:p w14:paraId="2E7383B2" w14:textId="77777777" w:rsidR="008A34AD" w:rsidRPr="0065167F" w:rsidRDefault="008A34AD" w:rsidP="00BB0269">
      <w:pPr>
        <w:tabs>
          <w:tab w:val="left" w:pos="0"/>
        </w:tabs>
        <w:spacing w:before="180"/>
        <w:ind w:right="426"/>
        <w:rPr>
          <w:b/>
        </w:rPr>
      </w:pPr>
      <w:r w:rsidRPr="0065167F">
        <w:rPr>
          <w:b/>
        </w:rPr>
        <w:t>Poskytnutá investičná pomoc investorom</w:t>
      </w:r>
    </w:p>
    <w:p w14:paraId="51E00585" w14:textId="07CA04A5" w:rsidR="008A34AD" w:rsidRPr="0065167F" w:rsidRDefault="008A34AD" w:rsidP="00FD21F1">
      <w:pPr>
        <w:tabs>
          <w:tab w:val="left" w:pos="0"/>
        </w:tabs>
        <w:spacing w:before="120" w:after="120"/>
        <w:rPr>
          <w:bCs/>
          <w:iCs/>
        </w:rPr>
      </w:pPr>
      <w:r w:rsidRPr="0065167F">
        <w:t>Investičná pomoc je poskytovaná výlučne ústredím, pričom pomoc investorom je poskytovaná len zo štátneho rozpočtu na podporu zamestnanosti a vzdelávania zamestnancov</w:t>
      </w:r>
      <w:r w:rsidRPr="0065167F">
        <w:rPr>
          <w:rStyle w:val="Odkaznapoznmkupodiarou"/>
          <w:rFonts w:eastAsia="Arial"/>
        </w:rPr>
        <w:footnoteReference w:id="2"/>
      </w:r>
      <w:r w:rsidRPr="0065167F">
        <w:t>.</w:t>
      </w:r>
      <w:r w:rsidR="00FD21F1">
        <w:t xml:space="preserve"> </w:t>
      </w:r>
      <w:r w:rsidRPr="0065167F">
        <w:t xml:space="preserve">Z celkovej poskytnutej regionálnej investičnej pomoci investorom bola v roku 2022 poskytnutá investičná pomoc vo forme príspevku na vytvorenie nového pracovného miesta na základe zákona č. 57/2018 Z. z. o regionálnej investičnej pomoci a o zmene a doplnení niektorých zákonov v znení neskorších predpisov celkom </w:t>
      </w:r>
      <w:r w:rsidRPr="0065167F">
        <w:rPr>
          <w:b/>
        </w:rPr>
        <w:t>8 investorom</w:t>
      </w:r>
      <w:r w:rsidRPr="0065167F">
        <w:t xml:space="preserve"> vo výške </w:t>
      </w:r>
      <w:r w:rsidRPr="0065167F">
        <w:rPr>
          <w:b/>
        </w:rPr>
        <w:t xml:space="preserve">2,66 mil. </w:t>
      </w:r>
      <w:r w:rsidR="00AC5AC2">
        <w:rPr>
          <w:b/>
        </w:rPr>
        <w:t>eur</w:t>
      </w:r>
      <w:r w:rsidRPr="0065167F">
        <w:rPr>
          <w:bCs/>
          <w:iCs/>
        </w:rPr>
        <w:t xml:space="preserve">, ktorí vytvorili </w:t>
      </w:r>
      <w:r w:rsidRPr="0065167F">
        <w:rPr>
          <w:b/>
          <w:bCs/>
          <w:iCs/>
        </w:rPr>
        <w:t>216 nových pracovných miest udržaných 1 rok</w:t>
      </w:r>
      <w:r w:rsidRPr="0065167F">
        <w:rPr>
          <w:bCs/>
          <w:iCs/>
        </w:rPr>
        <w:t xml:space="preserve"> a </w:t>
      </w:r>
      <w:r w:rsidRPr="0065167F">
        <w:rPr>
          <w:b/>
          <w:bCs/>
          <w:iCs/>
        </w:rPr>
        <w:t>150 nových pracovných miest udržaných 2 roky</w:t>
      </w:r>
      <w:r w:rsidRPr="0065167F">
        <w:rPr>
          <w:bCs/>
          <w:iCs/>
        </w:rPr>
        <w:t xml:space="preserve">. </w:t>
      </w:r>
    </w:p>
    <w:p w14:paraId="1A40A2C0" w14:textId="56EFABD7" w:rsidR="008A34AD" w:rsidRPr="0065167F" w:rsidRDefault="008A34AD" w:rsidP="00BB0269">
      <w:pPr>
        <w:tabs>
          <w:tab w:val="left" w:pos="0"/>
        </w:tabs>
        <w:spacing w:before="120"/>
        <w:rPr>
          <w:bCs/>
          <w:iCs/>
        </w:rPr>
      </w:pPr>
      <w:r w:rsidRPr="0065167F">
        <w:rPr>
          <w:bCs/>
          <w:iCs/>
        </w:rPr>
        <w:t xml:space="preserve">Porovnaním rokov 2022 a 2023 sa poskytnutá investičná pomoc vo forme príspevku na vytvorenie nového pracovného miesta v roku 2022 zvýšila </w:t>
      </w:r>
      <w:r w:rsidRPr="0065167F">
        <w:rPr>
          <w:b/>
          <w:bCs/>
          <w:iCs/>
        </w:rPr>
        <w:t xml:space="preserve">o 1,06 mil. </w:t>
      </w:r>
      <w:r w:rsidR="00AC5AC2">
        <w:rPr>
          <w:b/>
          <w:bCs/>
          <w:iCs/>
        </w:rPr>
        <w:t>eur</w:t>
      </w:r>
      <w:r w:rsidRPr="0065167F">
        <w:rPr>
          <w:bCs/>
          <w:iCs/>
        </w:rPr>
        <w:t xml:space="preserve">, čo predstavuje nárast poskytnutia investičnej pomoci oproti roku 2021 </w:t>
      </w:r>
      <w:r w:rsidRPr="0065167F">
        <w:rPr>
          <w:b/>
          <w:bCs/>
          <w:iCs/>
        </w:rPr>
        <w:t>o 60,15 %</w:t>
      </w:r>
      <w:r w:rsidRPr="0065167F">
        <w:rPr>
          <w:bCs/>
          <w:iCs/>
        </w:rPr>
        <w:t xml:space="preserve"> z celkovej výšky príspevku na novovytvorené pracovné miesto vyplatenej v roku 2022. </w:t>
      </w:r>
    </w:p>
    <w:p w14:paraId="3CB054A6" w14:textId="77777777" w:rsidR="008A34AD" w:rsidRPr="0065167F" w:rsidRDefault="008A34AD" w:rsidP="00BB0269">
      <w:pPr>
        <w:tabs>
          <w:tab w:val="left" w:pos="0"/>
        </w:tabs>
        <w:spacing w:before="120"/>
        <w:rPr>
          <w:bCs/>
          <w:iCs/>
        </w:rPr>
      </w:pPr>
      <w:r w:rsidRPr="0065167F">
        <w:rPr>
          <w:bCs/>
          <w:iCs/>
        </w:rPr>
        <w:t>V rámci realizácie schválených investičných zámerov prijímateľov investičnej pomoci bol príspevok poskytovaný výlučne na vytváranie nových pracovných miest. Predstavuje regionálnu podporu na stimulovanie strategických investícií do znevýhodnených regiónov a tvorbu nových pracovných miest v Slovenskej republike. Príjemcovia investičnej pomoci sú povinní vytvoriť a udržať nové pracovné miesta minimálne po dobu 5 rokov. Vláda SR kladie dôraz na znižovanie regionálnych rozdielov a stabilizovanie trhu práce v rámci celej Slovenskej republiky.</w:t>
      </w:r>
    </w:p>
    <w:p w14:paraId="53AC4749" w14:textId="77777777" w:rsidR="008A34AD" w:rsidRPr="0065167F" w:rsidRDefault="008A34AD" w:rsidP="00BB0269">
      <w:pPr>
        <w:tabs>
          <w:tab w:val="left" w:pos="0"/>
        </w:tabs>
        <w:spacing w:before="120" w:after="120"/>
        <w:ind w:hanging="6"/>
        <w:rPr>
          <w:bCs/>
          <w:iCs/>
        </w:rPr>
      </w:pPr>
      <w:r w:rsidRPr="0065167F">
        <w:rPr>
          <w:bCs/>
          <w:iCs/>
        </w:rPr>
        <w:t xml:space="preserve">V roku 2023 vláda SR schválila poskytnutie investičnej pomoci, ktorá sa bude poskytovať aj v roku 2024 </w:t>
      </w:r>
      <w:r w:rsidRPr="0065167F">
        <w:rPr>
          <w:b/>
          <w:bCs/>
          <w:iCs/>
        </w:rPr>
        <w:t>pre 11 spoločností</w:t>
      </w:r>
      <w:r w:rsidRPr="0065167F">
        <w:rPr>
          <w:bCs/>
          <w:iCs/>
        </w:rPr>
        <w:t xml:space="preserve">. Spoločnostiam bola schválená investičná pomoc vo forme úľavy na dani z príjmu, dotácie na obstaraný dlhodobý hmotný a nehmotný majetok, pričom spoločnosti majú vytvoriť spolu </w:t>
      </w:r>
      <w:r w:rsidRPr="0065167F">
        <w:rPr>
          <w:b/>
          <w:bCs/>
          <w:iCs/>
        </w:rPr>
        <w:t>1 622 nových pracovných miest</w:t>
      </w:r>
      <w:r w:rsidRPr="0065167F">
        <w:rPr>
          <w:bCs/>
          <w:iCs/>
        </w:rPr>
        <w:t xml:space="preserve">. </w:t>
      </w:r>
    </w:p>
    <w:tbl>
      <w:tblPr>
        <w:tblW w:w="9167" w:type="dxa"/>
        <w:jc w:val="center"/>
        <w:tblLayout w:type="fixed"/>
        <w:tblCellMar>
          <w:left w:w="70" w:type="dxa"/>
          <w:right w:w="70" w:type="dxa"/>
        </w:tblCellMar>
        <w:tblLook w:val="04A0" w:firstRow="1" w:lastRow="0" w:firstColumn="1" w:lastColumn="0" w:noHBand="0" w:noVBand="1"/>
      </w:tblPr>
      <w:tblGrid>
        <w:gridCol w:w="1276"/>
        <w:gridCol w:w="591"/>
        <w:gridCol w:w="898"/>
        <w:gridCol w:w="949"/>
        <w:gridCol w:w="2374"/>
        <w:gridCol w:w="6"/>
        <w:gridCol w:w="1031"/>
        <w:gridCol w:w="6"/>
        <w:gridCol w:w="987"/>
        <w:gridCol w:w="6"/>
        <w:gridCol w:w="1043"/>
      </w:tblGrid>
      <w:tr w:rsidR="00BB0269" w:rsidRPr="00AC5AC2" w14:paraId="73E2E2BB" w14:textId="77777777" w:rsidTr="00442E8D">
        <w:trPr>
          <w:trHeight w:val="312"/>
          <w:jc w:val="center"/>
        </w:trPr>
        <w:tc>
          <w:tcPr>
            <w:tcW w:w="1276" w:type="dxa"/>
            <w:vMerge w:val="restart"/>
            <w:tcBorders>
              <w:top w:val="single" w:sz="12" w:space="0" w:color="auto"/>
              <w:left w:val="single" w:sz="12" w:space="0" w:color="auto"/>
              <w:bottom w:val="single" w:sz="12" w:space="0" w:color="auto"/>
              <w:right w:val="double" w:sz="2" w:space="0" w:color="auto"/>
            </w:tcBorders>
            <w:vAlign w:val="center"/>
            <w:hideMark/>
          </w:tcPr>
          <w:p w14:paraId="182B89AD" w14:textId="77777777" w:rsidR="00BB0269" w:rsidRPr="00AC5AC2" w:rsidRDefault="00BB0269" w:rsidP="00D67D09">
            <w:pPr>
              <w:spacing w:after="0"/>
              <w:ind w:right="76"/>
              <w:jc w:val="left"/>
              <w:rPr>
                <w:rFonts w:asciiTheme="minorHAnsi" w:hAnsiTheme="minorHAnsi" w:cstheme="minorHAnsi"/>
                <w:b/>
                <w:sz w:val="18"/>
                <w:szCs w:val="18"/>
              </w:rPr>
            </w:pPr>
            <w:r w:rsidRPr="00AC5AC2">
              <w:rPr>
                <w:rFonts w:asciiTheme="minorHAnsi" w:hAnsiTheme="minorHAnsi" w:cstheme="minorHAnsi"/>
                <w:b/>
                <w:sz w:val="18"/>
                <w:szCs w:val="18"/>
              </w:rPr>
              <w:t>Výška investičnej pomoci v roku 2023</w:t>
            </w:r>
          </w:p>
        </w:tc>
        <w:tc>
          <w:tcPr>
            <w:tcW w:w="4812" w:type="dxa"/>
            <w:gridSpan w:val="4"/>
            <w:tcBorders>
              <w:top w:val="single" w:sz="12" w:space="0" w:color="auto"/>
              <w:left w:val="double" w:sz="2" w:space="0" w:color="auto"/>
              <w:bottom w:val="nil"/>
              <w:right w:val="single" w:sz="4" w:space="0" w:color="auto"/>
            </w:tcBorders>
            <w:vAlign w:val="center"/>
            <w:hideMark/>
          </w:tcPr>
          <w:p w14:paraId="594D5E34" w14:textId="7687C2CB"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b/>
                <w:sz w:val="18"/>
                <w:szCs w:val="18"/>
              </w:rPr>
              <w:t xml:space="preserve">Podľa typu podniku </w:t>
            </w:r>
            <w:r w:rsidRPr="00AC5AC2">
              <w:rPr>
                <w:rFonts w:asciiTheme="minorHAnsi" w:hAnsiTheme="minorHAnsi" w:cstheme="minorHAnsi"/>
                <w:sz w:val="18"/>
                <w:szCs w:val="18"/>
              </w:rPr>
              <w:t xml:space="preserve">(v mil. </w:t>
            </w:r>
            <w:r w:rsidR="00AC5AC2" w:rsidRPr="00AC5AC2">
              <w:rPr>
                <w:rFonts w:asciiTheme="minorHAnsi" w:hAnsiTheme="minorHAnsi" w:cstheme="minorHAnsi"/>
                <w:sz w:val="18"/>
                <w:szCs w:val="18"/>
              </w:rPr>
              <w:t>eur</w:t>
            </w:r>
            <w:r w:rsidRPr="00AC5AC2">
              <w:rPr>
                <w:rFonts w:asciiTheme="minorHAnsi" w:hAnsiTheme="minorHAnsi" w:cstheme="minorHAnsi"/>
                <w:sz w:val="18"/>
                <w:szCs w:val="18"/>
              </w:rPr>
              <w:t>)</w:t>
            </w:r>
          </w:p>
        </w:tc>
        <w:tc>
          <w:tcPr>
            <w:tcW w:w="1037" w:type="dxa"/>
            <w:gridSpan w:val="2"/>
            <w:tcBorders>
              <w:top w:val="single" w:sz="12" w:space="0" w:color="auto"/>
              <w:left w:val="nil"/>
              <w:bottom w:val="nil"/>
              <w:right w:val="single" w:sz="4" w:space="0" w:color="auto"/>
            </w:tcBorders>
            <w:noWrap/>
            <w:vAlign w:val="center"/>
            <w:hideMark/>
          </w:tcPr>
          <w:p w14:paraId="0823DF1D" w14:textId="140900AD" w:rsidR="00BB0269" w:rsidRPr="00AC5AC2" w:rsidRDefault="00BB0269" w:rsidP="00D67D09">
            <w:pPr>
              <w:spacing w:after="0"/>
              <w:jc w:val="center"/>
              <w:rPr>
                <w:rFonts w:asciiTheme="minorHAnsi" w:hAnsiTheme="minorHAnsi" w:cstheme="minorHAnsi"/>
                <w:b/>
                <w:sz w:val="18"/>
                <w:szCs w:val="18"/>
              </w:rPr>
            </w:pPr>
            <w:r w:rsidRPr="00AC5AC2">
              <w:rPr>
                <w:rFonts w:asciiTheme="minorHAnsi" w:hAnsiTheme="minorHAnsi" w:cstheme="minorHAnsi"/>
                <w:b/>
                <w:sz w:val="18"/>
                <w:szCs w:val="18"/>
              </w:rPr>
              <w:t>2,66</w:t>
            </w:r>
          </w:p>
        </w:tc>
        <w:tc>
          <w:tcPr>
            <w:tcW w:w="993" w:type="dxa"/>
            <w:gridSpan w:val="2"/>
            <w:tcBorders>
              <w:top w:val="single" w:sz="12" w:space="0" w:color="auto"/>
              <w:left w:val="nil"/>
              <w:bottom w:val="nil"/>
              <w:right w:val="single" w:sz="4" w:space="0" w:color="auto"/>
            </w:tcBorders>
            <w:noWrap/>
            <w:vAlign w:val="center"/>
            <w:hideMark/>
          </w:tcPr>
          <w:p w14:paraId="6333166D" w14:textId="285FEFC4" w:rsidR="00BB0269" w:rsidRPr="00AC5AC2" w:rsidRDefault="00BB0269" w:rsidP="00D67D09">
            <w:pPr>
              <w:spacing w:after="0"/>
              <w:ind w:right="29" w:hanging="6"/>
              <w:jc w:val="center"/>
              <w:rPr>
                <w:rFonts w:asciiTheme="minorHAnsi" w:hAnsiTheme="minorHAnsi" w:cstheme="minorHAnsi"/>
                <w:b/>
                <w:sz w:val="18"/>
                <w:szCs w:val="18"/>
              </w:rPr>
            </w:pPr>
            <w:r w:rsidRPr="00AC5AC2">
              <w:rPr>
                <w:rFonts w:asciiTheme="minorHAnsi" w:hAnsiTheme="minorHAnsi" w:cstheme="minorHAnsi"/>
                <w:b/>
                <w:sz w:val="18"/>
                <w:szCs w:val="18"/>
              </w:rPr>
              <w:t>Podiel</w:t>
            </w:r>
          </w:p>
          <w:p w14:paraId="39F04AF6" w14:textId="77777777" w:rsidR="00BB0269" w:rsidRPr="00AC5AC2" w:rsidRDefault="00BB0269" w:rsidP="00D67D09">
            <w:pPr>
              <w:spacing w:after="0"/>
              <w:ind w:hanging="6"/>
              <w:jc w:val="center"/>
              <w:rPr>
                <w:rFonts w:asciiTheme="minorHAnsi" w:hAnsiTheme="minorHAnsi" w:cstheme="minorHAnsi"/>
                <w:b/>
                <w:sz w:val="18"/>
                <w:szCs w:val="18"/>
              </w:rPr>
            </w:pPr>
            <w:r w:rsidRPr="00AC5AC2">
              <w:rPr>
                <w:rFonts w:asciiTheme="minorHAnsi" w:hAnsiTheme="minorHAnsi" w:cstheme="minorHAnsi"/>
                <w:sz w:val="18"/>
                <w:szCs w:val="18"/>
              </w:rPr>
              <w:t xml:space="preserve">(v </w:t>
            </w:r>
            <w:r w:rsidRPr="00AC5AC2">
              <w:rPr>
                <w:rFonts w:asciiTheme="minorHAnsi" w:hAnsiTheme="minorHAnsi" w:cstheme="minorHAnsi"/>
                <w:b/>
                <w:sz w:val="18"/>
                <w:szCs w:val="18"/>
              </w:rPr>
              <w:t>%)</w:t>
            </w:r>
          </w:p>
        </w:tc>
        <w:tc>
          <w:tcPr>
            <w:tcW w:w="1049" w:type="dxa"/>
            <w:gridSpan w:val="2"/>
            <w:tcBorders>
              <w:top w:val="single" w:sz="12" w:space="0" w:color="auto"/>
              <w:left w:val="single" w:sz="4" w:space="0" w:color="auto"/>
              <w:bottom w:val="nil"/>
              <w:right w:val="single" w:sz="12" w:space="0" w:color="auto"/>
            </w:tcBorders>
            <w:hideMark/>
          </w:tcPr>
          <w:p w14:paraId="52788067" w14:textId="77777777" w:rsidR="00BB0269" w:rsidRPr="00AC5AC2" w:rsidRDefault="00BB0269"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Počet príjemcov</w:t>
            </w:r>
          </w:p>
        </w:tc>
      </w:tr>
      <w:tr w:rsidR="00AC5AC2" w:rsidRPr="00AC5AC2" w14:paraId="70FA9A72"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62210EAD" w14:textId="77777777" w:rsidR="00BB0269" w:rsidRPr="00AC5AC2" w:rsidRDefault="00BB0269" w:rsidP="00D67D09">
            <w:pPr>
              <w:spacing w:after="0"/>
              <w:rPr>
                <w:rFonts w:asciiTheme="minorHAnsi" w:hAnsiTheme="minorHAnsi" w:cstheme="minorHAnsi"/>
                <w:b/>
                <w:sz w:val="18"/>
                <w:szCs w:val="18"/>
              </w:rPr>
            </w:pPr>
          </w:p>
        </w:tc>
        <w:tc>
          <w:tcPr>
            <w:tcW w:w="591" w:type="dxa"/>
            <w:vMerge w:val="restart"/>
            <w:tcBorders>
              <w:top w:val="single" w:sz="2" w:space="0" w:color="auto"/>
              <w:left w:val="double" w:sz="2" w:space="0" w:color="auto"/>
              <w:bottom w:val="single" w:sz="12" w:space="0" w:color="auto"/>
              <w:right w:val="single" w:sz="4" w:space="0" w:color="auto"/>
            </w:tcBorders>
            <w:textDirection w:val="btLr"/>
            <w:hideMark/>
          </w:tcPr>
          <w:p w14:paraId="293CEEAC" w14:textId="77777777" w:rsidR="00BB0269" w:rsidRPr="00AC5AC2" w:rsidRDefault="00BB0269" w:rsidP="00D75B88">
            <w:pPr>
              <w:spacing w:after="0"/>
              <w:ind w:left="113" w:right="74"/>
              <w:jc w:val="center"/>
              <w:rPr>
                <w:rFonts w:asciiTheme="minorHAnsi" w:hAnsiTheme="minorHAnsi" w:cstheme="minorHAnsi"/>
                <w:sz w:val="18"/>
                <w:szCs w:val="18"/>
              </w:rPr>
            </w:pPr>
            <w:r w:rsidRPr="00AC5AC2">
              <w:rPr>
                <w:rFonts w:asciiTheme="minorHAnsi" w:hAnsiTheme="minorHAnsi" w:cstheme="minorHAnsi"/>
                <w:sz w:val="18"/>
                <w:szCs w:val="18"/>
              </w:rPr>
              <w:t>z toho</w:t>
            </w:r>
          </w:p>
        </w:tc>
        <w:tc>
          <w:tcPr>
            <w:tcW w:w="898" w:type="dxa"/>
            <w:vMerge w:val="restart"/>
            <w:tcBorders>
              <w:top w:val="single" w:sz="8" w:space="0" w:color="auto"/>
              <w:left w:val="single" w:sz="4" w:space="0" w:color="auto"/>
              <w:bottom w:val="single" w:sz="4" w:space="0" w:color="auto"/>
              <w:right w:val="single" w:sz="4" w:space="0" w:color="auto"/>
            </w:tcBorders>
            <w:vAlign w:val="center"/>
            <w:hideMark/>
          </w:tcPr>
          <w:p w14:paraId="219CFE93"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MSP</w:t>
            </w:r>
          </w:p>
        </w:tc>
        <w:tc>
          <w:tcPr>
            <w:tcW w:w="3328" w:type="dxa"/>
            <w:gridSpan w:val="3"/>
            <w:tcBorders>
              <w:top w:val="single" w:sz="8" w:space="0" w:color="auto"/>
              <w:left w:val="single" w:sz="4" w:space="0" w:color="auto"/>
              <w:bottom w:val="single" w:sz="4" w:space="0" w:color="auto"/>
              <w:right w:val="single" w:sz="4" w:space="0" w:color="auto"/>
            </w:tcBorders>
            <w:vAlign w:val="center"/>
            <w:hideMark/>
          </w:tcPr>
          <w:p w14:paraId="1EDF08D3"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Mikropodniky</w:t>
            </w:r>
          </w:p>
        </w:tc>
        <w:tc>
          <w:tcPr>
            <w:tcW w:w="1037" w:type="dxa"/>
            <w:gridSpan w:val="2"/>
            <w:tcBorders>
              <w:top w:val="single" w:sz="8" w:space="0" w:color="auto"/>
              <w:left w:val="nil"/>
              <w:bottom w:val="single" w:sz="4" w:space="0" w:color="auto"/>
              <w:right w:val="single" w:sz="4" w:space="0" w:color="auto"/>
            </w:tcBorders>
            <w:vAlign w:val="center"/>
            <w:hideMark/>
          </w:tcPr>
          <w:p w14:paraId="6D623BB3" w14:textId="77777777" w:rsidR="00BB0269" w:rsidRPr="00AC5AC2" w:rsidRDefault="00BB0269" w:rsidP="00D67D09">
            <w:pPr>
              <w:spacing w:after="0"/>
              <w:jc w:val="center"/>
              <w:rPr>
                <w:rFonts w:asciiTheme="minorHAnsi" w:hAnsiTheme="minorHAnsi" w:cstheme="minorHAnsi"/>
                <w:bCs/>
                <w:sz w:val="18"/>
                <w:szCs w:val="18"/>
              </w:rPr>
            </w:pPr>
            <w:r w:rsidRPr="00AC5AC2">
              <w:rPr>
                <w:rFonts w:asciiTheme="minorHAnsi" w:hAnsiTheme="minorHAnsi" w:cstheme="minorHAnsi"/>
                <w:bCs/>
                <w:sz w:val="18"/>
                <w:szCs w:val="18"/>
              </w:rPr>
              <w:t>0</w:t>
            </w:r>
          </w:p>
        </w:tc>
        <w:tc>
          <w:tcPr>
            <w:tcW w:w="993" w:type="dxa"/>
            <w:gridSpan w:val="2"/>
            <w:tcBorders>
              <w:top w:val="single" w:sz="8" w:space="0" w:color="auto"/>
              <w:left w:val="nil"/>
              <w:bottom w:val="single" w:sz="4" w:space="0" w:color="auto"/>
              <w:right w:val="single" w:sz="4" w:space="0" w:color="auto"/>
            </w:tcBorders>
            <w:noWrap/>
            <w:vAlign w:val="center"/>
            <w:hideMark/>
          </w:tcPr>
          <w:p w14:paraId="6C9932F1"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1043" w:type="dxa"/>
            <w:tcBorders>
              <w:top w:val="single" w:sz="8" w:space="0" w:color="auto"/>
              <w:left w:val="single" w:sz="4" w:space="0" w:color="auto"/>
              <w:bottom w:val="single" w:sz="4" w:space="0" w:color="auto"/>
              <w:right w:val="single" w:sz="12" w:space="0" w:color="auto"/>
            </w:tcBorders>
            <w:vAlign w:val="center"/>
            <w:hideMark/>
          </w:tcPr>
          <w:p w14:paraId="4C443D90"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r>
      <w:tr w:rsidR="00AC5AC2" w:rsidRPr="00AC5AC2" w14:paraId="56DCBB5D"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5903FF26"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2" w:space="0" w:color="auto"/>
              <w:left w:val="double" w:sz="2" w:space="0" w:color="auto"/>
              <w:bottom w:val="single" w:sz="12" w:space="0" w:color="auto"/>
              <w:right w:val="single" w:sz="4" w:space="0" w:color="auto"/>
            </w:tcBorders>
            <w:vAlign w:val="center"/>
            <w:hideMark/>
          </w:tcPr>
          <w:p w14:paraId="096038D6" w14:textId="77777777" w:rsidR="00BB0269" w:rsidRPr="00AC5AC2" w:rsidRDefault="00BB0269" w:rsidP="00D67D09">
            <w:pPr>
              <w:spacing w:after="0"/>
              <w:rPr>
                <w:rFonts w:asciiTheme="minorHAnsi" w:hAnsiTheme="minorHAnsi" w:cstheme="minorHAnsi"/>
                <w:sz w:val="18"/>
                <w:szCs w:val="18"/>
              </w:rPr>
            </w:pPr>
          </w:p>
        </w:tc>
        <w:tc>
          <w:tcPr>
            <w:tcW w:w="898" w:type="dxa"/>
            <w:vMerge/>
            <w:tcBorders>
              <w:top w:val="single" w:sz="8" w:space="0" w:color="auto"/>
              <w:left w:val="single" w:sz="4" w:space="0" w:color="auto"/>
              <w:bottom w:val="single" w:sz="4" w:space="0" w:color="auto"/>
              <w:right w:val="single" w:sz="4" w:space="0" w:color="auto"/>
            </w:tcBorders>
            <w:vAlign w:val="center"/>
            <w:hideMark/>
          </w:tcPr>
          <w:p w14:paraId="4B713006" w14:textId="77777777" w:rsidR="00BB0269" w:rsidRPr="00AC5AC2" w:rsidRDefault="00BB0269" w:rsidP="00D67D09">
            <w:pPr>
              <w:spacing w:after="0"/>
              <w:rPr>
                <w:rFonts w:asciiTheme="minorHAnsi" w:hAnsiTheme="minorHAnsi" w:cstheme="minorHAnsi"/>
                <w:sz w:val="18"/>
                <w:szCs w:val="18"/>
              </w:rPr>
            </w:pPr>
          </w:p>
        </w:tc>
        <w:tc>
          <w:tcPr>
            <w:tcW w:w="3328" w:type="dxa"/>
            <w:gridSpan w:val="3"/>
            <w:tcBorders>
              <w:top w:val="single" w:sz="8" w:space="0" w:color="auto"/>
              <w:left w:val="single" w:sz="4" w:space="0" w:color="auto"/>
              <w:bottom w:val="single" w:sz="4" w:space="0" w:color="auto"/>
              <w:right w:val="single" w:sz="4" w:space="0" w:color="auto"/>
            </w:tcBorders>
            <w:vAlign w:val="center"/>
            <w:hideMark/>
          </w:tcPr>
          <w:p w14:paraId="504C3E8E"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Malé podniky</w:t>
            </w:r>
          </w:p>
        </w:tc>
        <w:tc>
          <w:tcPr>
            <w:tcW w:w="1037" w:type="dxa"/>
            <w:gridSpan w:val="2"/>
            <w:tcBorders>
              <w:top w:val="single" w:sz="8" w:space="0" w:color="auto"/>
              <w:left w:val="nil"/>
              <w:bottom w:val="single" w:sz="4" w:space="0" w:color="auto"/>
              <w:right w:val="single" w:sz="4" w:space="0" w:color="auto"/>
            </w:tcBorders>
            <w:vAlign w:val="center"/>
            <w:hideMark/>
          </w:tcPr>
          <w:p w14:paraId="1808A867" w14:textId="77777777" w:rsidR="00BB0269" w:rsidRPr="00AC5AC2" w:rsidRDefault="00BB0269" w:rsidP="00D67D09">
            <w:pPr>
              <w:spacing w:after="0"/>
              <w:jc w:val="center"/>
              <w:rPr>
                <w:rFonts w:asciiTheme="minorHAnsi" w:hAnsiTheme="minorHAnsi" w:cstheme="minorHAnsi"/>
                <w:bCs/>
                <w:sz w:val="18"/>
                <w:szCs w:val="18"/>
              </w:rPr>
            </w:pPr>
            <w:r w:rsidRPr="00AC5AC2">
              <w:rPr>
                <w:rFonts w:asciiTheme="minorHAnsi" w:hAnsiTheme="minorHAnsi" w:cstheme="minorHAnsi"/>
                <w:bCs/>
                <w:sz w:val="18"/>
                <w:szCs w:val="18"/>
              </w:rPr>
              <w:t>0</w:t>
            </w:r>
          </w:p>
        </w:tc>
        <w:tc>
          <w:tcPr>
            <w:tcW w:w="993" w:type="dxa"/>
            <w:gridSpan w:val="2"/>
            <w:tcBorders>
              <w:top w:val="single" w:sz="8" w:space="0" w:color="auto"/>
              <w:left w:val="nil"/>
              <w:bottom w:val="single" w:sz="4" w:space="0" w:color="auto"/>
              <w:right w:val="single" w:sz="4" w:space="0" w:color="auto"/>
            </w:tcBorders>
            <w:noWrap/>
            <w:vAlign w:val="center"/>
            <w:hideMark/>
          </w:tcPr>
          <w:p w14:paraId="1F313097"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1043" w:type="dxa"/>
            <w:tcBorders>
              <w:top w:val="single" w:sz="8" w:space="0" w:color="auto"/>
              <w:left w:val="single" w:sz="4" w:space="0" w:color="auto"/>
              <w:bottom w:val="single" w:sz="4" w:space="0" w:color="auto"/>
              <w:right w:val="single" w:sz="12" w:space="0" w:color="auto"/>
            </w:tcBorders>
            <w:vAlign w:val="center"/>
            <w:hideMark/>
          </w:tcPr>
          <w:p w14:paraId="3D21DB09"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r>
      <w:tr w:rsidR="00AC5AC2" w:rsidRPr="00AC5AC2" w14:paraId="586B3AF8"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6D0CC97B"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2" w:space="0" w:color="auto"/>
              <w:left w:val="double" w:sz="2" w:space="0" w:color="auto"/>
              <w:bottom w:val="single" w:sz="12" w:space="0" w:color="auto"/>
              <w:right w:val="single" w:sz="4" w:space="0" w:color="auto"/>
            </w:tcBorders>
            <w:vAlign w:val="center"/>
            <w:hideMark/>
          </w:tcPr>
          <w:p w14:paraId="1E9A66B3" w14:textId="77777777" w:rsidR="00BB0269" w:rsidRPr="00AC5AC2" w:rsidRDefault="00BB0269" w:rsidP="00D67D09">
            <w:pPr>
              <w:spacing w:after="0"/>
              <w:rPr>
                <w:rFonts w:asciiTheme="minorHAnsi" w:hAnsiTheme="minorHAnsi" w:cstheme="minorHAnsi"/>
                <w:sz w:val="18"/>
                <w:szCs w:val="18"/>
              </w:rPr>
            </w:pPr>
          </w:p>
        </w:tc>
        <w:tc>
          <w:tcPr>
            <w:tcW w:w="898" w:type="dxa"/>
            <w:vMerge/>
            <w:tcBorders>
              <w:top w:val="single" w:sz="8" w:space="0" w:color="auto"/>
              <w:left w:val="single" w:sz="4" w:space="0" w:color="auto"/>
              <w:bottom w:val="single" w:sz="4" w:space="0" w:color="auto"/>
              <w:right w:val="single" w:sz="4" w:space="0" w:color="auto"/>
            </w:tcBorders>
            <w:vAlign w:val="center"/>
            <w:hideMark/>
          </w:tcPr>
          <w:p w14:paraId="2462B3FA" w14:textId="77777777" w:rsidR="00BB0269" w:rsidRPr="00AC5AC2" w:rsidRDefault="00BB0269" w:rsidP="00D67D09">
            <w:pPr>
              <w:spacing w:after="0"/>
              <w:rPr>
                <w:rFonts w:asciiTheme="minorHAnsi" w:hAnsiTheme="minorHAnsi" w:cstheme="minorHAnsi"/>
                <w:sz w:val="18"/>
                <w:szCs w:val="18"/>
              </w:rPr>
            </w:pPr>
          </w:p>
        </w:tc>
        <w:tc>
          <w:tcPr>
            <w:tcW w:w="3328" w:type="dxa"/>
            <w:gridSpan w:val="3"/>
            <w:tcBorders>
              <w:top w:val="single" w:sz="8" w:space="0" w:color="auto"/>
              <w:left w:val="single" w:sz="4" w:space="0" w:color="auto"/>
              <w:bottom w:val="single" w:sz="4" w:space="0" w:color="auto"/>
              <w:right w:val="single" w:sz="4" w:space="0" w:color="auto"/>
            </w:tcBorders>
            <w:vAlign w:val="center"/>
            <w:hideMark/>
          </w:tcPr>
          <w:p w14:paraId="799F3437"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Stredné podniky</w:t>
            </w:r>
          </w:p>
        </w:tc>
        <w:tc>
          <w:tcPr>
            <w:tcW w:w="1037" w:type="dxa"/>
            <w:gridSpan w:val="2"/>
            <w:tcBorders>
              <w:top w:val="single" w:sz="8" w:space="0" w:color="auto"/>
              <w:left w:val="nil"/>
              <w:bottom w:val="single" w:sz="4" w:space="0" w:color="auto"/>
              <w:right w:val="single" w:sz="4" w:space="0" w:color="auto"/>
            </w:tcBorders>
            <w:vAlign w:val="center"/>
            <w:hideMark/>
          </w:tcPr>
          <w:p w14:paraId="6BA31D3C" w14:textId="77777777" w:rsidR="00BB0269" w:rsidRPr="00AC5AC2" w:rsidRDefault="00BB0269" w:rsidP="00D67D09">
            <w:pPr>
              <w:spacing w:after="0"/>
              <w:ind w:right="45"/>
              <w:jc w:val="center"/>
              <w:rPr>
                <w:rFonts w:asciiTheme="minorHAnsi" w:hAnsiTheme="minorHAnsi" w:cstheme="minorHAnsi"/>
                <w:bCs/>
                <w:sz w:val="18"/>
                <w:szCs w:val="18"/>
              </w:rPr>
            </w:pPr>
            <w:r w:rsidRPr="00AC5AC2">
              <w:rPr>
                <w:rFonts w:asciiTheme="minorHAnsi" w:hAnsiTheme="minorHAnsi" w:cstheme="minorHAnsi"/>
                <w:bCs/>
                <w:sz w:val="18"/>
                <w:szCs w:val="18"/>
              </w:rPr>
              <w:t>0</w:t>
            </w:r>
          </w:p>
        </w:tc>
        <w:tc>
          <w:tcPr>
            <w:tcW w:w="993" w:type="dxa"/>
            <w:gridSpan w:val="2"/>
            <w:tcBorders>
              <w:top w:val="single" w:sz="8" w:space="0" w:color="auto"/>
              <w:left w:val="nil"/>
              <w:bottom w:val="single" w:sz="4" w:space="0" w:color="auto"/>
              <w:right w:val="single" w:sz="4" w:space="0" w:color="auto"/>
            </w:tcBorders>
            <w:noWrap/>
            <w:vAlign w:val="center"/>
            <w:hideMark/>
          </w:tcPr>
          <w:p w14:paraId="6BA57F5B" w14:textId="77777777" w:rsidR="00BB0269" w:rsidRPr="00AC5AC2" w:rsidRDefault="00BB0269" w:rsidP="00D67D09">
            <w:pPr>
              <w:spacing w:after="0"/>
              <w:ind w:right="29"/>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1043" w:type="dxa"/>
            <w:tcBorders>
              <w:top w:val="single" w:sz="8" w:space="0" w:color="auto"/>
              <w:left w:val="single" w:sz="4" w:space="0" w:color="auto"/>
              <w:bottom w:val="single" w:sz="4" w:space="0" w:color="auto"/>
              <w:right w:val="single" w:sz="12" w:space="0" w:color="auto"/>
            </w:tcBorders>
            <w:vAlign w:val="center"/>
            <w:hideMark/>
          </w:tcPr>
          <w:p w14:paraId="4713A9F0"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r>
      <w:tr w:rsidR="00BB0269" w:rsidRPr="00AC5AC2" w14:paraId="2CF259E8"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24C233AE"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2" w:space="0" w:color="auto"/>
              <w:left w:val="double" w:sz="2" w:space="0" w:color="auto"/>
              <w:bottom w:val="single" w:sz="12" w:space="0" w:color="auto"/>
              <w:right w:val="single" w:sz="4" w:space="0" w:color="auto"/>
            </w:tcBorders>
            <w:vAlign w:val="center"/>
            <w:hideMark/>
          </w:tcPr>
          <w:p w14:paraId="49457027" w14:textId="77777777" w:rsidR="00BB0269" w:rsidRPr="00AC5AC2" w:rsidRDefault="00BB0269" w:rsidP="00D67D09">
            <w:pPr>
              <w:spacing w:after="0"/>
              <w:rPr>
                <w:rFonts w:asciiTheme="minorHAnsi" w:hAnsiTheme="minorHAnsi" w:cstheme="minorHAnsi"/>
                <w:sz w:val="18"/>
                <w:szCs w:val="18"/>
              </w:rPr>
            </w:pPr>
          </w:p>
        </w:tc>
        <w:tc>
          <w:tcPr>
            <w:tcW w:w="4227" w:type="dxa"/>
            <w:gridSpan w:val="4"/>
            <w:tcBorders>
              <w:top w:val="single" w:sz="4" w:space="0" w:color="auto"/>
              <w:left w:val="single" w:sz="4" w:space="0" w:color="auto"/>
              <w:bottom w:val="single" w:sz="12" w:space="0" w:color="auto"/>
              <w:right w:val="single" w:sz="4" w:space="0" w:color="auto"/>
            </w:tcBorders>
            <w:vAlign w:val="center"/>
            <w:hideMark/>
          </w:tcPr>
          <w:p w14:paraId="07EC6F20"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Veľké podniky</w:t>
            </w:r>
          </w:p>
        </w:tc>
        <w:tc>
          <w:tcPr>
            <w:tcW w:w="1037" w:type="dxa"/>
            <w:gridSpan w:val="2"/>
            <w:tcBorders>
              <w:top w:val="single" w:sz="4" w:space="0" w:color="auto"/>
              <w:left w:val="nil"/>
              <w:bottom w:val="single" w:sz="12" w:space="0" w:color="auto"/>
              <w:right w:val="single" w:sz="4" w:space="0" w:color="auto"/>
            </w:tcBorders>
            <w:vAlign w:val="center"/>
            <w:hideMark/>
          </w:tcPr>
          <w:p w14:paraId="146FC1C5" w14:textId="2E472117" w:rsidR="00BB0269" w:rsidRPr="00AC5AC2" w:rsidRDefault="00BB0269" w:rsidP="00D67D09">
            <w:pPr>
              <w:spacing w:after="0"/>
              <w:ind w:right="45"/>
              <w:jc w:val="center"/>
              <w:rPr>
                <w:rFonts w:asciiTheme="minorHAnsi" w:hAnsiTheme="minorHAnsi" w:cstheme="minorHAnsi"/>
                <w:bCs/>
                <w:sz w:val="18"/>
                <w:szCs w:val="18"/>
              </w:rPr>
            </w:pPr>
            <w:r w:rsidRPr="00AC5AC2">
              <w:rPr>
                <w:rFonts w:asciiTheme="minorHAnsi" w:hAnsiTheme="minorHAnsi" w:cstheme="minorHAnsi"/>
                <w:bCs/>
                <w:sz w:val="18"/>
                <w:szCs w:val="18"/>
              </w:rPr>
              <w:t>2,66</w:t>
            </w:r>
          </w:p>
        </w:tc>
        <w:tc>
          <w:tcPr>
            <w:tcW w:w="993" w:type="dxa"/>
            <w:gridSpan w:val="2"/>
            <w:tcBorders>
              <w:top w:val="single" w:sz="8" w:space="0" w:color="auto"/>
              <w:left w:val="nil"/>
              <w:bottom w:val="single" w:sz="12" w:space="0" w:color="auto"/>
              <w:right w:val="single" w:sz="4" w:space="0" w:color="auto"/>
            </w:tcBorders>
            <w:noWrap/>
            <w:vAlign w:val="center"/>
            <w:hideMark/>
          </w:tcPr>
          <w:p w14:paraId="1E695D50" w14:textId="4F33C63D" w:rsidR="00BB0269" w:rsidRPr="00AC5AC2" w:rsidRDefault="00BB0269" w:rsidP="00D67D09">
            <w:pPr>
              <w:spacing w:after="0"/>
              <w:ind w:right="29"/>
              <w:jc w:val="center"/>
              <w:rPr>
                <w:rFonts w:asciiTheme="minorHAnsi" w:hAnsiTheme="minorHAnsi" w:cstheme="minorHAnsi"/>
                <w:bCs/>
                <w:sz w:val="18"/>
                <w:szCs w:val="18"/>
              </w:rPr>
            </w:pPr>
            <w:r w:rsidRPr="00AC5AC2">
              <w:rPr>
                <w:rFonts w:asciiTheme="minorHAnsi" w:hAnsiTheme="minorHAnsi" w:cstheme="minorHAnsi"/>
                <w:bCs/>
                <w:sz w:val="18"/>
                <w:szCs w:val="18"/>
              </w:rPr>
              <w:t>100</w:t>
            </w:r>
          </w:p>
        </w:tc>
        <w:tc>
          <w:tcPr>
            <w:tcW w:w="1043" w:type="dxa"/>
            <w:tcBorders>
              <w:top w:val="single" w:sz="8" w:space="0" w:color="auto"/>
              <w:left w:val="single" w:sz="4" w:space="0" w:color="auto"/>
              <w:bottom w:val="single" w:sz="12" w:space="0" w:color="auto"/>
              <w:right w:val="single" w:sz="12" w:space="0" w:color="auto"/>
            </w:tcBorders>
            <w:vAlign w:val="center"/>
            <w:hideMark/>
          </w:tcPr>
          <w:p w14:paraId="4B2D891F" w14:textId="77777777" w:rsidR="00BB0269" w:rsidRPr="00AC5AC2" w:rsidRDefault="00BB0269" w:rsidP="00D67D09">
            <w:pPr>
              <w:spacing w:after="0"/>
              <w:ind w:right="-26"/>
              <w:jc w:val="center"/>
              <w:rPr>
                <w:rFonts w:asciiTheme="minorHAnsi" w:hAnsiTheme="minorHAnsi" w:cstheme="minorHAnsi"/>
                <w:bCs/>
                <w:sz w:val="18"/>
                <w:szCs w:val="18"/>
              </w:rPr>
            </w:pPr>
            <w:r w:rsidRPr="00AC5AC2">
              <w:rPr>
                <w:rFonts w:asciiTheme="minorHAnsi" w:hAnsiTheme="minorHAnsi" w:cstheme="minorHAnsi"/>
                <w:bCs/>
                <w:sz w:val="18"/>
                <w:szCs w:val="18"/>
              </w:rPr>
              <w:t>8</w:t>
            </w:r>
          </w:p>
        </w:tc>
      </w:tr>
      <w:tr w:rsidR="00BB0269" w:rsidRPr="00AC5AC2" w14:paraId="065073B8" w14:textId="77777777" w:rsidTr="00442E8D">
        <w:trPr>
          <w:trHeight w:val="193"/>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686FE57B" w14:textId="77777777" w:rsidR="00BB0269" w:rsidRPr="00AC5AC2" w:rsidRDefault="00BB0269" w:rsidP="00D67D09">
            <w:pPr>
              <w:spacing w:after="0"/>
              <w:rPr>
                <w:rFonts w:asciiTheme="minorHAnsi" w:hAnsiTheme="minorHAnsi" w:cstheme="minorHAnsi"/>
                <w:b/>
                <w:sz w:val="18"/>
                <w:szCs w:val="18"/>
              </w:rPr>
            </w:pPr>
          </w:p>
        </w:tc>
        <w:tc>
          <w:tcPr>
            <w:tcW w:w="2438" w:type="dxa"/>
            <w:gridSpan w:val="3"/>
            <w:tcBorders>
              <w:top w:val="single" w:sz="12" w:space="0" w:color="auto"/>
              <w:left w:val="double" w:sz="2" w:space="0" w:color="auto"/>
              <w:bottom w:val="single" w:sz="2" w:space="0" w:color="auto"/>
              <w:right w:val="single" w:sz="2" w:space="0" w:color="auto"/>
            </w:tcBorders>
            <w:vAlign w:val="center"/>
            <w:hideMark/>
          </w:tcPr>
          <w:p w14:paraId="27C39579" w14:textId="75318705"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 xml:space="preserve">Podľa NUTS II </w:t>
            </w:r>
            <w:r w:rsidRPr="00AC5AC2">
              <w:rPr>
                <w:rFonts w:asciiTheme="minorHAnsi" w:hAnsiTheme="minorHAnsi" w:cstheme="minorHAnsi"/>
                <w:sz w:val="18"/>
                <w:szCs w:val="18"/>
              </w:rPr>
              <w:t xml:space="preserve">(v mil. </w:t>
            </w:r>
            <w:r w:rsidR="00AC5AC2" w:rsidRPr="00AC5AC2">
              <w:rPr>
                <w:rFonts w:asciiTheme="minorHAnsi" w:hAnsiTheme="minorHAnsi" w:cstheme="minorHAnsi"/>
                <w:sz w:val="18"/>
                <w:szCs w:val="18"/>
              </w:rPr>
              <w:t>eur</w:t>
            </w:r>
            <w:r w:rsidRPr="00AC5AC2">
              <w:rPr>
                <w:rFonts w:asciiTheme="minorHAnsi" w:hAnsiTheme="minorHAnsi" w:cstheme="minorHAnsi"/>
                <w:sz w:val="18"/>
                <w:szCs w:val="18"/>
              </w:rPr>
              <w:t>)</w:t>
            </w:r>
          </w:p>
        </w:tc>
        <w:tc>
          <w:tcPr>
            <w:tcW w:w="2373" w:type="dxa"/>
            <w:tcBorders>
              <w:top w:val="single" w:sz="12" w:space="0" w:color="auto"/>
              <w:left w:val="single" w:sz="2" w:space="0" w:color="auto"/>
              <w:bottom w:val="single" w:sz="2" w:space="0" w:color="auto"/>
              <w:right w:val="single" w:sz="4" w:space="0" w:color="auto"/>
            </w:tcBorders>
            <w:vAlign w:val="center"/>
            <w:hideMark/>
          </w:tcPr>
          <w:p w14:paraId="154A0B1E" w14:textId="77777777"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 xml:space="preserve">Podľa NUTS III </w:t>
            </w:r>
          </w:p>
          <w:p w14:paraId="54992E4D" w14:textId="43181ECF"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sz w:val="18"/>
                <w:szCs w:val="18"/>
              </w:rPr>
              <w:t xml:space="preserve">(v mil. </w:t>
            </w:r>
            <w:r w:rsidR="00AC5AC2" w:rsidRPr="00AC5AC2">
              <w:rPr>
                <w:rFonts w:asciiTheme="minorHAnsi" w:hAnsiTheme="minorHAnsi" w:cstheme="minorHAnsi"/>
                <w:sz w:val="18"/>
                <w:szCs w:val="18"/>
              </w:rPr>
              <w:t>eur</w:t>
            </w:r>
            <w:r w:rsidRPr="00AC5AC2">
              <w:rPr>
                <w:rFonts w:asciiTheme="minorHAnsi" w:hAnsiTheme="minorHAnsi" w:cstheme="minorHAnsi"/>
                <w:sz w:val="18"/>
                <w:szCs w:val="18"/>
              </w:rPr>
              <w:t>)</w:t>
            </w:r>
          </w:p>
        </w:tc>
        <w:tc>
          <w:tcPr>
            <w:tcW w:w="1037" w:type="dxa"/>
            <w:gridSpan w:val="2"/>
            <w:tcBorders>
              <w:top w:val="single" w:sz="12" w:space="0" w:color="auto"/>
              <w:left w:val="single" w:sz="2" w:space="0" w:color="auto"/>
              <w:bottom w:val="single" w:sz="2" w:space="0" w:color="auto"/>
              <w:right w:val="single" w:sz="4" w:space="0" w:color="auto"/>
            </w:tcBorders>
            <w:vAlign w:val="center"/>
            <w:hideMark/>
          </w:tcPr>
          <w:p w14:paraId="139226DA" w14:textId="77777777" w:rsidR="00BB0269" w:rsidRPr="00AC5AC2" w:rsidRDefault="00BB0269" w:rsidP="00D67D09">
            <w:pPr>
              <w:spacing w:after="0"/>
              <w:ind w:right="99"/>
              <w:jc w:val="center"/>
              <w:rPr>
                <w:rFonts w:asciiTheme="minorHAnsi" w:hAnsiTheme="minorHAnsi" w:cstheme="minorHAnsi"/>
                <w:b/>
                <w:sz w:val="18"/>
                <w:szCs w:val="18"/>
              </w:rPr>
            </w:pPr>
            <w:r w:rsidRPr="00AC5AC2">
              <w:rPr>
                <w:rFonts w:asciiTheme="minorHAnsi" w:hAnsiTheme="minorHAnsi" w:cstheme="minorHAnsi"/>
                <w:b/>
                <w:sz w:val="18"/>
                <w:szCs w:val="18"/>
              </w:rPr>
              <w:t>2,66</w:t>
            </w:r>
          </w:p>
        </w:tc>
        <w:tc>
          <w:tcPr>
            <w:tcW w:w="993" w:type="dxa"/>
            <w:gridSpan w:val="2"/>
            <w:tcBorders>
              <w:top w:val="single" w:sz="12" w:space="0" w:color="auto"/>
              <w:left w:val="single" w:sz="4" w:space="0" w:color="auto"/>
              <w:bottom w:val="single" w:sz="2" w:space="0" w:color="auto"/>
              <w:right w:val="single" w:sz="4" w:space="0" w:color="auto"/>
            </w:tcBorders>
            <w:vAlign w:val="center"/>
            <w:hideMark/>
          </w:tcPr>
          <w:p w14:paraId="68E93BBB" w14:textId="64CB7529" w:rsidR="00BB0269" w:rsidRPr="00AC5AC2" w:rsidRDefault="00BB0269"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Podiel</w:t>
            </w:r>
          </w:p>
          <w:p w14:paraId="56A55A29" w14:textId="77777777" w:rsidR="00BB0269" w:rsidRPr="00AC5AC2" w:rsidRDefault="00BB0269" w:rsidP="00D67D09">
            <w:pPr>
              <w:spacing w:after="0"/>
              <w:ind w:hanging="6"/>
              <w:jc w:val="center"/>
              <w:rPr>
                <w:rFonts w:asciiTheme="minorHAnsi" w:hAnsiTheme="minorHAnsi" w:cstheme="minorHAnsi"/>
                <w:sz w:val="18"/>
                <w:szCs w:val="18"/>
              </w:rPr>
            </w:pPr>
            <w:r w:rsidRPr="00AC5AC2">
              <w:rPr>
                <w:rFonts w:asciiTheme="minorHAnsi" w:hAnsiTheme="minorHAnsi" w:cstheme="minorHAnsi"/>
                <w:sz w:val="18"/>
                <w:szCs w:val="18"/>
              </w:rPr>
              <w:t>(v %)</w:t>
            </w:r>
          </w:p>
        </w:tc>
        <w:tc>
          <w:tcPr>
            <w:tcW w:w="1049" w:type="dxa"/>
            <w:gridSpan w:val="2"/>
            <w:tcBorders>
              <w:top w:val="single" w:sz="12" w:space="0" w:color="auto"/>
              <w:left w:val="single" w:sz="4" w:space="0" w:color="auto"/>
              <w:bottom w:val="single" w:sz="2" w:space="0" w:color="auto"/>
              <w:right w:val="single" w:sz="12" w:space="0" w:color="auto"/>
            </w:tcBorders>
            <w:vAlign w:val="center"/>
            <w:hideMark/>
          </w:tcPr>
          <w:p w14:paraId="2080BFF2" w14:textId="77777777" w:rsidR="00BB0269" w:rsidRPr="00AC5AC2" w:rsidRDefault="00BB0269" w:rsidP="00D67D09">
            <w:pPr>
              <w:spacing w:after="0"/>
              <w:ind w:hanging="6"/>
              <w:jc w:val="center"/>
              <w:rPr>
                <w:rFonts w:asciiTheme="minorHAnsi" w:hAnsiTheme="minorHAnsi" w:cstheme="minorHAnsi"/>
                <w:b/>
                <w:sz w:val="18"/>
                <w:szCs w:val="18"/>
              </w:rPr>
            </w:pPr>
            <w:r w:rsidRPr="00AC5AC2">
              <w:rPr>
                <w:rFonts w:asciiTheme="minorHAnsi" w:hAnsiTheme="minorHAnsi" w:cstheme="minorHAnsi"/>
                <w:b/>
                <w:sz w:val="18"/>
                <w:szCs w:val="18"/>
              </w:rPr>
              <w:t>Počet príjemcov</w:t>
            </w:r>
          </w:p>
        </w:tc>
      </w:tr>
      <w:tr w:rsidR="00D75B88" w:rsidRPr="00AC5AC2" w14:paraId="4285D045" w14:textId="77777777" w:rsidTr="00442E8D">
        <w:trPr>
          <w:trHeight w:hRule="exact" w:val="265"/>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57741449" w14:textId="77777777" w:rsidR="00BB0269" w:rsidRPr="00AC5AC2" w:rsidRDefault="00BB0269" w:rsidP="00D67D09">
            <w:pPr>
              <w:spacing w:after="0"/>
              <w:rPr>
                <w:rFonts w:asciiTheme="minorHAnsi" w:hAnsiTheme="minorHAnsi" w:cstheme="minorHAnsi"/>
                <w:b/>
                <w:sz w:val="18"/>
                <w:szCs w:val="18"/>
              </w:rPr>
            </w:pPr>
          </w:p>
        </w:tc>
        <w:tc>
          <w:tcPr>
            <w:tcW w:w="591" w:type="dxa"/>
            <w:vMerge w:val="restart"/>
            <w:tcBorders>
              <w:top w:val="single" w:sz="4" w:space="0" w:color="auto"/>
              <w:left w:val="double" w:sz="2" w:space="0" w:color="auto"/>
              <w:bottom w:val="single" w:sz="12" w:space="0" w:color="auto"/>
              <w:right w:val="single" w:sz="2" w:space="0" w:color="auto"/>
            </w:tcBorders>
            <w:textDirection w:val="btLr"/>
          </w:tcPr>
          <w:p w14:paraId="1B3B2870" w14:textId="77777777" w:rsidR="00BB0269" w:rsidRPr="00AC5AC2" w:rsidRDefault="00BB0269" w:rsidP="00D75B88">
            <w:pPr>
              <w:spacing w:after="0"/>
              <w:ind w:left="113" w:right="113"/>
              <w:jc w:val="center"/>
              <w:rPr>
                <w:rFonts w:asciiTheme="minorHAnsi" w:hAnsiTheme="minorHAnsi" w:cstheme="minorHAnsi"/>
                <w:sz w:val="18"/>
                <w:szCs w:val="18"/>
              </w:rPr>
            </w:pPr>
            <w:r w:rsidRPr="00AC5AC2">
              <w:rPr>
                <w:rFonts w:asciiTheme="minorHAnsi" w:hAnsiTheme="minorHAnsi" w:cstheme="minorHAnsi"/>
                <w:sz w:val="18"/>
                <w:szCs w:val="18"/>
              </w:rPr>
              <w:t>z toho</w:t>
            </w:r>
          </w:p>
          <w:p w14:paraId="478B0417" w14:textId="77777777" w:rsidR="00BB0269" w:rsidRPr="00AC5AC2" w:rsidRDefault="00BB0269" w:rsidP="00D67D09">
            <w:pPr>
              <w:spacing w:after="0"/>
              <w:ind w:left="113" w:right="426"/>
              <w:rPr>
                <w:rFonts w:asciiTheme="minorHAnsi" w:hAnsiTheme="minorHAnsi" w:cstheme="minorHAnsi"/>
                <w:sz w:val="18"/>
                <w:szCs w:val="18"/>
              </w:rPr>
            </w:pPr>
          </w:p>
        </w:tc>
        <w:tc>
          <w:tcPr>
            <w:tcW w:w="1847" w:type="dxa"/>
            <w:gridSpan w:val="2"/>
            <w:tcBorders>
              <w:top w:val="single" w:sz="2" w:space="0" w:color="auto"/>
              <w:left w:val="single" w:sz="2" w:space="0" w:color="auto"/>
              <w:bottom w:val="single" w:sz="2" w:space="0" w:color="auto"/>
              <w:right w:val="single" w:sz="2" w:space="0" w:color="auto"/>
            </w:tcBorders>
            <w:vAlign w:val="center"/>
            <w:hideMark/>
          </w:tcPr>
          <w:p w14:paraId="3B28B10F" w14:textId="77777777"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Bratislavský kraj</w:t>
            </w:r>
          </w:p>
        </w:tc>
        <w:tc>
          <w:tcPr>
            <w:tcW w:w="2379" w:type="dxa"/>
            <w:gridSpan w:val="2"/>
            <w:tcBorders>
              <w:top w:val="single" w:sz="2" w:space="0" w:color="auto"/>
              <w:left w:val="single" w:sz="2" w:space="0" w:color="auto"/>
              <w:bottom w:val="single" w:sz="2" w:space="0" w:color="auto"/>
              <w:right w:val="single" w:sz="4" w:space="0" w:color="auto"/>
            </w:tcBorders>
            <w:vAlign w:val="center"/>
            <w:hideMark/>
          </w:tcPr>
          <w:p w14:paraId="231D69F6"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Bratislavský kraj</w:t>
            </w:r>
          </w:p>
        </w:tc>
        <w:tc>
          <w:tcPr>
            <w:tcW w:w="1037" w:type="dxa"/>
            <w:gridSpan w:val="2"/>
            <w:tcBorders>
              <w:top w:val="single" w:sz="2" w:space="0" w:color="auto"/>
              <w:left w:val="single" w:sz="2" w:space="0" w:color="auto"/>
              <w:bottom w:val="single" w:sz="2" w:space="0" w:color="auto"/>
              <w:right w:val="single" w:sz="4" w:space="0" w:color="auto"/>
            </w:tcBorders>
            <w:vAlign w:val="center"/>
            <w:hideMark/>
          </w:tcPr>
          <w:p w14:paraId="3A76D038" w14:textId="4FF6C2E6"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993" w:type="dxa"/>
            <w:gridSpan w:val="2"/>
            <w:tcBorders>
              <w:top w:val="single" w:sz="2" w:space="0" w:color="auto"/>
              <w:left w:val="single" w:sz="4" w:space="0" w:color="auto"/>
              <w:bottom w:val="single" w:sz="2" w:space="0" w:color="auto"/>
              <w:right w:val="single" w:sz="4" w:space="0" w:color="auto"/>
            </w:tcBorders>
            <w:vAlign w:val="center"/>
            <w:hideMark/>
          </w:tcPr>
          <w:p w14:paraId="7B1EC39D"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1043" w:type="dxa"/>
            <w:tcBorders>
              <w:top w:val="single" w:sz="2" w:space="0" w:color="auto"/>
              <w:left w:val="single" w:sz="4" w:space="0" w:color="auto"/>
              <w:bottom w:val="single" w:sz="2" w:space="0" w:color="auto"/>
              <w:right w:val="single" w:sz="12" w:space="0" w:color="auto"/>
            </w:tcBorders>
            <w:vAlign w:val="center"/>
            <w:hideMark/>
          </w:tcPr>
          <w:p w14:paraId="664364FB"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r>
      <w:tr w:rsidR="00AC5AC2" w:rsidRPr="00AC5AC2" w14:paraId="3BD9EFE3" w14:textId="77777777" w:rsidTr="00442E8D">
        <w:trPr>
          <w:trHeight w:val="110"/>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2293ADCD"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167F56EF"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val="restart"/>
            <w:tcBorders>
              <w:top w:val="single" w:sz="2" w:space="0" w:color="auto"/>
              <w:left w:val="single" w:sz="2" w:space="0" w:color="auto"/>
              <w:bottom w:val="single" w:sz="2" w:space="0" w:color="auto"/>
              <w:right w:val="single" w:sz="2" w:space="0" w:color="auto"/>
            </w:tcBorders>
            <w:vAlign w:val="center"/>
          </w:tcPr>
          <w:p w14:paraId="2E36D0EA" w14:textId="77777777"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Západné Slovensko</w:t>
            </w:r>
          </w:p>
          <w:p w14:paraId="07F95C6E" w14:textId="77777777" w:rsidR="00BB0269" w:rsidRPr="00AC5AC2" w:rsidRDefault="00BB0269" w:rsidP="00D67D09">
            <w:pPr>
              <w:spacing w:after="0"/>
              <w:ind w:right="426"/>
              <w:rPr>
                <w:rFonts w:asciiTheme="minorHAnsi" w:hAnsiTheme="minorHAnsi" w:cstheme="minorHAnsi"/>
                <w:b/>
                <w:sz w:val="18"/>
                <w:szCs w:val="18"/>
              </w:rPr>
            </w:pPr>
          </w:p>
        </w:tc>
        <w:tc>
          <w:tcPr>
            <w:tcW w:w="2379" w:type="dxa"/>
            <w:gridSpan w:val="2"/>
            <w:tcBorders>
              <w:top w:val="single" w:sz="2" w:space="0" w:color="auto"/>
              <w:left w:val="single" w:sz="2" w:space="0" w:color="auto"/>
              <w:bottom w:val="single" w:sz="4" w:space="0" w:color="auto"/>
              <w:right w:val="single" w:sz="4" w:space="0" w:color="auto"/>
            </w:tcBorders>
            <w:vAlign w:val="center"/>
            <w:hideMark/>
          </w:tcPr>
          <w:p w14:paraId="045B9D04"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Trnavský kraj</w:t>
            </w:r>
          </w:p>
        </w:tc>
        <w:tc>
          <w:tcPr>
            <w:tcW w:w="1037" w:type="dxa"/>
            <w:gridSpan w:val="2"/>
            <w:tcBorders>
              <w:top w:val="single" w:sz="2" w:space="0" w:color="auto"/>
              <w:left w:val="single" w:sz="2" w:space="0" w:color="auto"/>
              <w:bottom w:val="single" w:sz="4" w:space="0" w:color="auto"/>
              <w:right w:val="single" w:sz="4" w:space="0" w:color="auto"/>
            </w:tcBorders>
            <w:vAlign w:val="center"/>
            <w:hideMark/>
          </w:tcPr>
          <w:p w14:paraId="49A346A5"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993" w:type="dxa"/>
            <w:gridSpan w:val="2"/>
            <w:tcBorders>
              <w:top w:val="single" w:sz="2" w:space="0" w:color="auto"/>
              <w:left w:val="single" w:sz="4" w:space="0" w:color="auto"/>
              <w:bottom w:val="single" w:sz="4" w:space="0" w:color="auto"/>
              <w:right w:val="single" w:sz="4" w:space="0" w:color="auto"/>
            </w:tcBorders>
            <w:vAlign w:val="center"/>
            <w:hideMark/>
          </w:tcPr>
          <w:p w14:paraId="17D9F785"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1043" w:type="dxa"/>
            <w:tcBorders>
              <w:top w:val="single" w:sz="2" w:space="0" w:color="auto"/>
              <w:left w:val="single" w:sz="4" w:space="0" w:color="auto"/>
              <w:bottom w:val="single" w:sz="4" w:space="0" w:color="auto"/>
              <w:right w:val="single" w:sz="12" w:space="0" w:color="auto"/>
            </w:tcBorders>
            <w:vAlign w:val="center"/>
            <w:hideMark/>
          </w:tcPr>
          <w:p w14:paraId="1FF9590C"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r>
      <w:tr w:rsidR="00AC5AC2" w:rsidRPr="00AC5AC2" w14:paraId="21043C07" w14:textId="77777777" w:rsidTr="00442E8D">
        <w:trPr>
          <w:trHeight w:val="110"/>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32D498BB"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20F3F96E"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tcBorders>
              <w:top w:val="single" w:sz="2" w:space="0" w:color="auto"/>
              <w:left w:val="single" w:sz="2" w:space="0" w:color="auto"/>
              <w:bottom w:val="single" w:sz="2" w:space="0" w:color="auto"/>
              <w:right w:val="single" w:sz="2" w:space="0" w:color="auto"/>
            </w:tcBorders>
            <w:vAlign w:val="center"/>
            <w:hideMark/>
          </w:tcPr>
          <w:p w14:paraId="4AB4ACFA" w14:textId="77777777" w:rsidR="00BB0269" w:rsidRPr="00AC5AC2" w:rsidRDefault="00BB0269" w:rsidP="00D67D09">
            <w:pPr>
              <w:spacing w:after="0"/>
              <w:rPr>
                <w:rFonts w:asciiTheme="minorHAnsi" w:hAnsiTheme="minorHAnsi" w:cstheme="minorHAnsi"/>
                <w:b/>
                <w:sz w:val="18"/>
                <w:szCs w:val="18"/>
              </w:rPr>
            </w:pPr>
          </w:p>
        </w:tc>
        <w:tc>
          <w:tcPr>
            <w:tcW w:w="2379" w:type="dxa"/>
            <w:gridSpan w:val="2"/>
            <w:tcBorders>
              <w:top w:val="single" w:sz="4" w:space="0" w:color="auto"/>
              <w:left w:val="single" w:sz="2" w:space="0" w:color="auto"/>
              <w:bottom w:val="single" w:sz="4" w:space="0" w:color="auto"/>
              <w:right w:val="single" w:sz="4" w:space="0" w:color="auto"/>
            </w:tcBorders>
            <w:vAlign w:val="center"/>
            <w:hideMark/>
          </w:tcPr>
          <w:p w14:paraId="105CDF9F"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Trenčiansky kraj</w:t>
            </w:r>
          </w:p>
        </w:tc>
        <w:tc>
          <w:tcPr>
            <w:tcW w:w="1037" w:type="dxa"/>
            <w:gridSpan w:val="2"/>
            <w:tcBorders>
              <w:top w:val="single" w:sz="4" w:space="0" w:color="auto"/>
              <w:left w:val="single" w:sz="2" w:space="0" w:color="auto"/>
              <w:bottom w:val="single" w:sz="4" w:space="0" w:color="auto"/>
              <w:right w:val="single" w:sz="4" w:space="0" w:color="auto"/>
            </w:tcBorders>
            <w:vAlign w:val="center"/>
            <w:hideMark/>
          </w:tcPr>
          <w:p w14:paraId="55FB8059"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0,06</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C77A8E8"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2,25</w:t>
            </w:r>
          </w:p>
        </w:tc>
        <w:tc>
          <w:tcPr>
            <w:tcW w:w="1043" w:type="dxa"/>
            <w:tcBorders>
              <w:top w:val="single" w:sz="4" w:space="0" w:color="auto"/>
              <w:left w:val="single" w:sz="4" w:space="0" w:color="auto"/>
              <w:bottom w:val="single" w:sz="4" w:space="0" w:color="auto"/>
              <w:right w:val="single" w:sz="12" w:space="0" w:color="auto"/>
            </w:tcBorders>
            <w:vAlign w:val="center"/>
            <w:hideMark/>
          </w:tcPr>
          <w:p w14:paraId="05978634"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w:t>
            </w:r>
          </w:p>
        </w:tc>
      </w:tr>
      <w:tr w:rsidR="00AC5AC2" w:rsidRPr="00AC5AC2" w14:paraId="699F9749" w14:textId="77777777" w:rsidTr="00442E8D">
        <w:trPr>
          <w:trHeight w:val="110"/>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3A7FA8CB"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4E7B3BD4"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tcBorders>
              <w:top w:val="single" w:sz="2" w:space="0" w:color="auto"/>
              <w:left w:val="single" w:sz="2" w:space="0" w:color="auto"/>
              <w:bottom w:val="single" w:sz="2" w:space="0" w:color="auto"/>
              <w:right w:val="single" w:sz="2" w:space="0" w:color="auto"/>
            </w:tcBorders>
            <w:vAlign w:val="center"/>
            <w:hideMark/>
          </w:tcPr>
          <w:p w14:paraId="68B303D0" w14:textId="77777777" w:rsidR="00BB0269" w:rsidRPr="00AC5AC2" w:rsidRDefault="00BB0269" w:rsidP="00D67D09">
            <w:pPr>
              <w:spacing w:after="0"/>
              <w:rPr>
                <w:rFonts w:asciiTheme="minorHAnsi" w:hAnsiTheme="minorHAnsi" w:cstheme="minorHAnsi"/>
                <w:b/>
                <w:sz w:val="18"/>
                <w:szCs w:val="18"/>
              </w:rPr>
            </w:pPr>
          </w:p>
        </w:tc>
        <w:tc>
          <w:tcPr>
            <w:tcW w:w="2379" w:type="dxa"/>
            <w:gridSpan w:val="2"/>
            <w:tcBorders>
              <w:top w:val="single" w:sz="4" w:space="0" w:color="auto"/>
              <w:left w:val="single" w:sz="2" w:space="0" w:color="auto"/>
              <w:bottom w:val="single" w:sz="4" w:space="0" w:color="auto"/>
              <w:right w:val="single" w:sz="4" w:space="0" w:color="auto"/>
            </w:tcBorders>
            <w:vAlign w:val="center"/>
            <w:hideMark/>
          </w:tcPr>
          <w:p w14:paraId="36A62D90"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Nitriansky kraj</w:t>
            </w:r>
          </w:p>
        </w:tc>
        <w:tc>
          <w:tcPr>
            <w:tcW w:w="1037" w:type="dxa"/>
            <w:gridSpan w:val="2"/>
            <w:tcBorders>
              <w:top w:val="single" w:sz="4" w:space="0" w:color="auto"/>
              <w:left w:val="single" w:sz="2" w:space="0" w:color="auto"/>
              <w:bottom w:val="single" w:sz="2" w:space="0" w:color="auto"/>
              <w:right w:val="single" w:sz="4" w:space="0" w:color="auto"/>
            </w:tcBorders>
            <w:vAlign w:val="center"/>
            <w:hideMark/>
          </w:tcPr>
          <w:p w14:paraId="202EAF7A"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993" w:type="dxa"/>
            <w:gridSpan w:val="2"/>
            <w:tcBorders>
              <w:top w:val="single" w:sz="4" w:space="0" w:color="auto"/>
              <w:left w:val="single" w:sz="4" w:space="0" w:color="auto"/>
              <w:bottom w:val="single" w:sz="2" w:space="0" w:color="auto"/>
              <w:right w:val="single" w:sz="4" w:space="0" w:color="auto"/>
            </w:tcBorders>
            <w:vAlign w:val="center"/>
            <w:hideMark/>
          </w:tcPr>
          <w:p w14:paraId="3A0E9DB5"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c>
          <w:tcPr>
            <w:tcW w:w="1043" w:type="dxa"/>
            <w:tcBorders>
              <w:top w:val="single" w:sz="4" w:space="0" w:color="auto"/>
              <w:left w:val="single" w:sz="4" w:space="0" w:color="auto"/>
              <w:bottom w:val="single" w:sz="2" w:space="0" w:color="auto"/>
              <w:right w:val="single" w:sz="12" w:space="0" w:color="auto"/>
            </w:tcBorders>
            <w:vAlign w:val="center"/>
            <w:hideMark/>
          </w:tcPr>
          <w:p w14:paraId="5DC5000B"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w:t>
            </w:r>
          </w:p>
        </w:tc>
      </w:tr>
      <w:tr w:rsidR="00AC5AC2" w:rsidRPr="00AC5AC2" w14:paraId="1431B0BC"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2A7BBDF0"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683261AC"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val="restart"/>
            <w:tcBorders>
              <w:top w:val="single" w:sz="2" w:space="0" w:color="auto"/>
              <w:left w:val="single" w:sz="2" w:space="0" w:color="auto"/>
              <w:bottom w:val="single" w:sz="4" w:space="0" w:color="auto"/>
              <w:right w:val="single" w:sz="2" w:space="0" w:color="auto"/>
            </w:tcBorders>
            <w:vAlign w:val="center"/>
            <w:hideMark/>
          </w:tcPr>
          <w:p w14:paraId="6FD9FA3E" w14:textId="77777777"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Stredné Slovensko</w:t>
            </w:r>
          </w:p>
        </w:tc>
        <w:tc>
          <w:tcPr>
            <w:tcW w:w="2379" w:type="dxa"/>
            <w:gridSpan w:val="2"/>
            <w:tcBorders>
              <w:top w:val="single" w:sz="4" w:space="0" w:color="auto"/>
              <w:left w:val="single" w:sz="2" w:space="0" w:color="auto"/>
              <w:bottom w:val="single" w:sz="4" w:space="0" w:color="auto"/>
              <w:right w:val="single" w:sz="4" w:space="0" w:color="auto"/>
            </w:tcBorders>
            <w:vAlign w:val="center"/>
            <w:hideMark/>
          </w:tcPr>
          <w:p w14:paraId="186218E8"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Žilinský kraj</w:t>
            </w:r>
          </w:p>
        </w:tc>
        <w:tc>
          <w:tcPr>
            <w:tcW w:w="1037" w:type="dxa"/>
            <w:gridSpan w:val="2"/>
            <w:tcBorders>
              <w:top w:val="single" w:sz="2" w:space="0" w:color="auto"/>
              <w:left w:val="single" w:sz="2" w:space="0" w:color="auto"/>
              <w:bottom w:val="single" w:sz="4" w:space="0" w:color="auto"/>
              <w:right w:val="single" w:sz="4" w:space="0" w:color="auto"/>
            </w:tcBorders>
            <w:vAlign w:val="center"/>
            <w:hideMark/>
          </w:tcPr>
          <w:p w14:paraId="066243D7"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0,16</w:t>
            </w:r>
          </w:p>
        </w:tc>
        <w:tc>
          <w:tcPr>
            <w:tcW w:w="993" w:type="dxa"/>
            <w:gridSpan w:val="2"/>
            <w:tcBorders>
              <w:top w:val="single" w:sz="2" w:space="0" w:color="auto"/>
              <w:left w:val="single" w:sz="4" w:space="0" w:color="auto"/>
              <w:bottom w:val="single" w:sz="4" w:space="0" w:color="auto"/>
              <w:right w:val="single" w:sz="4" w:space="0" w:color="auto"/>
            </w:tcBorders>
            <w:vAlign w:val="center"/>
            <w:hideMark/>
          </w:tcPr>
          <w:p w14:paraId="02D1547E"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6,01</w:t>
            </w:r>
          </w:p>
        </w:tc>
        <w:tc>
          <w:tcPr>
            <w:tcW w:w="1043" w:type="dxa"/>
            <w:tcBorders>
              <w:top w:val="single" w:sz="2" w:space="0" w:color="auto"/>
              <w:left w:val="single" w:sz="4" w:space="0" w:color="auto"/>
              <w:bottom w:val="single" w:sz="4" w:space="0" w:color="auto"/>
              <w:right w:val="single" w:sz="12" w:space="0" w:color="auto"/>
            </w:tcBorders>
            <w:vAlign w:val="center"/>
            <w:hideMark/>
          </w:tcPr>
          <w:p w14:paraId="33A320E5"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w:t>
            </w:r>
          </w:p>
        </w:tc>
      </w:tr>
      <w:tr w:rsidR="00AC5AC2" w:rsidRPr="00AC5AC2" w14:paraId="4EDF80CF"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5155E7F9"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67B126D4"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tcBorders>
              <w:top w:val="single" w:sz="2" w:space="0" w:color="auto"/>
              <w:left w:val="single" w:sz="2" w:space="0" w:color="auto"/>
              <w:bottom w:val="single" w:sz="4" w:space="0" w:color="auto"/>
              <w:right w:val="single" w:sz="2" w:space="0" w:color="auto"/>
            </w:tcBorders>
            <w:vAlign w:val="center"/>
            <w:hideMark/>
          </w:tcPr>
          <w:p w14:paraId="122B7806" w14:textId="77777777" w:rsidR="00BB0269" w:rsidRPr="00AC5AC2" w:rsidRDefault="00BB0269" w:rsidP="00D67D09">
            <w:pPr>
              <w:spacing w:after="0"/>
              <w:rPr>
                <w:rFonts w:asciiTheme="minorHAnsi" w:hAnsiTheme="minorHAnsi" w:cstheme="minorHAnsi"/>
                <w:b/>
                <w:sz w:val="18"/>
                <w:szCs w:val="18"/>
              </w:rPr>
            </w:pPr>
          </w:p>
        </w:tc>
        <w:tc>
          <w:tcPr>
            <w:tcW w:w="2379" w:type="dxa"/>
            <w:gridSpan w:val="2"/>
            <w:tcBorders>
              <w:top w:val="single" w:sz="4" w:space="0" w:color="auto"/>
              <w:left w:val="single" w:sz="2" w:space="0" w:color="auto"/>
              <w:bottom w:val="single" w:sz="2" w:space="0" w:color="auto"/>
              <w:right w:val="single" w:sz="4" w:space="0" w:color="auto"/>
            </w:tcBorders>
            <w:vAlign w:val="center"/>
            <w:hideMark/>
          </w:tcPr>
          <w:p w14:paraId="28A82BF6"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Banskobystrický kraj</w:t>
            </w:r>
          </w:p>
        </w:tc>
        <w:tc>
          <w:tcPr>
            <w:tcW w:w="1037" w:type="dxa"/>
            <w:gridSpan w:val="2"/>
            <w:tcBorders>
              <w:top w:val="single" w:sz="4" w:space="0" w:color="auto"/>
              <w:left w:val="single" w:sz="2" w:space="0" w:color="auto"/>
              <w:bottom w:val="single" w:sz="2" w:space="0" w:color="auto"/>
              <w:right w:val="single" w:sz="4" w:space="0" w:color="auto"/>
            </w:tcBorders>
            <w:vAlign w:val="center"/>
            <w:hideMark/>
          </w:tcPr>
          <w:p w14:paraId="56AB5588"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0,2</w:t>
            </w:r>
          </w:p>
        </w:tc>
        <w:tc>
          <w:tcPr>
            <w:tcW w:w="993" w:type="dxa"/>
            <w:gridSpan w:val="2"/>
            <w:tcBorders>
              <w:top w:val="single" w:sz="4" w:space="0" w:color="auto"/>
              <w:left w:val="single" w:sz="4" w:space="0" w:color="auto"/>
              <w:bottom w:val="single" w:sz="2" w:space="0" w:color="auto"/>
              <w:right w:val="single" w:sz="4" w:space="0" w:color="auto"/>
            </w:tcBorders>
            <w:vAlign w:val="center"/>
            <w:hideMark/>
          </w:tcPr>
          <w:p w14:paraId="05FD2218"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7,52</w:t>
            </w:r>
          </w:p>
        </w:tc>
        <w:tc>
          <w:tcPr>
            <w:tcW w:w="1043" w:type="dxa"/>
            <w:tcBorders>
              <w:top w:val="single" w:sz="4" w:space="0" w:color="auto"/>
              <w:left w:val="single" w:sz="4" w:space="0" w:color="auto"/>
              <w:bottom w:val="single" w:sz="2" w:space="0" w:color="auto"/>
              <w:right w:val="single" w:sz="12" w:space="0" w:color="auto"/>
            </w:tcBorders>
            <w:vAlign w:val="center"/>
            <w:hideMark/>
          </w:tcPr>
          <w:p w14:paraId="5B11A478"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w:t>
            </w:r>
          </w:p>
        </w:tc>
      </w:tr>
      <w:tr w:rsidR="00AC5AC2" w:rsidRPr="00AC5AC2" w14:paraId="225AC64E"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6F5D70A5"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6EB755E9"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val="restart"/>
            <w:tcBorders>
              <w:top w:val="single" w:sz="2" w:space="0" w:color="auto"/>
              <w:left w:val="single" w:sz="2" w:space="0" w:color="auto"/>
              <w:bottom w:val="single" w:sz="12" w:space="0" w:color="auto"/>
              <w:right w:val="single" w:sz="2" w:space="0" w:color="auto"/>
            </w:tcBorders>
            <w:vAlign w:val="center"/>
            <w:hideMark/>
          </w:tcPr>
          <w:p w14:paraId="0A67C21C" w14:textId="77777777" w:rsidR="00BB0269" w:rsidRPr="00AC5AC2" w:rsidRDefault="00BB0269" w:rsidP="00D67D09">
            <w:pPr>
              <w:spacing w:after="0"/>
              <w:ind w:right="426"/>
              <w:rPr>
                <w:rFonts w:asciiTheme="minorHAnsi" w:hAnsiTheme="minorHAnsi" w:cstheme="minorHAnsi"/>
                <w:b/>
                <w:sz w:val="18"/>
                <w:szCs w:val="18"/>
              </w:rPr>
            </w:pPr>
            <w:r w:rsidRPr="00AC5AC2">
              <w:rPr>
                <w:rFonts w:asciiTheme="minorHAnsi" w:hAnsiTheme="minorHAnsi" w:cstheme="minorHAnsi"/>
                <w:b/>
                <w:sz w:val="18"/>
                <w:szCs w:val="18"/>
              </w:rPr>
              <w:t>Východné Slovensko</w:t>
            </w:r>
          </w:p>
        </w:tc>
        <w:tc>
          <w:tcPr>
            <w:tcW w:w="2379" w:type="dxa"/>
            <w:gridSpan w:val="2"/>
            <w:tcBorders>
              <w:top w:val="single" w:sz="2" w:space="0" w:color="auto"/>
              <w:left w:val="single" w:sz="2" w:space="0" w:color="auto"/>
              <w:bottom w:val="single" w:sz="4" w:space="0" w:color="auto"/>
              <w:right w:val="single" w:sz="4" w:space="0" w:color="auto"/>
            </w:tcBorders>
            <w:vAlign w:val="center"/>
            <w:hideMark/>
          </w:tcPr>
          <w:p w14:paraId="498E6664"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Košický kraj</w:t>
            </w:r>
          </w:p>
        </w:tc>
        <w:tc>
          <w:tcPr>
            <w:tcW w:w="1037" w:type="dxa"/>
            <w:gridSpan w:val="2"/>
            <w:tcBorders>
              <w:top w:val="single" w:sz="2" w:space="0" w:color="auto"/>
              <w:left w:val="single" w:sz="4" w:space="0" w:color="auto"/>
              <w:bottom w:val="single" w:sz="4" w:space="0" w:color="auto"/>
              <w:right w:val="single" w:sz="2" w:space="0" w:color="auto"/>
            </w:tcBorders>
            <w:vAlign w:val="center"/>
            <w:hideMark/>
          </w:tcPr>
          <w:p w14:paraId="76FAE956"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1,9</w:t>
            </w:r>
          </w:p>
        </w:tc>
        <w:tc>
          <w:tcPr>
            <w:tcW w:w="993" w:type="dxa"/>
            <w:gridSpan w:val="2"/>
            <w:tcBorders>
              <w:top w:val="single" w:sz="2" w:space="0" w:color="auto"/>
              <w:left w:val="single" w:sz="2" w:space="0" w:color="auto"/>
              <w:bottom w:val="single" w:sz="4" w:space="0" w:color="auto"/>
              <w:right w:val="single" w:sz="4" w:space="0" w:color="auto"/>
            </w:tcBorders>
            <w:vAlign w:val="center"/>
            <w:hideMark/>
          </w:tcPr>
          <w:p w14:paraId="12D66E5F"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71,44</w:t>
            </w:r>
          </w:p>
        </w:tc>
        <w:tc>
          <w:tcPr>
            <w:tcW w:w="1043" w:type="dxa"/>
            <w:tcBorders>
              <w:top w:val="single" w:sz="2" w:space="0" w:color="auto"/>
              <w:left w:val="single" w:sz="4" w:space="0" w:color="auto"/>
              <w:bottom w:val="single" w:sz="4" w:space="0" w:color="auto"/>
              <w:right w:val="single" w:sz="12" w:space="0" w:color="auto"/>
            </w:tcBorders>
            <w:vAlign w:val="center"/>
            <w:hideMark/>
          </w:tcPr>
          <w:p w14:paraId="4754FC2B"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w:t>
            </w:r>
          </w:p>
        </w:tc>
      </w:tr>
      <w:tr w:rsidR="00AC5AC2" w:rsidRPr="00AC5AC2" w14:paraId="15E445EF" w14:textId="77777777" w:rsidTr="00442E8D">
        <w:trPr>
          <w:trHeight w:val="109"/>
          <w:jc w:val="center"/>
        </w:trPr>
        <w:tc>
          <w:tcPr>
            <w:tcW w:w="1276" w:type="dxa"/>
            <w:vMerge/>
            <w:tcBorders>
              <w:top w:val="single" w:sz="12" w:space="0" w:color="auto"/>
              <w:left w:val="single" w:sz="12" w:space="0" w:color="auto"/>
              <w:bottom w:val="single" w:sz="12" w:space="0" w:color="auto"/>
              <w:right w:val="double" w:sz="2" w:space="0" w:color="auto"/>
            </w:tcBorders>
            <w:vAlign w:val="center"/>
            <w:hideMark/>
          </w:tcPr>
          <w:p w14:paraId="0F765928" w14:textId="77777777" w:rsidR="00BB0269" w:rsidRPr="00AC5AC2" w:rsidRDefault="00BB0269" w:rsidP="00D67D09">
            <w:pPr>
              <w:spacing w:after="0"/>
              <w:rPr>
                <w:rFonts w:asciiTheme="minorHAnsi" w:hAnsiTheme="minorHAnsi" w:cstheme="minorHAnsi"/>
                <w:b/>
                <w:sz w:val="18"/>
                <w:szCs w:val="18"/>
              </w:rPr>
            </w:pPr>
          </w:p>
        </w:tc>
        <w:tc>
          <w:tcPr>
            <w:tcW w:w="591" w:type="dxa"/>
            <w:vMerge/>
            <w:tcBorders>
              <w:top w:val="single" w:sz="4" w:space="0" w:color="auto"/>
              <w:left w:val="double" w:sz="2" w:space="0" w:color="auto"/>
              <w:bottom w:val="single" w:sz="12" w:space="0" w:color="auto"/>
              <w:right w:val="single" w:sz="2" w:space="0" w:color="auto"/>
            </w:tcBorders>
            <w:vAlign w:val="center"/>
            <w:hideMark/>
          </w:tcPr>
          <w:p w14:paraId="4A471D8F" w14:textId="77777777" w:rsidR="00BB0269" w:rsidRPr="00AC5AC2" w:rsidRDefault="00BB0269" w:rsidP="00D67D09">
            <w:pPr>
              <w:spacing w:after="0"/>
              <w:rPr>
                <w:rFonts w:asciiTheme="minorHAnsi" w:hAnsiTheme="minorHAnsi" w:cstheme="minorHAnsi"/>
                <w:sz w:val="18"/>
                <w:szCs w:val="18"/>
              </w:rPr>
            </w:pPr>
          </w:p>
        </w:tc>
        <w:tc>
          <w:tcPr>
            <w:tcW w:w="1847" w:type="dxa"/>
            <w:gridSpan w:val="2"/>
            <w:vMerge/>
            <w:tcBorders>
              <w:top w:val="single" w:sz="2" w:space="0" w:color="auto"/>
              <w:left w:val="single" w:sz="2" w:space="0" w:color="auto"/>
              <w:bottom w:val="single" w:sz="12" w:space="0" w:color="auto"/>
              <w:right w:val="single" w:sz="2" w:space="0" w:color="auto"/>
            </w:tcBorders>
            <w:vAlign w:val="center"/>
            <w:hideMark/>
          </w:tcPr>
          <w:p w14:paraId="2545E279" w14:textId="77777777" w:rsidR="00BB0269" w:rsidRPr="00AC5AC2" w:rsidRDefault="00BB0269" w:rsidP="00D67D09">
            <w:pPr>
              <w:spacing w:after="0"/>
              <w:rPr>
                <w:rFonts w:asciiTheme="minorHAnsi" w:hAnsiTheme="minorHAnsi" w:cstheme="minorHAnsi"/>
                <w:b/>
                <w:sz w:val="18"/>
                <w:szCs w:val="18"/>
              </w:rPr>
            </w:pPr>
          </w:p>
        </w:tc>
        <w:tc>
          <w:tcPr>
            <w:tcW w:w="2379" w:type="dxa"/>
            <w:gridSpan w:val="2"/>
            <w:tcBorders>
              <w:top w:val="single" w:sz="4" w:space="0" w:color="auto"/>
              <w:left w:val="single" w:sz="2" w:space="0" w:color="auto"/>
              <w:bottom w:val="single" w:sz="12" w:space="0" w:color="auto"/>
              <w:right w:val="single" w:sz="4" w:space="0" w:color="auto"/>
            </w:tcBorders>
            <w:vAlign w:val="center"/>
            <w:hideMark/>
          </w:tcPr>
          <w:p w14:paraId="050E088A"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Prešovský kraj</w:t>
            </w:r>
          </w:p>
        </w:tc>
        <w:tc>
          <w:tcPr>
            <w:tcW w:w="1037" w:type="dxa"/>
            <w:gridSpan w:val="2"/>
            <w:tcBorders>
              <w:top w:val="single" w:sz="4" w:space="0" w:color="auto"/>
              <w:left w:val="single" w:sz="4" w:space="0" w:color="auto"/>
              <w:bottom w:val="single" w:sz="12" w:space="0" w:color="auto"/>
              <w:right w:val="single" w:sz="2" w:space="0" w:color="auto"/>
            </w:tcBorders>
            <w:vAlign w:val="center"/>
            <w:hideMark/>
          </w:tcPr>
          <w:p w14:paraId="066A3BAD" w14:textId="489FBE81"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0,34</w:t>
            </w:r>
          </w:p>
        </w:tc>
        <w:tc>
          <w:tcPr>
            <w:tcW w:w="993" w:type="dxa"/>
            <w:gridSpan w:val="2"/>
            <w:tcBorders>
              <w:top w:val="single" w:sz="4" w:space="0" w:color="auto"/>
              <w:left w:val="single" w:sz="2" w:space="0" w:color="auto"/>
              <w:bottom w:val="single" w:sz="12" w:space="0" w:color="auto"/>
              <w:right w:val="single" w:sz="4" w:space="0" w:color="auto"/>
            </w:tcBorders>
            <w:vAlign w:val="center"/>
            <w:hideMark/>
          </w:tcPr>
          <w:p w14:paraId="34800F66"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12,78</w:t>
            </w:r>
          </w:p>
        </w:tc>
        <w:tc>
          <w:tcPr>
            <w:tcW w:w="1043" w:type="dxa"/>
            <w:tcBorders>
              <w:top w:val="single" w:sz="4" w:space="0" w:color="auto"/>
              <w:left w:val="single" w:sz="4" w:space="0" w:color="auto"/>
              <w:bottom w:val="single" w:sz="12" w:space="0" w:color="auto"/>
              <w:right w:val="single" w:sz="12" w:space="0" w:color="auto"/>
            </w:tcBorders>
            <w:vAlign w:val="center"/>
            <w:hideMark/>
          </w:tcPr>
          <w:p w14:paraId="2FDB94B2" w14:textId="77777777" w:rsidR="00BB0269" w:rsidRPr="00AC5AC2" w:rsidRDefault="00BB0269" w:rsidP="00D67D09">
            <w:pPr>
              <w:spacing w:after="0"/>
              <w:jc w:val="center"/>
              <w:rPr>
                <w:rFonts w:asciiTheme="minorHAnsi" w:hAnsiTheme="minorHAnsi" w:cstheme="minorHAnsi"/>
                <w:sz w:val="18"/>
                <w:szCs w:val="18"/>
              </w:rPr>
            </w:pPr>
            <w:r w:rsidRPr="00AC5AC2">
              <w:rPr>
                <w:rFonts w:asciiTheme="minorHAnsi" w:hAnsiTheme="minorHAnsi" w:cstheme="minorHAnsi"/>
                <w:sz w:val="18"/>
                <w:szCs w:val="18"/>
              </w:rPr>
              <w:t>2</w:t>
            </w:r>
          </w:p>
        </w:tc>
      </w:tr>
      <w:tr w:rsidR="00BB0269" w:rsidRPr="00AC5AC2" w14:paraId="48FB5BC0" w14:textId="77777777" w:rsidTr="00442E8D">
        <w:trPr>
          <w:trHeight w:val="109"/>
          <w:jc w:val="center"/>
        </w:trPr>
        <w:tc>
          <w:tcPr>
            <w:tcW w:w="1276" w:type="dxa"/>
            <w:tcBorders>
              <w:top w:val="single" w:sz="12" w:space="0" w:color="auto"/>
              <w:left w:val="single" w:sz="12" w:space="0" w:color="auto"/>
              <w:bottom w:val="single" w:sz="12" w:space="0" w:color="auto"/>
              <w:right w:val="double" w:sz="2" w:space="0" w:color="auto"/>
            </w:tcBorders>
            <w:vAlign w:val="center"/>
            <w:hideMark/>
          </w:tcPr>
          <w:p w14:paraId="715BB06C" w14:textId="66C9204C" w:rsidR="00BB0269" w:rsidRPr="00AC5AC2" w:rsidRDefault="00442E8D" w:rsidP="00442E8D">
            <w:pPr>
              <w:spacing w:after="0"/>
              <w:ind w:right="-61"/>
              <w:rPr>
                <w:rFonts w:asciiTheme="minorHAnsi" w:hAnsiTheme="minorHAnsi" w:cstheme="minorHAnsi"/>
                <w:b/>
                <w:sz w:val="18"/>
                <w:szCs w:val="18"/>
              </w:rPr>
            </w:pPr>
            <w:r>
              <w:rPr>
                <w:rFonts w:asciiTheme="minorHAnsi" w:hAnsiTheme="minorHAnsi" w:cstheme="minorHAnsi"/>
                <w:b/>
                <w:sz w:val="18"/>
                <w:szCs w:val="18"/>
              </w:rPr>
              <w:t>Forma p</w:t>
            </w:r>
            <w:r w:rsidR="00BB0269" w:rsidRPr="00AC5AC2">
              <w:rPr>
                <w:rFonts w:asciiTheme="minorHAnsi" w:hAnsiTheme="minorHAnsi" w:cstheme="minorHAnsi"/>
                <w:b/>
                <w:sz w:val="18"/>
                <w:szCs w:val="18"/>
              </w:rPr>
              <w:t>omoci</w:t>
            </w:r>
          </w:p>
        </w:tc>
        <w:tc>
          <w:tcPr>
            <w:tcW w:w="7891" w:type="dxa"/>
            <w:gridSpan w:val="10"/>
            <w:tcBorders>
              <w:top w:val="single" w:sz="12" w:space="0" w:color="auto"/>
              <w:left w:val="double" w:sz="2" w:space="0" w:color="auto"/>
              <w:bottom w:val="single" w:sz="12" w:space="0" w:color="auto"/>
              <w:right w:val="single" w:sz="12" w:space="0" w:color="auto"/>
            </w:tcBorders>
            <w:vAlign w:val="center"/>
            <w:hideMark/>
          </w:tcPr>
          <w:p w14:paraId="658C0DD4" w14:textId="77777777" w:rsidR="00BB0269" w:rsidRPr="00AC5AC2" w:rsidRDefault="00BB0269" w:rsidP="00D67D09">
            <w:pPr>
              <w:spacing w:after="0"/>
              <w:ind w:right="426"/>
              <w:rPr>
                <w:rFonts w:asciiTheme="minorHAnsi" w:hAnsiTheme="minorHAnsi" w:cstheme="minorHAnsi"/>
                <w:sz w:val="18"/>
                <w:szCs w:val="18"/>
              </w:rPr>
            </w:pPr>
            <w:r w:rsidRPr="00AC5AC2">
              <w:rPr>
                <w:rFonts w:asciiTheme="minorHAnsi" w:hAnsiTheme="minorHAnsi" w:cstheme="minorHAnsi"/>
                <w:sz w:val="18"/>
                <w:szCs w:val="18"/>
              </w:rPr>
              <w:t>Nenávratný finančný príspevok (ESF + štátny rozpočet)</w:t>
            </w:r>
          </w:p>
        </w:tc>
      </w:tr>
    </w:tbl>
    <w:p w14:paraId="391DACE1" w14:textId="59761617" w:rsidR="00BB0269" w:rsidRPr="00B51BAF" w:rsidRDefault="00BB0269" w:rsidP="00BB0269">
      <w:pPr>
        <w:spacing w:before="120"/>
        <w:rPr>
          <w:b/>
        </w:rPr>
      </w:pPr>
      <w:r w:rsidRPr="00B51BAF">
        <w:lastRenderedPageBreak/>
        <w:t xml:space="preserve">Zo strany ústredia bola poskytnutá investičná pomoc vo forme príspevku na vytvorenie nového pracovného miesta </w:t>
      </w:r>
      <w:r w:rsidRPr="00B51BAF">
        <w:rPr>
          <w:b/>
        </w:rPr>
        <w:t>8</w:t>
      </w:r>
      <w:r w:rsidRPr="00B51BAF">
        <w:t xml:space="preserve"> </w:t>
      </w:r>
      <w:r w:rsidRPr="00B51BAF">
        <w:rPr>
          <w:b/>
        </w:rPr>
        <w:t>veľkým podnikom</w:t>
      </w:r>
      <w:r w:rsidRPr="00B51BAF">
        <w:t xml:space="preserve"> v celkovej výške </w:t>
      </w:r>
      <w:r w:rsidRPr="00B51BAF">
        <w:rPr>
          <w:b/>
        </w:rPr>
        <w:t xml:space="preserve">2,66 mil. </w:t>
      </w:r>
      <w:r w:rsidR="00AC5AC2">
        <w:rPr>
          <w:b/>
        </w:rPr>
        <w:t>eur</w:t>
      </w:r>
      <w:r w:rsidRPr="00B51BAF">
        <w:rPr>
          <w:b/>
        </w:rPr>
        <w:t>.</w:t>
      </w:r>
    </w:p>
    <w:p w14:paraId="0E743F7C" w14:textId="77777777" w:rsidR="00B10F80" w:rsidRPr="00C35CA8" w:rsidRDefault="00B10F80" w:rsidP="007A081E">
      <w:pPr>
        <w:spacing w:before="240" w:after="120"/>
        <w:ind w:firstLine="0"/>
        <w:jc w:val="left"/>
        <w:rPr>
          <w:b/>
          <w:lang w:eastAsia="en-US"/>
        </w:rPr>
      </w:pPr>
      <w:r w:rsidRPr="00C35CA8">
        <w:rPr>
          <w:b/>
          <w:lang w:eastAsia="en-US"/>
        </w:rPr>
        <w:t>Centrálne schvaľované projekty</w:t>
      </w:r>
    </w:p>
    <w:p w14:paraId="1CB44035" w14:textId="35D9F0A8" w:rsidR="009D7DD4" w:rsidRDefault="00CB6176" w:rsidP="00CB6176">
      <w:pPr>
        <w:spacing w:before="120" w:after="0"/>
      </w:pPr>
      <w:bookmarkStart w:id="6" w:name="_Toc514941024"/>
      <w:bookmarkStart w:id="7" w:name="_Toc37094580"/>
      <w:r>
        <w:t>V roku 2023 neboli vypracované a predložené na schválenie do Hodnotiacej komisie</w:t>
      </w:r>
      <w:r w:rsidRPr="00CB6176">
        <w:t xml:space="preserve"> na posudzovanie, hodnotenie a odporúčanie na schvaľovanie predložených projektov a programov podľa § 54 zákona č. 5/2004 Z. z. o službách zamestnanosti </w:t>
      </w:r>
      <w:r>
        <w:t xml:space="preserve">žiadne regionálne alebo pilotné projekty podľa § 54 ods. 1 písm. c, d, g  a ani neboli vytvorené žiadne nové finančné záväzky (poskytnutá štátna alebo minimálna pomoc). Uskutočňovalo sa len dočerpanie finančných prostriedkov na vzdelávacie projekty automobiliek PSA Slovakia, s. r. o. a VW Slovakia, a. s., ktoré boli kontrahované v predchádzajúcich rokoch. </w:t>
      </w:r>
      <w:r w:rsidR="009D7DD4" w:rsidRPr="00C35CA8">
        <w:t xml:space="preserve"> </w:t>
      </w:r>
    </w:p>
    <w:p w14:paraId="4A0FE1A8" w14:textId="433637B1" w:rsidR="00B02A0B" w:rsidRPr="00C35CA8" w:rsidRDefault="00495B14" w:rsidP="00D75B88">
      <w:pPr>
        <w:pStyle w:val="Nadpis20"/>
        <w:tabs>
          <w:tab w:val="left" w:pos="567"/>
        </w:tabs>
      </w:pPr>
      <w:bookmarkStart w:id="8" w:name="_Toc173741537"/>
      <w:r w:rsidRPr="00C35CA8">
        <w:t>1</w:t>
      </w:r>
      <w:r w:rsidR="001A63DF" w:rsidRPr="00C35CA8">
        <w:t>.2</w:t>
      </w:r>
      <w:r w:rsidR="00CE1D88" w:rsidRPr="00C35CA8">
        <w:tab/>
      </w:r>
      <w:r w:rsidR="0057796E" w:rsidRPr="00C35CA8">
        <w:t>Aktívne opatrenia na trhu práce</w:t>
      </w:r>
      <w:bookmarkEnd w:id="8"/>
    </w:p>
    <w:bookmarkEnd w:id="6"/>
    <w:bookmarkEnd w:id="7"/>
    <w:p w14:paraId="1C338367" w14:textId="77777777" w:rsidR="00055F80" w:rsidRDefault="0053696F" w:rsidP="005C09D5">
      <w:pPr>
        <w:pStyle w:val="Odsekzoznamu"/>
        <w:spacing w:after="120"/>
        <w:ind w:firstLine="0"/>
        <w:rPr>
          <w:rFonts w:cs="Times New Roman"/>
        </w:rPr>
      </w:pPr>
      <w:r>
        <w:rPr>
          <w:rFonts w:cs="Times New Roman"/>
        </w:rPr>
        <w:t xml:space="preserve">Jednotlivé AOTP tak, ako sú ustanovené v zákone o službách zamestnanosti a taktiež v zákone </w:t>
      </w:r>
      <w:r w:rsidRPr="0053696F">
        <w:rPr>
          <w:rFonts w:cs="Times New Roman"/>
        </w:rPr>
        <w:t>o sociálnej ekonomike</w:t>
      </w:r>
      <w:r>
        <w:rPr>
          <w:rFonts w:cs="Times New Roman"/>
        </w:rPr>
        <w:t>,</w:t>
      </w:r>
      <w:r w:rsidRPr="0053696F">
        <w:rPr>
          <w:rFonts w:cs="Times New Roman"/>
        </w:rPr>
        <w:t xml:space="preserve"> </w:t>
      </w:r>
      <w:r w:rsidR="003A194D" w:rsidRPr="00C35CA8">
        <w:rPr>
          <w:rFonts w:cs="Times New Roman"/>
        </w:rPr>
        <w:t xml:space="preserve">možno </w:t>
      </w:r>
      <w:r w:rsidR="009E77D7">
        <w:rPr>
          <w:rFonts w:cs="Times New Roman"/>
        </w:rPr>
        <w:t xml:space="preserve">pracovne </w:t>
      </w:r>
      <w:r w:rsidR="003A194D" w:rsidRPr="00C35CA8">
        <w:rPr>
          <w:rFonts w:cs="Times New Roman"/>
        </w:rPr>
        <w:t xml:space="preserve">členiť podľa ich zamerania na opatrenia a príspevky zvyšujúce zamestnateľnosť </w:t>
      </w:r>
      <w:r w:rsidR="0092073D" w:rsidRPr="00C35CA8">
        <w:rPr>
          <w:rFonts w:cs="Times New Roman"/>
        </w:rPr>
        <w:t>UoZ</w:t>
      </w:r>
      <w:r w:rsidR="009E77D7">
        <w:rPr>
          <w:rFonts w:cs="Times New Roman"/>
        </w:rPr>
        <w:t xml:space="preserve"> (intervencie do osoby</w:t>
      </w:r>
      <w:r>
        <w:rPr>
          <w:rFonts w:cs="Times New Roman"/>
        </w:rPr>
        <w:t xml:space="preserve"> UoZ ZoZ</w:t>
      </w:r>
      <w:r w:rsidR="009E77D7">
        <w:rPr>
          <w:rFonts w:cs="Times New Roman"/>
        </w:rPr>
        <w:t>)</w:t>
      </w:r>
      <w:r w:rsidR="003A194D" w:rsidRPr="00C35CA8">
        <w:rPr>
          <w:rFonts w:cs="Times New Roman"/>
        </w:rPr>
        <w:t xml:space="preserve">, zvyšujúce zamestnanosť podporou vytvárania nových </w:t>
      </w:r>
      <w:r w:rsidR="0092073D" w:rsidRPr="00C35CA8">
        <w:rPr>
          <w:rFonts w:cs="Times New Roman"/>
        </w:rPr>
        <w:t>PM</w:t>
      </w:r>
      <w:r w:rsidR="003A194D" w:rsidRPr="00C35CA8">
        <w:rPr>
          <w:rFonts w:cs="Times New Roman"/>
        </w:rPr>
        <w:t xml:space="preserve"> </w:t>
      </w:r>
      <w:r w:rsidR="009E77D7">
        <w:rPr>
          <w:rFonts w:cs="Times New Roman"/>
        </w:rPr>
        <w:t xml:space="preserve">(intervencie smerom k zamestnávateľom aj SZČO) </w:t>
      </w:r>
      <w:r w:rsidR="003A194D" w:rsidRPr="00C35CA8">
        <w:rPr>
          <w:rFonts w:cs="Times New Roman"/>
        </w:rPr>
        <w:t>a</w:t>
      </w:r>
      <w:r w:rsidR="009E77D7">
        <w:rPr>
          <w:rFonts w:cs="Times New Roman"/>
        </w:rPr>
        <w:t> </w:t>
      </w:r>
      <w:r w:rsidR="003A194D" w:rsidRPr="00C35CA8">
        <w:rPr>
          <w:rFonts w:cs="Times New Roman"/>
        </w:rPr>
        <w:t>opatrenia</w:t>
      </w:r>
      <w:r w:rsidR="009E77D7">
        <w:rPr>
          <w:rFonts w:cs="Times New Roman"/>
        </w:rPr>
        <w:t xml:space="preserve"> </w:t>
      </w:r>
      <w:r w:rsidR="003A194D" w:rsidRPr="00C35CA8">
        <w:rPr>
          <w:rFonts w:cs="Times New Roman"/>
        </w:rPr>
        <w:t>a príspevky podporujúce udržanie existujúcich PM</w:t>
      </w:r>
      <w:r w:rsidR="009E77D7">
        <w:rPr>
          <w:rFonts w:cs="Times New Roman"/>
        </w:rPr>
        <w:t xml:space="preserve"> (intervencie smerom k zamestnávateľom)</w:t>
      </w:r>
      <w:r w:rsidR="00CE5234" w:rsidRPr="00C35CA8">
        <w:rPr>
          <w:rFonts w:cs="Times New Roman"/>
        </w:rPr>
        <w:t>.</w:t>
      </w:r>
    </w:p>
    <w:p w14:paraId="7616F2F0" w14:textId="77777777" w:rsidR="003A194D" w:rsidRPr="00C35CA8" w:rsidRDefault="00495B14" w:rsidP="007A081E">
      <w:pPr>
        <w:pStyle w:val="Nadpis30"/>
        <w:spacing w:before="240" w:after="120"/>
        <w:ind w:hanging="6"/>
        <w:rPr>
          <w:sz w:val="32"/>
          <w:szCs w:val="32"/>
        </w:rPr>
      </w:pPr>
      <w:bookmarkStart w:id="9" w:name="_Toc360447220"/>
      <w:bookmarkStart w:id="10" w:name="_Toc362010880"/>
      <w:bookmarkStart w:id="11" w:name="_Toc514941025"/>
      <w:bookmarkStart w:id="12" w:name="_Toc37094581"/>
      <w:bookmarkStart w:id="13" w:name="_Toc173741538"/>
      <w:r w:rsidRPr="00C35CA8">
        <w:rPr>
          <w:szCs w:val="22"/>
        </w:rPr>
        <w:t>1</w:t>
      </w:r>
      <w:r w:rsidR="001A63DF" w:rsidRPr="00C35CA8">
        <w:rPr>
          <w:szCs w:val="22"/>
        </w:rPr>
        <w:t>.2.1</w:t>
      </w:r>
      <w:r w:rsidR="00CE1D88" w:rsidRPr="00C35CA8">
        <w:rPr>
          <w:szCs w:val="22"/>
        </w:rPr>
        <w:tab/>
      </w:r>
      <w:r w:rsidR="003A194D" w:rsidRPr="00C35CA8">
        <w:t>Zvyšovanie zamestnateľnosti</w:t>
      </w:r>
      <w:bookmarkEnd w:id="9"/>
      <w:bookmarkEnd w:id="10"/>
      <w:bookmarkEnd w:id="11"/>
      <w:bookmarkEnd w:id="12"/>
      <w:bookmarkEnd w:id="13"/>
      <w:r w:rsidR="003A194D" w:rsidRPr="00C35CA8">
        <w:rPr>
          <w:i/>
          <w:sz w:val="32"/>
          <w:szCs w:val="32"/>
        </w:rPr>
        <w:t xml:space="preserve"> </w:t>
      </w:r>
    </w:p>
    <w:p w14:paraId="6972CA3C" w14:textId="03088783" w:rsidR="003A194D" w:rsidRPr="00C35CA8" w:rsidRDefault="003A194D" w:rsidP="009E77D7">
      <w:pPr>
        <w:spacing w:before="120" w:after="0"/>
        <w:ind w:firstLine="0"/>
      </w:pPr>
      <w:r w:rsidRPr="00C35CA8">
        <w:t xml:space="preserve">AOTP orientované na ponukovú stránku </w:t>
      </w:r>
      <w:r w:rsidR="009E77D7">
        <w:t>trhu práce</w:t>
      </w:r>
      <w:r w:rsidRPr="00C35CA8">
        <w:t>, t. j. na rozvoj potenciálu pracovnej sily a zvyšovanie jej zamestnateľnosti a pracovnej mobility, sú:</w:t>
      </w:r>
    </w:p>
    <w:p w14:paraId="73C5531C" w14:textId="77777777" w:rsidR="003A194D" w:rsidRPr="00C35CA8" w:rsidRDefault="003A194D" w:rsidP="00AA7E7B">
      <w:pPr>
        <w:numPr>
          <w:ilvl w:val="0"/>
          <w:numId w:val="4"/>
        </w:numPr>
        <w:spacing w:after="0"/>
        <w:ind w:left="284" w:hanging="284"/>
      </w:pPr>
      <w:r w:rsidRPr="00C35CA8">
        <w:t xml:space="preserve">poskytovanie náhrady častí cestovných výdavkov UoZ, ktoré súvisia s absolvovaním vstupného pohovoru alebo výberového konania </w:t>
      </w:r>
      <w:r w:rsidR="00821B1C" w:rsidRPr="00C35CA8">
        <w:t xml:space="preserve">(ďalej len „VK“) </w:t>
      </w:r>
      <w:r w:rsidRPr="00C35CA8">
        <w:t>u zamestnávateľa (§ 32</w:t>
      </w:r>
      <w:r w:rsidR="00AF75A3" w:rsidRPr="00C35CA8">
        <w:t xml:space="preserve"> </w:t>
      </w:r>
      <w:r w:rsidRPr="00C35CA8">
        <w:t xml:space="preserve">ods. 12 písm. d) </w:t>
      </w:r>
      <w:r w:rsidR="000008C8" w:rsidRPr="00C35CA8">
        <w:t>zákona o službách zamestnanosti</w:t>
      </w:r>
      <w:r w:rsidRPr="00C35CA8">
        <w:t>),</w:t>
      </w:r>
    </w:p>
    <w:p w14:paraId="741247EA" w14:textId="77777777" w:rsidR="003A194D" w:rsidRPr="00C35CA8" w:rsidRDefault="003A194D" w:rsidP="00AA7E7B">
      <w:pPr>
        <w:numPr>
          <w:ilvl w:val="0"/>
          <w:numId w:val="4"/>
        </w:numPr>
        <w:spacing w:after="0"/>
        <w:ind w:left="284" w:hanging="284"/>
      </w:pPr>
      <w:r w:rsidRPr="00C35CA8">
        <w:t>informačné a poradenské služby (§ 42 zákona</w:t>
      </w:r>
      <w:r w:rsidR="000008C8" w:rsidRPr="00C35CA8">
        <w:t xml:space="preserve"> o službách zamestnanosti</w:t>
      </w:r>
      <w:r w:rsidRPr="00C35CA8">
        <w:t>),</w:t>
      </w:r>
    </w:p>
    <w:p w14:paraId="7C5DC7D4" w14:textId="77777777" w:rsidR="003A194D" w:rsidRPr="00C35CA8" w:rsidRDefault="003A194D" w:rsidP="00AA7E7B">
      <w:pPr>
        <w:numPr>
          <w:ilvl w:val="0"/>
          <w:numId w:val="4"/>
        </w:numPr>
        <w:spacing w:after="0"/>
        <w:ind w:left="284" w:hanging="284"/>
      </w:pPr>
      <w:r w:rsidRPr="00C35CA8">
        <w:t xml:space="preserve">odborné poradenské služby (§ 43 </w:t>
      </w:r>
      <w:r w:rsidR="000008C8" w:rsidRPr="00C35CA8">
        <w:t>zákona o službách zamestnanosti</w:t>
      </w:r>
      <w:r w:rsidRPr="00C35CA8">
        <w:t>),</w:t>
      </w:r>
    </w:p>
    <w:p w14:paraId="500AA9E1" w14:textId="77777777" w:rsidR="009E77D7" w:rsidRDefault="003A194D" w:rsidP="009E77D7">
      <w:pPr>
        <w:numPr>
          <w:ilvl w:val="0"/>
          <w:numId w:val="4"/>
        </w:numPr>
        <w:spacing w:after="0"/>
        <w:ind w:left="284" w:hanging="284"/>
      </w:pPr>
      <w:r w:rsidRPr="00C35CA8">
        <w:t xml:space="preserve">vzdelávanie a príprava pre </w:t>
      </w:r>
      <w:r w:rsidR="000C2530" w:rsidRPr="00C35CA8">
        <w:t>TP</w:t>
      </w:r>
      <w:r w:rsidRPr="00C35CA8">
        <w:t xml:space="preserve"> UoZ (§ 46 </w:t>
      </w:r>
      <w:r w:rsidR="000008C8" w:rsidRPr="00C35CA8">
        <w:t>zákona o službách zamestnanosti</w:t>
      </w:r>
      <w:r w:rsidRPr="00C35CA8">
        <w:t>),</w:t>
      </w:r>
    </w:p>
    <w:p w14:paraId="6988CC6A" w14:textId="337C87C0" w:rsidR="009E77D7" w:rsidRPr="00C35CA8" w:rsidRDefault="009E77D7" w:rsidP="00282F1A">
      <w:pPr>
        <w:numPr>
          <w:ilvl w:val="0"/>
          <w:numId w:val="4"/>
        </w:numPr>
        <w:spacing w:after="0"/>
        <w:ind w:left="284" w:hanging="284"/>
      </w:pPr>
      <w:r>
        <w:t>p</w:t>
      </w:r>
      <w:r w:rsidRPr="009E77D7">
        <w:t>ríspevok na podporu rekvalifikácie uchádzača o</w:t>
      </w:r>
      <w:r>
        <w:t> </w:t>
      </w:r>
      <w:r w:rsidRPr="009E77D7">
        <w:t>zamestnanie</w:t>
      </w:r>
      <w:r>
        <w:t xml:space="preserve"> (</w:t>
      </w:r>
      <w:r w:rsidRPr="009E77D7">
        <w:t>46a</w:t>
      </w:r>
      <w:r>
        <w:t xml:space="preserve"> </w:t>
      </w:r>
      <w:r w:rsidRPr="009E77D7">
        <w:t>zákona o službách zamestnanosti),</w:t>
      </w:r>
    </w:p>
    <w:p w14:paraId="7696AEF4" w14:textId="77777777" w:rsidR="003A194D" w:rsidRPr="00C35CA8" w:rsidRDefault="003A194D" w:rsidP="00AA7E7B">
      <w:pPr>
        <w:numPr>
          <w:ilvl w:val="0"/>
          <w:numId w:val="4"/>
        </w:numPr>
        <w:spacing w:after="0"/>
        <w:ind w:left="284" w:hanging="284"/>
      </w:pPr>
      <w:r w:rsidRPr="00C35CA8">
        <w:t xml:space="preserve">príspevok na vykonávanie absolventskej praxe (§ 51 </w:t>
      </w:r>
      <w:r w:rsidR="000008C8" w:rsidRPr="00C35CA8">
        <w:t>zákona o službách zamestnanosti</w:t>
      </w:r>
      <w:r w:rsidRPr="00C35CA8">
        <w:t>),</w:t>
      </w:r>
    </w:p>
    <w:p w14:paraId="0DC2CB44" w14:textId="77777777" w:rsidR="003A194D" w:rsidRPr="00C35CA8" w:rsidRDefault="003A194D" w:rsidP="00AA7E7B">
      <w:pPr>
        <w:numPr>
          <w:ilvl w:val="0"/>
          <w:numId w:val="4"/>
        </w:numPr>
        <w:spacing w:after="0"/>
        <w:ind w:left="284" w:hanging="284"/>
      </w:pPr>
      <w:r w:rsidRPr="00C35CA8">
        <w:t xml:space="preserve">príspevok na aktivačnú činnosť formou menších obecných služieb pre obec alebo formou menších služieb pre samosprávny kraj (§ 52 </w:t>
      </w:r>
      <w:r w:rsidR="000008C8" w:rsidRPr="00C35CA8">
        <w:t>zákona o službách zamestnanosti</w:t>
      </w:r>
      <w:r w:rsidRPr="00C35CA8">
        <w:t>),</w:t>
      </w:r>
    </w:p>
    <w:p w14:paraId="6DF84BC1" w14:textId="77777777" w:rsidR="002646A2" w:rsidRPr="003E3FDA" w:rsidRDefault="002646A2" w:rsidP="00AA7E7B">
      <w:pPr>
        <w:numPr>
          <w:ilvl w:val="0"/>
          <w:numId w:val="4"/>
        </w:numPr>
        <w:spacing w:after="0"/>
        <w:ind w:left="284" w:hanging="284"/>
      </w:pPr>
      <w:r w:rsidRPr="003E3FDA">
        <w:t>príspevok na rekvalifikačný kurz UoZ (§ 54 zákona o službách zamestnanosti),</w:t>
      </w:r>
    </w:p>
    <w:p w14:paraId="697F2D90" w14:textId="70FF380E" w:rsidR="002646A2" w:rsidRPr="003E3FDA" w:rsidRDefault="002646A2" w:rsidP="00AA7E7B">
      <w:pPr>
        <w:numPr>
          <w:ilvl w:val="0"/>
          <w:numId w:val="4"/>
        </w:numPr>
        <w:spacing w:after="0"/>
        <w:ind w:left="284" w:hanging="284"/>
      </w:pPr>
      <w:r w:rsidRPr="003E3FDA">
        <w:t xml:space="preserve">príspevok na </w:t>
      </w:r>
      <w:r w:rsidR="002E2CAC" w:rsidRPr="003E3FDA">
        <w:t>kompetenčný</w:t>
      </w:r>
      <w:r w:rsidRPr="003E3FDA">
        <w:t xml:space="preserve"> kurz UoZ (§ 54 zákona o službách zamestnanosti),</w:t>
      </w:r>
    </w:p>
    <w:p w14:paraId="4F03D04B" w14:textId="470F7167" w:rsidR="00984BA1" w:rsidRDefault="002646A2" w:rsidP="00AA7E7B">
      <w:pPr>
        <w:numPr>
          <w:ilvl w:val="0"/>
          <w:numId w:val="4"/>
        </w:numPr>
        <w:spacing w:after="0"/>
        <w:ind w:left="284" w:hanging="284"/>
      </w:pPr>
      <w:r w:rsidRPr="003E3FDA">
        <w:t xml:space="preserve">príspevok na </w:t>
      </w:r>
      <w:r w:rsidR="00080BD1" w:rsidRPr="003E3FDA">
        <w:t>vzdelávanie</w:t>
      </w:r>
      <w:r w:rsidRPr="003E3FDA">
        <w:t xml:space="preserve"> </w:t>
      </w:r>
      <w:r w:rsidR="0022530E" w:rsidRPr="003E3FDA">
        <w:t>ZoZ</w:t>
      </w:r>
      <w:r w:rsidRPr="003E3FDA">
        <w:t xml:space="preserve"> (§ 54 zákona o službách zamestnanosti)</w:t>
      </w:r>
      <w:r w:rsidR="003A194D" w:rsidRPr="003E3FDA">
        <w:t>.</w:t>
      </w:r>
      <w:bookmarkStart w:id="14" w:name="_Toc360447221"/>
      <w:bookmarkStart w:id="15" w:name="_Toc362010881"/>
      <w:bookmarkStart w:id="16" w:name="_Toc514941026"/>
      <w:bookmarkStart w:id="17" w:name="_Toc37094582"/>
    </w:p>
    <w:p w14:paraId="107B2C29" w14:textId="77777777" w:rsidR="003A194D" w:rsidRPr="00C35CA8" w:rsidRDefault="00495B14" w:rsidP="007A081E">
      <w:pPr>
        <w:pStyle w:val="Nadpis30"/>
        <w:spacing w:before="240" w:after="120"/>
        <w:ind w:hanging="6"/>
      </w:pPr>
      <w:bookmarkStart w:id="18" w:name="_Toc173741539"/>
      <w:bookmarkStart w:id="19" w:name="_Hlk103506527"/>
      <w:r w:rsidRPr="00C35CA8">
        <w:t>1</w:t>
      </w:r>
      <w:r w:rsidR="001A63DF" w:rsidRPr="00C35CA8">
        <w:t>.2.2</w:t>
      </w:r>
      <w:r w:rsidR="00CE1D88" w:rsidRPr="00C35CA8">
        <w:tab/>
      </w:r>
      <w:r w:rsidR="003A194D" w:rsidRPr="00C35CA8">
        <w:t>Zvyšovanie zamestnanosti</w:t>
      </w:r>
      <w:bookmarkEnd w:id="14"/>
      <w:bookmarkEnd w:id="15"/>
      <w:bookmarkEnd w:id="16"/>
      <w:bookmarkEnd w:id="17"/>
      <w:bookmarkEnd w:id="18"/>
      <w:r w:rsidR="003A194D" w:rsidRPr="00C35CA8">
        <w:t xml:space="preserve"> </w:t>
      </w:r>
    </w:p>
    <w:bookmarkEnd w:id="19"/>
    <w:p w14:paraId="6059D019" w14:textId="10311CBA" w:rsidR="003A194D" w:rsidRPr="00C35CA8" w:rsidRDefault="003A194D" w:rsidP="00282F1A">
      <w:pPr>
        <w:spacing w:after="0"/>
        <w:ind w:firstLine="0"/>
      </w:pPr>
      <w:r w:rsidRPr="00C35CA8">
        <w:t xml:space="preserve">AOTP orientované na stimulovanie dopytu po pracovnej sile najmä formou poskytovania príspevkov zamestnávateľom a UoZ na vytváranie nových </w:t>
      </w:r>
      <w:r w:rsidR="004D2D01" w:rsidRPr="00C35CA8">
        <w:t>PM,</w:t>
      </w:r>
      <w:r w:rsidRPr="00C35CA8">
        <w:t xml:space="preserve"> sú:</w:t>
      </w:r>
    </w:p>
    <w:p w14:paraId="7091398D" w14:textId="77777777" w:rsidR="00C23350" w:rsidRPr="00C35CA8" w:rsidRDefault="00C23350" w:rsidP="00282F1A">
      <w:pPr>
        <w:numPr>
          <w:ilvl w:val="0"/>
          <w:numId w:val="5"/>
        </w:numPr>
        <w:spacing w:after="0"/>
        <w:ind w:left="284" w:hanging="284"/>
      </w:pPr>
      <w:r w:rsidRPr="00C35CA8">
        <w:t>sprostredkovanie zamestnania (§ 32 zákona o službách zamestnanosti),</w:t>
      </w:r>
    </w:p>
    <w:p w14:paraId="0E59DAB3" w14:textId="77777777" w:rsidR="003A194D" w:rsidRPr="00C35CA8" w:rsidRDefault="003A194D" w:rsidP="00AA7E7B">
      <w:pPr>
        <w:numPr>
          <w:ilvl w:val="0"/>
          <w:numId w:val="5"/>
        </w:numPr>
        <w:spacing w:after="0"/>
        <w:ind w:left="284" w:hanging="284"/>
      </w:pPr>
      <w:r w:rsidRPr="00C35CA8">
        <w:t xml:space="preserve">príspevok na </w:t>
      </w:r>
      <w:r w:rsidR="004D2D01" w:rsidRPr="00C35CA8">
        <w:t>SZČ</w:t>
      </w:r>
      <w:r w:rsidRPr="00C35CA8">
        <w:t xml:space="preserve"> </w:t>
      </w:r>
      <w:bookmarkStart w:id="20" w:name="_Hlk71033795"/>
      <w:r w:rsidRPr="00C35CA8">
        <w:t xml:space="preserve">(§ 49 </w:t>
      </w:r>
      <w:r w:rsidR="000008C8" w:rsidRPr="00C35CA8">
        <w:t>zákona o službách zamestnanosti</w:t>
      </w:r>
      <w:r w:rsidRPr="00C35CA8">
        <w:t>),</w:t>
      </w:r>
    </w:p>
    <w:bookmarkEnd w:id="20"/>
    <w:p w14:paraId="2827BDE6" w14:textId="77777777" w:rsidR="003A194D" w:rsidRPr="00C35CA8" w:rsidRDefault="003A194D" w:rsidP="00AA7E7B">
      <w:pPr>
        <w:numPr>
          <w:ilvl w:val="0"/>
          <w:numId w:val="5"/>
        </w:numPr>
        <w:spacing w:after="0"/>
        <w:ind w:left="284" w:hanging="284"/>
      </w:pPr>
      <w:r w:rsidRPr="00C35CA8">
        <w:t xml:space="preserve">príspevok na zamestnávanie znevýhodneného UoZ (§ 50 </w:t>
      </w:r>
      <w:r w:rsidR="000008C8" w:rsidRPr="00C35CA8">
        <w:t>zákona o službách zamestnanosti</w:t>
      </w:r>
      <w:r w:rsidRPr="00C35CA8">
        <w:t>),</w:t>
      </w:r>
    </w:p>
    <w:p w14:paraId="32E22CB8" w14:textId="77777777" w:rsidR="003A194D" w:rsidRPr="00C35CA8" w:rsidRDefault="003A194D" w:rsidP="00AA7E7B">
      <w:pPr>
        <w:numPr>
          <w:ilvl w:val="0"/>
          <w:numId w:val="5"/>
        </w:numPr>
        <w:spacing w:after="0"/>
        <w:ind w:left="284" w:hanging="284"/>
      </w:pPr>
      <w:r w:rsidRPr="00C35CA8">
        <w:t xml:space="preserve">príspevok na vytvorenie nového </w:t>
      </w:r>
      <w:r w:rsidR="004D2D01" w:rsidRPr="00C35CA8">
        <w:t>PM</w:t>
      </w:r>
      <w:r w:rsidRPr="00C35CA8">
        <w:t xml:space="preserve"> (§ 53d </w:t>
      </w:r>
      <w:r w:rsidR="000008C8" w:rsidRPr="00C35CA8">
        <w:t>zákona o službách zamestnanosti</w:t>
      </w:r>
      <w:r w:rsidRPr="00C35CA8">
        <w:t>),</w:t>
      </w:r>
    </w:p>
    <w:p w14:paraId="29DA6995" w14:textId="6D942520" w:rsidR="00501897" w:rsidRPr="00C35CA8" w:rsidRDefault="00CD66D9" w:rsidP="00AA7E7B">
      <w:pPr>
        <w:numPr>
          <w:ilvl w:val="0"/>
          <w:numId w:val="6"/>
        </w:numPr>
        <w:spacing w:after="0"/>
        <w:ind w:left="284" w:hanging="284"/>
      </w:pPr>
      <w:r w:rsidRPr="00C35CA8">
        <w:t xml:space="preserve">umiestňovací </w:t>
      </w:r>
      <w:r w:rsidR="00501897" w:rsidRPr="00C35CA8">
        <w:t xml:space="preserve">príspevok (§ </w:t>
      </w:r>
      <w:r w:rsidR="0053696F">
        <w:t>19a</w:t>
      </w:r>
      <w:r w:rsidR="00501897" w:rsidRPr="00C35CA8">
        <w:t xml:space="preserve"> </w:t>
      </w:r>
      <w:r w:rsidR="000008C8" w:rsidRPr="00C35CA8">
        <w:t>zákona o</w:t>
      </w:r>
      <w:r w:rsidR="0053696F">
        <w:t> </w:t>
      </w:r>
      <w:r w:rsidR="000008C8" w:rsidRPr="00C35CA8">
        <w:t>s</w:t>
      </w:r>
      <w:r w:rsidR="0053696F">
        <w:t>ociálnej ekonomike</w:t>
      </w:r>
      <w:r w:rsidR="00501897" w:rsidRPr="00C35CA8">
        <w:t>),</w:t>
      </w:r>
    </w:p>
    <w:p w14:paraId="3B1151B2" w14:textId="77777777" w:rsidR="00C23350" w:rsidRPr="00C35CA8" w:rsidRDefault="00C23350" w:rsidP="00AA7E7B">
      <w:pPr>
        <w:numPr>
          <w:ilvl w:val="0"/>
          <w:numId w:val="5"/>
        </w:numPr>
        <w:spacing w:after="0"/>
        <w:ind w:left="284" w:hanging="284"/>
      </w:pPr>
      <w:r w:rsidRPr="00C35CA8">
        <w:t>projekty a programy (§ 54 zákona o službách zamestnanosti),</w:t>
      </w:r>
    </w:p>
    <w:p w14:paraId="2277E7F7" w14:textId="77777777" w:rsidR="003A194D" w:rsidRPr="00C35CA8" w:rsidRDefault="003A194D" w:rsidP="00AA7E7B">
      <w:pPr>
        <w:numPr>
          <w:ilvl w:val="0"/>
          <w:numId w:val="5"/>
        </w:numPr>
        <w:spacing w:after="0"/>
        <w:ind w:left="284" w:hanging="284"/>
      </w:pPr>
      <w:r w:rsidRPr="00C35CA8">
        <w:t xml:space="preserve">príspevok na zriadenie chránenej dielne a chráneného pracoviska (§ 56 </w:t>
      </w:r>
      <w:r w:rsidR="000008C8" w:rsidRPr="00C35CA8">
        <w:t>zákona o službách zamestnanosti</w:t>
      </w:r>
      <w:r w:rsidRPr="00C35CA8">
        <w:t>),</w:t>
      </w:r>
    </w:p>
    <w:p w14:paraId="4723B5DB" w14:textId="213529F3" w:rsidR="00FD21F1" w:rsidRDefault="003A194D" w:rsidP="00AB5C03">
      <w:pPr>
        <w:numPr>
          <w:ilvl w:val="0"/>
          <w:numId w:val="5"/>
        </w:numPr>
        <w:spacing w:after="0"/>
        <w:ind w:left="284" w:hanging="284"/>
      </w:pPr>
      <w:r w:rsidRPr="00C35CA8">
        <w:t xml:space="preserve">príspevok občanovi so </w:t>
      </w:r>
      <w:r w:rsidR="004D2D01" w:rsidRPr="00C35CA8">
        <w:t>ZP</w:t>
      </w:r>
      <w:r w:rsidRPr="00C35CA8">
        <w:t xml:space="preserve"> na </w:t>
      </w:r>
      <w:r w:rsidR="004D2D01" w:rsidRPr="00C35CA8">
        <w:t>SZČ</w:t>
      </w:r>
      <w:r w:rsidRPr="00C35CA8">
        <w:t xml:space="preserve"> (§ 57 </w:t>
      </w:r>
      <w:r w:rsidR="000008C8" w:rsidRPr="00C35CA8">
        <w:t>zákona o službách zamestnanosti</w:t>
      </w:r>
      <w:r w:rsidRPr="00C35CA8">
        <w:t>).</w:t>
      </w:r>
    </w:p>
    <w:p w14:paraId="0F970035" w14:textId="77777777" w:rsidR="00491871" w:rsidRPr="00C35CA8" w:rsidRDefault="00491871" w:rsidP="00491871">
      <w:pPr>
        <w:spacing w:after="0"/>
        <w:ind w:left="284" w:firstLine="0"/>
      </w:pPr>
    </w:p>
    <w:p w14:paraId="7C2C85F7" w14:textId="77777777" w:rsidR="003A194D" w:rsidRPr="00C35CA8" w:rsidRDefault="00495B14" w:rsidP="007A081E">
      <w:pPr>
        <w:pStyle w:val="Nadpis30"/>
        <w:spacing w:before="240" w:after="120"/>
        <w:ind w:hanging="6"/>
      </w:pPr>
      <w:bookmarkStart w:id="21" w:name="_Toc360447222"/>
      <w:bookmarkStart w:id="22" w:name="_Toc362010882"/>
      <w:bookmarkStart w:id="23" w:name="_Toc514941027"/>
      <w:bookmarkStart w:id="24" w:name="_Toc37094583"/>
      <w:bookmarkStart w:id="25" w:name="_Toc173741540"/>
      <w:bookmarkStart w:id="26" w:name="_Hlk103506547"/>
      <w:r w:rsidRPr="00C35CA8">
        <w:lastRenderedPageBreak/>
        <w:t>1</w:t>
      </w:r>
      <w:r w:rsidR="001A63DF" w:rsidRPr="00C35CA8">
        <w:t>.2.3</w:t>
      </w:r>
      <w:r w:rsidR="00CE1D88" w:rsidRPr="00C35CA8">
        <w:tab/>
      </w:r>
      <w:r w:rsidR="003A194D" w:rsidRPr="00C35CA8">
        <w:t>Udržanie existujúcich pracovných miest</w:t>
      </w:r>
      <w:bookmarkEnd w:id="21"/>
      <w:bookmarkEnd w:id="22"/>
      <w:bookmarkEnd w:id="23"/>
      <w:bookmarkEnd w:id="24"/>
      <w:bookmarkEnd w:id="25"/>
    </w:p>
    <w:bookmarkEnd w:id="26"/>
    <w:p w14:paraId="531C530F" w14:textId="77777777" w:rsidR="003A194D" w:rsidRPr="00C35CA8" w:rsidRDefault="003A194D" w:rsidP="00172525">
      <w:pPr>
        <w:spacing w:before="120" w:after="0"/>
        <w:ind w:firstLine="0"/>
      </w:pPr>
      <w:r w:rsidRPr="00C35CA8">
        <w:t>AOTP zamerané na podporu udržania zam</w:t>
      </w:r>
      <w:r w:rsidR="00694DC9" w:rsidRPr="00C35CA8">
        <w:t>estnancov v zamestnaní, udržania</w:t>
      </w:r>
      <w:r w:rsidRPr="00C35CA8">
        <w:t xml:space="preserve"> existujúcich PM</w:t>
      </w:r>
      <w:r w:rsidR="00800F64" w:rsidRPr="00C35CA8">
        <w:t xml:space="preserve"> </w:t>
      </w:r>
      <w:r w:rsidR="003D2C5F" w:rsidRPr="00C35CA8">
        <w:t xml:space="preserve">  </w:t>
      </w:r>
      <w:r w:rsidR="000C2530" w:rsidRPr="00C35CA8">
        <w:t xml:space="preserve">                          </w:t>
      </w:r>
      <w:r w:rsidR="003D2C5F" w:rsidRPr="00C35CA8">
        <w:t xml:space="preserve">a </w:t>
      </w:r>
      <w:r w:rsidRPr="00C35CA8">
        <w:t>predchádzanie zrušeni</w:t>
      </w:r>
      <w:r w:rsidR="00AE0537" w:rsidRPr="00C35CA8">
        <w:t>a</w:t>
      </w:r>
      <w:r w:rsidRPr="00C35CA8">
        <w:t xml:space="preserve"> PM alebo hromadného prepúšťania zamestnancov</w:t>
      </w:r>
      <w:r w:rsidR="004D2D01" w:rsidRPr="00C35CA8">
        <w:t>,</w:t>
      </w:r>
      <w:r w:rsidRPr="00C35CA8">
        <w:t xml:space="preserve"> sú:</w:t>
      </w:r>
    </w:p>
    <w:p w14:paraId="00AB49E2" w14:textId="77777777" w:rsidR="003A194D" w:rsidRPr="00C35CA8" w:rsidRDefault="003A194D" w:rsidP="00AA7E7B">
      <w:pPr>
        <w:numPr>
          <w:ilvl w:val="0"/>
          <w:numId w:val="6"/>
        </w:numPr>
        <w:spacing w:after="0"/>
        <w:ind w:left="284" w:hanging="284"/>
      </w:pPr>
      <w:r w:rsidRPr="00C35CA8">
        <w:t xml:space="preserve">vzdelávanie a príprava pre </w:t>
      </w:r>
      <w:r w:rsidR="00AE0537" w:rsidRPr="00C35CA8">
        <w:t>TP</w:t>
      </w:r>
      <w:r w:rsidRPr="00C35CA8">
        <w:t xml:space="preserve"> zamestnanca (§ 47 </w:t>
      </w:r>
      <w:r w:rsidR="002646A2" w:rsidRPr="00C35CA8">
        <w:t xml:space="preserve">a § 54 </w:t>
      </w:r>
      <w:r w:rsidRPr="00C35CA8">
        <w:t>zákona</w:t>
      </w:r>
      <w:r w:rsidR="00AE0537" w:rsidRPr="00C35CA8">
        <w:t xml:space="preserve"> o službách zamestnanosti</w:t>
      </w:r>
      <w:r w:rsidRPr="00C35CA8">
        <w:t>),</w:t>
      </w:r>
    </w:p>
    <w:p w14:paraId="463E1800" w14:textId="77777777" w:rsidR="003A194D" w:rsidRPr="00C35CA8" w:rsidRDefault="003A194D" w:rsidP="00AA7E7B">
      <w:pPr>
        <w:numPr>
          <w:ilvl w:val="0"/>
          <w:numId w:val="6"/>
        </w:numPr>
        <w:spacing w:after="0"/>
        <w:ind w:left="284" w:hanging="284"/>
      </w:pPr>
      <w:r w:rsidRPr="00C35CA8">
        <w:t>príspevok na dochádzku za prácou (§ 53 zákona</w:t>
      </w:r>
      <w:r w:rsidR="00AE0537" w:rsidRPr="00C35CA8">
        <w:t xml:space="preserve"> o službách zamestnanosti</w:t>
      </w:r>
      <w:r w:rsidRPr="00C35CA8">
        <w:t>),</w:t>
      </w:r>
    </w:p>
    <w:p w14:paraId="572B9AFB" w14:textId="77777777" w:rsidR="003A194D" w:rsidRPr="00C35CA8" w:rsidRDefault="003A194D" w:rsidP="00AA7E7B">
      <w:pPr>
        <w:numPr>
          <w:ilvl w:val="0"/>
          <w:numId w:val="6"/>
        </w:numPr>
        <w:spacing w:after="0"/>
        <w:ind w:left="284" w:hanging="284"/>
      </w:pPr>
      <w:r w:rsidRPr="00C35CA8">
        <w:t>príspevok na podporu mobility za prácou (§ 53a zákona</w:t>
      </w:r>
      <w:r w:rsidR="00AE0537" w:rsidRPr="00C35CA8">
        <w:t xml:space="preserve"> o službách zamestnanosti</w:t>
      </w:r>
      <w:r w:rsidRPr="00C35CA8">
        <w:t>),</w:t>
      </w:r>
    </w:p>
    <w:p w14:paraId="3EE57277" w14:textId="77777777" w:rsidR="003A194D" w:rsidRPr="00C35CA8" w:rsidRDefault="003A194D" w:rsidP="00AA7E7B">
      <w:pPr>
        <w:numPr>
          <w:ilvl w:val="0"/>
          <w:numId w:val="6"/>
        </w:numPr>
        <w:spacing w:after="0"/>
        <w:ind w:left="284" w:hanging="284"/>
      </w:pPr>
      <w:r w:rsidRPr="00C35CA8">
        <w:t>príspevok na dopravu do zamestnania (§ 53b zákona</w:t>
      </w:r>
      <w:r w:rsidR="00AE0537" w:rsidRPr="00C35CA8">
        <w:t xml:space="preserve"> o službách zamestnanosti</w:t>
      </w:r>
      <w:r w:rsidRPr="00C35CA8">
        <w:t>),</w:t>
      </w:r>
    </w:p>
    <w:p w14:paraId="569F8ECF" w14:textId="052B2441" w:rsidR="00ED5CA0" w:rsidRPr="00C35CA8" w:rsidRDefault="00CD66D9" w:rsidP="00AA7E7B">
      <w:pPr>
        <w:numPr>
          <w:ilvl w:val="0"/>
          <w:numId w:val="6"/>
        </w:numPr>
        <w:spacing w:after="0"/>
        <w:ind w:left="284" w:hanging="284"/>
      </w:pPr>
      <w:r w:rsidRPr="00C35CA8">
        <w:t>vyrovnávac</w:t>
      </w:r>
      <w:r w:rsidR="0053696F">
        <w:t>í</w:t>
      </w:r>
      <w:r w:rsidR="00ED5CA0" w:rsidRPr="00C35CA8">
        <w:t xml:space="preserve"> príspev</w:t>
      </w:r>
      <w:r w:rsidR="0053696F">
        <w:t>o</w:t>
      </w:r>
      <w:r w:rsidR="00ED5CA0" w:rsidRPr="00C35CA8">
        <w:t>k</w:t>
      </w:r>
      <w:r w:rsidR="0053696F">
        <w:t xml:space="preserve"> </w:t>
      </w:r>
      <w:r w:rsidR="0053696F" w:rsidRPr="00C35CA8">
        <w:t xml:space="preserve">(§ </w:t>
      </w:r>
      <w:r w:rsidR="0053696F">
        <w:t>19b</w:t>
      </w:r>
      <w:r w:rsidR="0053696F" w:rsidRPr="00C35CA8">
        <w:t xml:space="preserve"> zákona o</w:t>
      </w:r>
      <w:r w:rsidR="0053696F">
        <w:t> </w:t>
      </w:r>
      <w:r w:rsidR="0053696F" w:rsidRPr="00C35CA8">
        <w:t>s</w:t>
      </w:r>
      <w:r w:rsidR="0053696F">
        <w:t>ociálnej ekonomike</w:t>
      </w:r>
      <w:r w:rsidR="0053696F" w:rsidRPr="00C35CA8">
        <w:t>),</w:t>
      </w:r>
      <w:r w:rsidR="00ED5CA0" w:rsidRPr="00C35CA8">
        <w:t>),</w:t>
      </w:r>
    </w:p>
    <w:p w14:paraId="42367244" w14:textId="77777777" w:rsidR="003A194D" w:rsidRPr="00C35CA8" w:rsidRDefault="003A194D" w:rsidP="00AA7E7B">
      <w:pPr>
        <w:numPr>
          <w:ilvl w:val="0"/>
          <w:numId w:val="6"/>
        </w:numPr>
        <w:spacing w:after="0"/>
        <w:ind w:left="284" w:hanging="284"/>
      </w:pPr>
      <w:r w:rsidRPr="00C35CA8">
        <w:t>príspevok na udržanie občana so ZP v zamestnaní (§ 56a zákona</w:t>
      </w:r>
      <w:r w:rsidR="00AE0537" w:rsidRPr="00C35CA8">
        <w:t xml:space="preserve"> o službách zamestnanosti</w:t>
      </w:r>
      <w:r w:rsidRPr="00C35CA8">
        <w:t>),</w:t>
      </w:r>
    </w:p>
    <w:p w14:paraId="3DCA7717" w14:textId="77777777" w:rsidR="003A194D" w:rsidRPr="00C35CA8" w:rsidRDefault="003A194D" w:rsidP="00AA7E7B">
      <w:pPr>
        <w:numPr>
          <w:ilvl w:val="0"/>
          <w:numId w:val="6"/>
        </w:numPr>
        <w:spacing w:after="0"/>
        <w:ind w:left="284" w:hanging="284"/>
      </w:pPr>
      <w:r w:rsidRPr="00C35CA8">
        <w:t>príspevok na činnosť pracovného asistenta (§ 59 zákona</w:t>
      </w:r>
      <w:r w:rsidR="00AE0537" w:rsidRPr="00C35CA8">
        <w:t xml:space="preserve"> o službách zamestnanosti</w:t>
      </w:r>
      <w:r w:rsidRPr="00C35CA8">
        <w:t>),</w:t>
      </w:r>
    </w:p>
    <w:p w14:paraId="1B4785C6" w14:textId="79DB1835" w:rsidR="00ED5CA0" w:rsidRPr="00C35CA8" w:rsidRDefault="003A194D" w:rsidP="00AA7E7B">
      <w:pPr>
        <w:numPr>
          <w:ilvl w:val="0"/>
          <w:numId w:val="6"/>
        </w:numPr>
        <w:spacing w:after="0"/>
        <w:ind w:left="284" w:hanging="284"/>
      </w:pPr>
      <w:r w:rsidRPr="00C35CA8">
        <w:t>príspevok na úhradu prevádzkových nákladov</w:t>
      </w:r>
      <w:r w:rsidR="00821B1C" w:rsidRPr="00C35CA8">
        <w:t xml:space="preserve"> </w:t>
      </w:r>
      <w:r w:rsidR="000C2530" w:rsidRPr="00C35CA8">
        <w:t>chránenej dielne („</w:t>
      </w:r>
      <w:r w:rsidR="00821B1C" w:rsidRPr="00C35CA8">
        <w:t>CHD</w:t>
      </w:r>
      <w:r w:rsidR="000C2530" w:rsidRPr="00C35CA8">
        <w:t>“)</w:t>
      </w:r>
      <w:r w:rsidRPr="00C35CA8">
        <w:t xml:space="preserve"> alebo</w:t>
      </w:r>
      <w:r w:rsidR="000C2530" w:rsidRPr="00C35CA8">
        <w:t xml:space="preserve"> chráneného pracoviska („</w:t>
      </w:r>
      <w:r w:rsidR="00821B1C" w:rsidRPr="00C35CA8">
        <w:t>CHP</w:t>
      </w:r>
      <w:r w:rsidR="000C2530" w:rsidRPr="00C35CA8">
        <w:t xml:space="preserve">“) a na úhradu nákladov </w:t>
      </w:r>
      <w:r w:rsidR="0053696F">
        <w:t xml:space="preserve">na dopravu zamestnancov </w:t>
      </w:r>
      <w:r w:rsidRPr="00C35CA8">
        <w:t>(§ 60 zákona</w:t>
      </w:r>
      <w:r w:rsidR="00AE0537" w:rsidRPr="00C35CA8">
        <w:t xml:space="preserve"> o službách zamestnanosti</w:t>
      </w:r>
      <w:r w:rsidRPr="00C35CA8">
        <w:t>).</w:t>
      </w:r>
    </w:p>
    <w:p w14:paraId="1923AD08" w14:textId="399463B0" w:rsidR="0057796E" w:rsidRPr="00C35CA8" w:rsidRDefault="00947D68" w:rsidP="005C09D5">
      <w:pPr>
        <w:pStyle w:val="Nadpis20"/>
        <w:spacing w:before="120"/>
      </w:pPr>
      <w:bookmarkStart w:id="27" w:name="_Toc173741541"/>
      <w:bookmarkStart w:id="28" w:name="_Toc514941028"/>
      <w:bookmarkStart w:id="29" w:name="_Toc37094584"/>
      <w:bookmarkStart w:id="30" w:name="_Hlk103507080"/>
      <w:r w:rsidRPr="00C35CA8">
        <w:t>1</w:t>
      </w:r>
      <w:r w:rsidR="0057796E" w:rsidRPr="00C35CA8">
        <w:t>.3</w:t>
      </w:r>
      <w:r w:rsidR="00CE1D88" w:rsidRPr="00C35CA8">
        <w:tab/>
      </w:r>
      <w:r w:rsidR="0057796E" w:rsidRPr="00C35CA8">
        <w:t xml:space="preserve">Využívanie </w:t>
      </w:r>
      <w:r w:rsidRPr="00C35CA8">
        <w:t>aktívnych opatrení trhu práce</w:t>
      </w:r>
      <w:r w:rsidR="0057796E" w:rsidRPr="00C35CA8">
        <w:t xml:space="preserve"> v roku </w:t>
      </w:r>
      <w:r w:rsidR="0057796E" w:rsidRPr="00041320">
        <w:rPr>
          <w:color w:val="auto"/>
        </w:rPr>
        <w:t>20</w:t>
      </w:r>
      <w:r w:rsidR="00267413" w:rsidRPr="00041320">
        <w:rPr>
          <w:color w:val="auto"/>
        </w:rPr>
        <w:t>2</w:t>
      </w:r>
      <w:r w:rsidR="00041320">
        <w:rPr>
          <w:color w:val="auto"/>
        </w:rPr>
        <w:t>3</w:t>
      </w:r>
      <w:bookmarkEnd w:id="27"/>
    </w:p>
    <w:tbl>
      <w:tblPr>
        <w:tblStyle w:val="tltabsprava3"/>
        <w:tblW w:w="5000" w:type="pct"/>
        <w:tblLayout w:type="fixed"/>
        <w:tblLook w:val="04A0" w:firstRow="1" w:lastRow="0" w:firstColumn="1" w:lastColumn="0" w:noHBand="0" w:noVBand="1"/>
      </w:tblPr>
      <w:tblGrid>
        <w:gridCol w:w="2034"/>
        <w:gridCol w:w="1813"/>
        <w:gridCol w:w="1572"/>
        <w:gridCol w:w="22"/>
        <w:gridCol w:w="1867"/>
        <w:gridCol w:w="1889"/>
        <w:gridCol w:w="7"/>
      </w:tblGrid>
      <w:tr w:rsidR="00D218F0" w:rsidRPr="00DE27B1" w14:paraId="7F6BCBB2" w14:textId="77777777" w:rsidTr="00970F64">
        <w:trPr>
          <w:cnfStyle w:val="100000000000" w:firstRow="1" w:lastRow="0" w:firstColumn="0" w:lastColumn="0" w:oddVBand="0" w:evenVBand="0" w:oddHBand="0" w:evenHBand="0" w:firstRowFirstColumn="0" w:firstRowLastColumn="0" w:lastRowFirstColumn="0" w:lastRowLastColumn="0"/>
          <w:trHeight w:val="29"/>
        </w:trPr>
        <w:tc>
          <w:tcPr>
            <w:tcW w:w="1105" w:type="pct"/>
            <w:vMerge w:val="restart"/>
            <w:tcBorders>
              <w:right w:val="single" w:sz="4" w:space="0" w:color="FFFFFF" w:themeColor="background1"/>
            </w:tcBorders>
          </w:tcPr>
          <w:bookmarkEnd w:id="28"/>
          <w:bookmarkEnd w:id="29"/>
          <w:bookmarkEnd w:id="30"/>
          <w:p w14:paraId="7639A6F1" w14:textId="77777777" w:rsidR="00D218F0" w:rsidRPr="00DE27B1" w:rsidRDefault="00D218F0" w:rsidP="00DE27B1">
            <w:pPr>
              <w:spacing w:after="0"/>
              <w:ind w:hanging="6"/>
              <w:jc w:val="center"/>
              <w:rPr>
                <w:rFonts w:asciiTheme="minorHAnsi" w:hAnsiTheme="minorHAnsi" w:cstheme="minorHAnsi"/>
                <w:sz w:val="20"/>
                <w:szCs w:val="20"/>
                <w:lang w:val="sk-SK"/>
              </w:rPr>
            </w:pPr>
            <w:r w:rsidRPr="00DE27B1">
              <w:rPr>
                <w:rFonts w:asciiTheme="minorHAnsi" w:hAnsiTheme="minorHAnsi" w:cstheme="minorHAnsi"/>
                <w:bCs/>
                <w:sz w:val="20"/>
                <w:szCs w:val="20"/>
                <w:lang w:val="sk-SK"/>
              </w:rPr>
              <w:t>AOTP podľa prísl. § zákona o službách zamestnanosti/ zákona o sociálnej ekonomike</w:t>
            </w:r>
          </w:p>
        </w:tc>
        <w:tc>
          <w:tcPr>
            <w:tcW w:w="1851" w:type="pct"/>
            <w:gridSpan w:val="3"/>
            <w:tcBorders>
              <w:left w:val="single" w:sz="4" w:space="0" w:color="FFFFFF" w:themeColor="background1"/>
              <w:bottom w:val="single" w:sz="4" w:space="0" w:color="FFFFFF" w:themeColor="background1"/>
              <w:right w:val="single" w:sz="4" w:space="0" w:color="FFFFFF" w:themeColor="background1"/>
            </w:tcBorders>
            <w:noWrap/>
          </w:tcPr>
          <w:p w14:paraId="1CC6702D" w14:textId="77777777" w:rsidR="00D218F0" w:rsidRPr="00DE27B1" w:rsidRDefault="00D218F0" w:rsidP="00DE27B1">
            <w:pPr>
              <w:spacing w:after="0"/>
              <w:ind w:right="153" w:hanging="6"/>
              <w:jc w:val="center"/>
              <w:rPr>
                <w:rFonts w:asciiTheme="minorHAnsi" w:hAnsiTheme="minorHAnsi" w:cstheme="minorHAnsi"/>
                <w:sz w:val="20"/>
                <w:szCs w:val="20"/>
                <w:lang w:val="sk-SK"/>
              </w:rPr>
            </w:pPr>
            <w:r w:rsidRPr="00DE27B1">
              <w:rPr>
                <w:rFonts w:asciiTheme="minorHAnsi" w:hAnsiTheme="minorHAnsi" w:cstheme="minorHAnsi"/>
                <w:bCs/>
                <w:sz w:val="20"/>
                <w:szCs w:val="20"/>
                <w:lang w:val="sk-SK"/>
              </w:rPr>
              <w:t>Rok 2022</w:t>
            </w:r>
          </w:p>
        </w:tc>
        <w:tc>
          <w:tcPr>
            <w:tcW w:w="2044" w:type="pct"/>
            <w:gridSpan w:val="3"/>
            <w:tcBorders>
              <w:left w:val="single" w:sz="4" w:space="0" w:color="FFFFFF" w:themeColor="background1"/>
              <w:bottom w:val="single" w:sz="4" w:space="0" w:color="FFFFFF" w:themeColor="background1"/>
              <w:right w:val="single" w:sz="4" w:space="0" w:color="C00000"/>
            </w:tcBorders>
            <w:noWrap/>
          </w:tcPr>
          <w:p w14:paraId="03CA354F" w14:textId="77777777" w:rsidR="00D218F0" w:rsidRPr="00DE27B1" w:rsidRDefault="00D218F0" w:rsidP="00DE27B1">
            <w:pPr>
              <w:spacing w:after="0"/>
              <w:ind w:right="153" w:hanging="6"/>
              <w:jc w:val="center"/>
              <w:rPr>
                <w:rFonts w:asciiTheme="minorHAnsi" w:hAnsiTheme="minorHAnsi" w:cstheme="minorHAnsi"/>
                <w:sz w:val="20"/>
                <w:szCs w:val="20"/>
                <w:lang w:val="sk-SK"/>
              </w:rPr>
            </w:pPr>
            <w:r w:rsidRPr="00DE27B1">
              <w:rPr>
                <w:rFonts w:asciiTheme="minorHAnsi" w:hAnsiTheme="minorHAnsi" w:cstheme="minorHAnsi"/>
                <w:bCs/>
                <w:sz w:val="20"/>
                <w:szCs w:val="20"/>
                <w:lang w:val="sk-SK"/>
              </w:rPr>
              <w:t>Rok 2023</w:t>
            </w:r>
          </w:p>
        </w:tc>
      </w:tr>
      <w:tr w:rsidR="00D218F0" w:rsidRPr="00DE27B1" w14:paraId="32CEB878"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vMerge/>
            <w:tcBorders>
              <w:bottom w:val="single" w:sz="6" w:space="0" w:color="C00000"/>
              <w:right w:val="single" w:sz="4" w:space="0" w:color="FFFFFF" w:themeColor="background1"/>
            </w:tcBorders>
            <w:shd w:val="clear" w:color="auto" w:fill="B7194A"/>
          </w:tcPr>
          <w:p w14:paraId="65726E1D" w14:textId="77777777" w:rsidR="00D218F0" w:rsidRPr="00DE27B1" w:rsidRDefault="00D218F0" w:rsidP="00DE27B1">
            <w:pPr>
              <w:spacing w:after="0"/>
              <w:ind w:hanging="6"/>
              <w:rPr>
                <w:rFonts w:asciiTheme="minorHAnsi" w:hAnsiTheme="minorHAnsi" w:cstheme="minorHAnsi"/>
                <w:b/>
                <w:color w:val="FFFFFF" w:themeColor="background1"/>
                <w:sz w:val="20"/>
                <w:szCs w:val="20"/>
                <w:lang w:val="sk-SK"/>
              </w:rPr>
            </w:pPr>
          </w:p>
        </w:tc>
        <w:tc>
          <w:tcPr>
            <w:tcW w:w="985" w:type="pct"/>
            <w:tcBorders>
              <w:top w:val="single" w:sz="4" w:space="0" w:color="FFFFFF" w:themeColor="background1"/>
              <w:left w:val="single" w:sz="4" w:space="0" w:color="FFFFFF" w:themeColor="background1"/>
              <w:bottom w:val="single" w:sz="6" w:space="0" w:color="C00000"/>
              <w:right w:val="single" w:sz="4" w:space="0" w:color="FFFFFF" w:themeColor="background1"/>
            </w:tcBorders>
            <w:shd w:val="clear" w:color="auto" w:fill="B7194A"/>
            <w:noWrap/>
          </w:tcPr>
          <w:p w14:paraId="71F73183" w14:textId="77777777" w:rsidR="00D218F0" w:rsidRPr="00DE27B1" w:rsidRDefault="00D218F0" w:rsidP="00DE27B1">
            <w:pPr>
              <w:spacing w:after="0"/>
              <w:ind w:right="16" w:hanging="6"/>
              <w:jc w:val="center"/>
              <w:rPr>
                <w:rFonts w:asciiTheme="minorHAnsi" w:hAnsiTheme="minorHAnsi" w:cstheme="minorHAnsi"/>
                <w:b/>
                <w:color w:val="FFFFFF" w:themeColor="background1"/>
                <w:sz w:val="20"/>
                <w:szCs w:val="20"/>
                <w:lang w:val="sk-SK"/>
              </w:rPr>
            </w:pPr>
            <w:r w:rsidRPr="00DE27B1">
              <w:rPr>
                <w:rFonts w:asciiTheme="minorHAnsi" w:hAnsiTheme="minorHAnsi" w:cstheme="minorHAnsi"/>
                <w:b/>
                <w:bCs/>
                <w:color w:val="FFFFFF" w:themeColor="background1"/>
                <w:sz w:val="20"/>
                <w:szCs w:val="20"/>
                <w:lang w:val="sk-SK"/>
              </w:rPr>
              <w:t>Počet zaradených UoZ/osôb, resp. počet podporených PM/UoZ/osôb</w:t>
            </w:r>
          </w:p>
        </w:tc>
        <w:tc>
          <w:tcPr>
            <w:tcW w:w="854" w:type="pct"/>
            <w:tcBorders>
              <w:top w:val="single" w:sz="4" w:space="0" w:color="FFFFFF" w:themeColor="background1"/>
              <w:left w:val="single" w:sz="4" w:space="0" w:color="FFFFFF" w:themeColor="background1"/>
              <w:bottom w:val="single" w:sz="6" w:space="0" w:color="C00000"/>
              <w:right w:val="single" w:sz="4" w:space="0" w:color="FFFFFF" w:themeColor="background1"/>
            </w:tcBorders>
            <w:shd w:val="clear" w:color="auto" w:fill="B7194A"/>
            <w:noWrap/>
          </w:tcPr>
          <w:p w14:paraId="33336CC5" w14:textId="66C0E404" w:rsidR="00D218F0" w:rsidRPr="00DE27B1" w:rsidRDefault="00D218F0" w:rsidP="00DE27B1">
            <w:pPr>
              <w:spacing w:after="0"/>
              <w:ind w:right="16" w:hanging="6"/>
              <w:jc w:val="center"/>
              <w:rPr>
                <w:rFonts w:asciiTheme="minorHAnsi" w:hAnsiTheme="minorHAnsi" w:cstheme="minorHAnsi"/>
                <w:b/>
                <w:color w:val="FFFFFF" w:themeColor="background1"/>
                <w:sz w:val="20"/>
                <w:szCs w:val="20"/>
                <w:lang w:val="sk-SK"/>
              </w:rPr>
            </w:pPr>
            <w:r w:rsidRPr="00DE27B1">
              <w:rPr>
                <w:rFonts w:asciiTheme="minorHAnsi" w:hAnsiTheme="minorHAnsi" w:cstheme="minorHAnsi"/>
                <w:b/>
                <w:bCs/>
                <w:color w:val="FFFFFF" w:themeColor="background1"/>
                <w:sz w:val="20"/>
                <w:szCs w:val="20"/>
                <w:lang w:val="sk-SK"/>
              </w:rPr>
              <w:t xml:space="preserve">Čerpanie finančných prostriedkov </w:t>
            </w:r>
            <w:r w:rsidRPr="003F6CA3">
              <w:rPr>
                <w:rFonts w:asciiTheme="minorHAnsi" w:hAnsiTheme="minorHAnsi" w:cstheme="minorHAnsi"/>
                <w:bCs/>
                <w:color w:val="FFFFFF" w:themeColor="background1"/>
                <w:sz w:val="20"/>
                <w:szCs w:val="20"/>
                <w:lang w:val="sk-SK"/>
              </w:rPr>
              <w:t>(v </w:t>
            </w:r>
            <w:r w:rsidR="00E23598" w:rsidRPr="003F6CA3">
              <w:rPr>
                <w:rFonts w:asciiTheme="minorHAnsi" w:hAnsiTheme="minorHAnsi" w:cstheme="minorHAnsi"/>
                <w:bCs/>
                <w:color w:val="FFFFFF" w:themeColor="background1"/>
                <w:sz w:val="20"/>
                <w:szCs w:val="20"/>
                <w:lang w:val="sk-SK"/>
              </w:rPr>
              <w:t>eur</w:t>
            </w:r>
            <w:r w:rsidRPr="003F6CA3">
              <w:rPr>
                <w:rFonts w:asciiTheme="minorHAnsi" w:hAnsiTheme="minorHAnsi" w:cstheme="minorHAnsi"/>
                <w:bCs/>
                <w:color w:val="FFFFFF" w:themeColor="background1"/>
                <w:sz w:val="20"/>
                <w:szCs w:val="20"/>
                <w:lang w:val="sk-SK"/>
              </w:rPr>
              <w:t>)</w:t>
            </w:r>
          </w:p>
        </w:tc>
        <w:tc>
          <w:tcPr>
            <w:tcW w:w="1026" w:type="pct"/>
            <w:gridSpan w:val="2"/>
            <w:tcBorders>
              <w:top w:val="single" w:sz="4" w:space="0" w:color="FFFFFF" w:themeColor="background1"/>
              <w:left w:val="single" w:sz="4" w:space="0" w:color="FFFFFF" w:themeColor="background1"/>
              <w:bottom w:val="single" w:sz="6" w:space="0" w:color="C00000"/>
              <w:right w:val="single" w:sz="4" w:space="0" w:color="FFFFFF" w:themeColor="background1"/>
            </w:tcBorders>
            <w:shd w:val="clear" w:color="auto" w:fill="B7194A"/>
            <w:noWrap/>
          </w:tcPr>
          <w:p w14:paraId="56E096E9" w14:textId="77777777" w:rsidR="00D218F0" w:rsidRPr="00DE27B1" w:rsidRDefault="00D218F0" w:rsidP="00DE27B1">
            <w:pPr>
              <w:spacing w:after="0"/>
              <w:ind w:right="16" w:hanging="6"/>
              <w:jc w:val="center"/>
              <w:rPr>
                <w:rFonts w:asciiTheme="minorHAnsi" w:hAnsiTheme="minorHAnsi" w:cstheme="minorHAnsi"/>
                <w:b/>
                <w:color w:val="FFFFFF" w:themeColor="background1"/>
                <w:sz w:val="20"/>
                <w:szCs w:val="20"/>
                <w:lang w:val="sk-SK"/>
              </w:rPr>
            </w:pPr>
            <w:r w:rsidRPr="00DE27B1">
              <w:rPr>
                <w:rFonts w:asciiTheme="minorHAnsi" w:hAnsiTheme="minorHAnsi" w:cstheme="minorHAnsi"/>
                <w:b/>
                <w:bCs/>
                <w:color w:val="FFFFFF" w:themeColor="background1"/>
                <w:sz w:val="20"/>
                <w:szCs w:val="20"/>
                <w:lang w:val="sk-SK"/>
              </w:rPr>
              <w:t>Počet zaradených UoZ/osôb, resp. počet podporených PM/UoZ/osôb</w:t>
            </w:r>
          </w:p>
        </w:tc>
        <w:tc>
          <w:tcPr>
            <w:tcW w:w="1026" w:type="pct"/>
            <w:tcBorders>
              <w:top w:val="single" w:sz="4" w:space="0" w:color="FFFFFF" w:themeColor="background1"/>
              <w:left w:val="single" w:sz="4" w:space="0" w:color="FFFFFF" w:themeColor="background1"/>
              <w:bottom w:val="single" w:sz="6" w:space="0" w:color="C00000"/>
            </w:tcBorders>
            <w:shd w:val="clear" w:color="auto" w:fill="B7194A"/>
            <w:noWrap/>
          </w:tcPr>
          <w:p w14:paraId="010A3E38" w14:textId="77777777" w:rsidR="00D218F0" w:rsidRPr="00DE27B1" w:rsidRDefault="00D218F0" w:rsidP="00DE27B1">
            <w:pPr>
              <w:spacing w:after="0"/>
              <w:ind w:right="16" w:hanging="6"/>
              <w:jc w:val="center"/>
              <w:rPr>
                <w:rFonts w:asciiTheme="minorHAnsi" w:hAnsiTheme="minorHAnsi" w:cstheme="minorHAnsi"/>
                <w:b/>
                <w:bCs/>
                <w:color w:val="FFFFFF" w:themeColor="background1"/>
                <w:sz w:val="20"/>
                <w:szCs w:val="20"/>
                <w:lang w:val="sk-SK"/>
              </w:rPr>
            </w:pPr>
            <w:r w:rsidRPr="00DE27B1">
              <w:rPr>
                <w:rFonts w:asciiTheme="minorHAnsi" w:hAnsiTheme="minorHAnsi" w:cstheme="minorHAnsi"/>
                <w:b/>
                <w:bCs/>
                <w:color w:val="FFFFFF" w:themeColor="background1"/>
                <w:sz w:val="20"/>
                <w:szCs w:val="20"/>
                <w:lang w:val="sk-SK"/>
              </w:rPr>
              <w:t xml:space="preserve">Čerpanie finančných prostriedkov </w:t>
            </w:r>
          </w:p>
          <w:p w14:paraId="01018818" w14:textId="250F5DA7" w:rsidR="00D218F0" w:rsidRPr="003F6CA3" w:rsidRDefault="00D218F0" w:rsidP="00DE27B1">
            <w:pPr>
              <w:spacing w:after="0"/>
              <w:ind w:right="16" w:hanging="6"/>
              <w:jc w:val="center"/>
              <w:rPr>
                <w:rFonts w:asciiTheme="minorHAnsi" w:hAnsiTheme="minorHAnsi" w:cstheme="minorHAnsi"/>
                <w:color w:val="FFFFFF" w:themeColor="background1"/>
                <w:sz w:val="20"/>
                <w:szCs w:val="20"/>
                <w:lang w:val="sk-SK"/>
              </w:rPr>
            </w:pPr>
            <w:r w:rsidRPr="003F6CA3">
              <w:rPr>
                <w:rFonts w:asciiTheme="minorHAnsi" w:hAnsiTheme="minorHAnsi" w:cstheme="minorHAnsi"/>
                <w:bCs/>
                <w:color w:val="FFFFFF" w:themeColor="background1"/>
                <w:sz w:val="20"/>
                <w:szCs w:val="20"/>
                <w:lang w:val="sk-SK"/>
              </w:rPr>
              <w:t xml:space="preserve">(v </w:t>
            </w:r>
            <w:r w:rsidR="00E23598" w:rsidRPr="003F6CA3">
              <w:rPr>
                <w:rFonts w:asciiTheme="minorHAnsi" w:hAnsiTheme="minorHAnsi" w:cstheme="minorHAnsi"/>
                <w:bCs/>
                <w:color w:val="FFFFFF" w:themeColor="background1"/>
                <w:sz w:val="20"/>
                <w:szCs w:val="20"/>
                <w:lang w:val="sk-SK"/>
              </w:rPr>
              <w:t>eur</w:t>
            </w:r>
            <w:r w:rsidRPr="003F6CA3">
              <w:rPr>
                <w:rFonts w:asciiTheme="minorHAnsi" w:hAnsiTheme="minorHAnsi" w:cstheme="minorHAnsi"/>
                <w:bCs/>
                <w:color w:val="FFFFFF" w:themeColor="background1"/>
                <w:sz w:val="20"/>
                <w:szCs w:val="20"/>
                <w:lang w:val="sk-SK"/>
              </w:rPr>
              <w:t>)</w:t>
            </w:r>
          </w:p>
        </w:tc>
      </w:tr>
      <w:tr w:rsidR="00D218F0" w:rsidRPr="00DE27B1" w14:paraId="2A1909E4"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hideMark/>
          </w:tcPr>
          <w:p w14:paraId="3F8797F7" w14:textId="77777777" w:rsidR="00D218F0" w:rsidRPr="00DE27B1" w:rsidRDefault="00D218F0" w:rsidP="00DE27B1">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32  </w:t>
            </w:r>
          </w:p>
        </w:tc>
        <w:tc>
          <w:tcPr>
            <w:tcW w:w="985" w:type="pct"/>
            <w:tcBorders>
              <w:top w:val="single" w:sz="6" w:space="0" w:color="C00000"/>
              <w:left w:val="single" w:sz="6" w:space="0" w:color="C00000"/>
              <w:bottom w:val="single" w:sz="6" w:space="0" w:color="C00000"/>
              <w:right w:val="single" w:sz="6" w:space="0" w:color="C00000"/>
            </w:tcBorders>
            <w:noWrap/>
          </w:tcPr>
          <w:p w14:paraId="4FDDAB0B"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573</w:t>
            </w:r>
          </w:p>
        </w:tc>
        <w:tc>
          <w:tcPr>
            <w:tcW w:w="854" w:type="pct"/>
            <w:tcBorders>
              <w:top w:val="single" w:sz="6" w:space="0" w:color="C00000"/>
              <w:left w:val="single" w:sz="6" w:space="0" w:color="C00000"/>
              <w:bottom w:val="single" w:sz="6" w:space="0" w:color="C00000"/>
              <w:right w:val="single" w:sz="6" w:space="0" w:color="C00000"/>
            </w:tcBorders>
            <w:noWrap/>
          </w:tcPr>
          <w:p w14:paraId="05F7B218"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6 062 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0A78082E"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683</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9DE8ECC"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8 825 </w:t>
            </w:r>
          </w:p>
        </w:tc>
      </w:tr>
      <w:tr w:rsidR="00D218F0" w:rsidRPr="00DE27B1" w14:paraId="37B03959"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tcPr>
          <w:p w14:paraId="1D9D4B3E" w14:textId="77777777" w:rsidR="00D218F0" w:rsidRPr="00DE27B1" w:rsidRDefault="00D218F0" w:rsidP="00DE27B1">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42* </w:t>
            </w:r>
          </w:p>
        </w:tc>
        <w:tc>
          <w:tcPr>
            <w:tcW w:w="985" w:type="pct"/>
            <w:tcBorders>
              <w:top w:val="single" w:sz="6" w:space="0" w:color="C00000"/>
              <w:left w:val="single" w:sz="6" w:space="0" w:color="C00000"/>
              <w:bottom w:val="single" w:sz="6" w:space="0" w:color="C00000"/>
              <w:right w:val="single" w:sz="6" w:space="0" w:color="C00000"/>
            </w:tcBorders>
            <w:noWrap/>
          </w:tcPr>
          <w:p w14:paraId="365C5414" w14:textId="07FA5C9A" w:rsidR="00D218F0" w:rsidRPr="00DE27B1" w:rsidRDefault="003F6CA3" w:rsidP="00DE27B1">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143 953</w:t>
            </w:r>
          </w:p>
        </w:tc>
        <w:tc>
          <w:tcPr>
            <w:tcW w:w="854" w:type="pct"/>
            <w:tcBorders>
              <w:top w:val="single" w:sz="6" w:space="0" w:color="C00000"/>
              <w:left w:val="single" w:sz="6" w:space="0" w:color="C00000"/>
              <w:bottom w:val="single" w:sz="6" w:space="0" w:color="C00000"/>
              <w:right w:val="single" w:sz="6" w:space="0" w:color="C00000"/>
            </w:tcBorders>
            <w:noWrap/>
          </w:tcPr>
          <w:p w14:paraId="0F1252D8"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4D00D833"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113 676 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472EB0E" w14:textId="77777777" w:rsidR="00D218F0" w:rsidRPr="00DE27B1" w:rsidRDefault="00D218F0" w:rsidP="00DE27B1">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1B72B602"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7E94ED2F"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43  </w:t>
            </w:r>
          </w:p>
        </w:tc>
        <w:tc>
          <w:tcPr>
            <w:tcW w:w="985" w:type="pct"/>
            <w:tcBorders>
              <w:top w:val="single" w:sz="6" w:space="0" w:color="C00000"/>
              <w:left w:val="nil"/>
              <w:bottom w:val="single" w:sz="6" w:space="0" w:color="C00000"/>
              <w:right w:val="single" w:sz="4" w:space="0" w:color="auto"/>
            </w:tcBorders>
            <w:noWrap/>
          </w:tcPr>
          <w:p w14:paraId="325C2CD2" w14:textId="083B920D" w:rsidR="002B70D7" w:rsidRPr="003F6CA3" w:rsidRDefault="002B70D7" w:rsidP="002B70D7">
            <w:pPr>
              <w:spacing w:after="0"/>
              <w:ind w:hanging="6"/>
              <w:jc w:val="right"/>
              <w:rPr>
                <w:rFonts w:asciiTheme="minorHAnsi" w:hAnsiTheme="minorHAnsi" w:cstheme="minorHAnsi"/>
                <w:sz w:val="20"/>
                <w:szCs w:val="20"/>
                <w:lang w:val="sk-SK"/>
              </w:rPr>
            </w:pPr>
            <w:r w:rsidRPr="003F6CA3">
              <w:rPr>
                <w:rFonts w:ascii="Calibri" w:hAnsi="Calibri" w:cs="Calibri"/>
                <w:sz w:val="20"/>
                <w:szCs w:val="20"/>
              </w:rPr>
              <w:t>10 389</w:t>
            </w:r>
          </w:p>
        </w:tc>
        <w:tc>
          <w:tcPr>
            <w:tcW w:w="854" w:type="pct"/>
            <w:tcBorders>
              <w:top w:val="single" w:sz="6" w:space="0" w:color="C00000"/>
              <w:left w:val="nil"/>
              <w:bottom w:val="single" w:sz="6" w:space="0" w:color="C00000"/>
              <w:right w:val="single" w:sz="8" w:space="0" w:color="auto"/>
            </w:tcBorders>
            <w:noWrap/>
          </w:tcPr>
          <w:p w14:paraId="15303ACD" w14:textId="705EBD62" w:rsidR="002B70D7" w:rsidRPr="003F6CA3" w:rsidRDefault="002B70D7" w:rsidP="002B70D7">
            <w:pPr>
              <w:spacing w:after="0"/>
              <w:ind w:hanging="6"/>
              <w:jc w:val="right"/>
              <w:rPr>
                <w:rFonts w:asciiTheme="minorHAnsi" w:hAnsiTheme="minorHAnsi" w:cstheme="minorHAnsi"/>
                <w:sz w:val="20"/>
                <w:szCs w:val="20"/>
                <w:lang w:val="sk-SK"/>
              </w:rPr>
            </w:pPr>
            <w:r w:rsidRPr="003F6CA3">
              <w:rPr>
                <w:rFonts w:ascii="Calibri" w:hAnsi="Calibri" w:cs="Calibri"/>
                <w:sz w:val="20"/>
                <w:szCs w:val="20"/>
              </w:rPr>
              <w:t>45 839</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764C7B06" w14:textId="66577598" w:rsidR="002B70D7" w:rsidRPr="00DE27B1" w:rsidRDefault="002B70D7" w:rsidP="002B70D7">
            <w:pPr>
              <w:spacing w:after="0"/>
              <w:ind w:hanging="6"/>
              <w:jc w:val="right"/>
              <w:rPr>
                <w:rFonts w:asciiTheme="minorHAnsi" w:hAnsiTheme="minorHAnsi" w:cstheme="minorHAnsi"/>
                <w:sz w:val="20"/>
                <w:szCs w:val="20"/>
                <w:lang w:val="sk-SK"/>
              </w:rPr>
            </w:pPr>
            <w:r w:rsidRPr="004F51C2">
              <w:rPr>
                <w:rFonts w:asciiTheme="minorHAnsi" w:hAnsiTheme="minorHAnsi" w:cstheme="minorHAnsi"/>
                <w:sz w:val="20"/>
                <w:szCs w:val="20"/>
                <w:lang w:val="sk-SK"/>
              </w:rPr>
              <w:t>11 618 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6F1889FE"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120 609 </w:t>
            </w:r>
          </w:p>
        </w:tc>
      </w:tr>
      <w:tr w:rsidR="002B70D7" w:rsidRPr="00DE27B1" w14:paraId="223A0332"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noWrap/>
            <w:hideMark/>
          </w:tcPr>
          <w:p w14:paraId="1ABD3163"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49 </w:t>
            </w:r>
          </w:p>
        </w:tc>
        <w:tc>
          <w:tcPr>
            <w:tcW w:w="985" w:type="pct"/>
            <w:tcBorders>
              <w:top w:val="single" w:sz="6" w:space="0" w:color="C00000"/>
              <w:left w:val="single" w:sz="6" w:space="0" w:color="C00000"/>
              <w:bottom w:val="single" w:sz="6" w:space="0" w:color="C00000"/>
              <w:right w:val="single" w:sz="6" w:space="0" w:color="C00000"/>
            </w:tcBorders>
            <w:noWrap/>
          </w:tcPr>
          <w:p w14:paraId="671C6174" w14:textId="77777777" w:rsidR="002B70D7" w:rsidRPr="003F6CA3" w:rsidRDefault="002B70D7" w:rsidP="002B70D7">
            <w:pPr>
              <w:spacing w:after="0"/>
              <w:ind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0 </w:t>
            </w:r>
          </w:p>
        </w:tc>
        <w:tc>
          <w:tcPr>
            <w:tcW w:w="854" w:type="pct"/>
            <w:tcBorders>
              <w:top w:val="single" w:sz="6" w:space="0" w:color="C00000"/>
              <w:left w:val="single" w:sz="6" w:space="0" w:color="C00000"/>
              <w:bottom w:val="single" w:sz="6" w:space="0" w:color="C00000"/>
              <w:right w:val="single" w:sz="6" w:space="0" w:color="C00000"/>
            </w:tcBorders>
            <w:noWrap/>
          </w:tcPr>
          <w:p w14:paraId="46D38BB6" w14:textId="30188521" w:rsidR="002B70D7" w:rsidRPr="003F6CA3" w:rsidRDefault="00F60907" w:rsidP="002B70D7">
            <w:pPr>
              <w:spacing w:after="0"/>
              <w:ind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5 778</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3CA3A686"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noWrap/>
          </w:tcPr>
          <w:p w14:paraId="6D38419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3AB0A3FA"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26996304"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50 </w:t>
            </w:r>
          </w:p>
        </w:tc>
        <w:tc>
          <w:tcPr>
            <w:tcW w:w="985" w:type="pct"/>
            <w:tcBorders>
              <w:top w:val="single" w:sz="6" w:space="0" w:color="C00000"/>
              <w:left w:val="single" w:sz="6" w:space="0" w:color="C00000"/>
              <w:bottom w:val="single" w:sz="6" w:space="0" w:color="C00000"/>
              <w:right w:val="single" w:sz="6" w:space="0" w:color="C00000"/>
            </w:tcBorders>
            <w:noWrap/>
          </w:tcPr>
          <w:p w14:paraId="65785FBA" w14:textId="77777777" w:rsidR="002B70D7" w:rsidRPr="003F6CA3" w:rsidRDefault="002B70D7" w:rsidP="002B70D7">
            <w:pPr>
              <w:spacing w:after="0"/>
              <w:ind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0 </w:t>
            </w:r>
          </w:p>
        </w:tc>
        <w:tc>
          <w:tcPr>
            <w:tcW w:w="854" w:type="pct"/>
            <w:tcBorders>
              <w:top w:val="single" w:sz="6" w:space="0" w:color="C00000"/>
              <w:left w:val="single" w:sz="6" w:space="0" w:color="C00000"/>
              <w:bottom w:val="single" w:sz="6" w:space="0" w:color="C00000"/>
              <w:right w:val="single" w:sz="6" w:space="0" w:color="C00000"/>
            </w:tcBorders>
            <w:noWrap/>
          </w:tcPr>
          <w:p w14:paraId="55FD4327" w14:textId="1E804064" w:rsidR="002B70D7" w:rsidRPr="003F6CA3" w:rsidRDefault="00F60907" w:rsidP="002B70D7">
            <w:pPr>
              <w:spacing w:after="0"/>
              <w:ind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7 652</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70060E2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35ABA7A"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6540CF09"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258F7681"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51 </w:t>
            </w:r>
          </w:p>
        </w:tc>
        <w:tc>
          <w:tcPr>
            <w:tcW w:w="985" w:type="pct"/>
            <w:tcBorders>
              <w:top w:val="single" w:sz="6" w:space="0" w:color="C00000"/>
              <w:left w:val="single" w:sz="6" w:space="0" w:color="C00000"/>
              <w:bottom w:val="single" w:sz="6" w:space="0" w:color="C00000"/>
              <w:right w:val="single" w:sz="6" w:space="0" w:color="C00000"/>
            </w:tcBorders>
            <w:noWrap/>
          </w:tcPr>
          <w:p w14:paraId="0BC1EDAF" w14:textId="5388482D" w:rsidR="002B70D7" w:rsidRPr="003F6CA3" w:rsidRDefault="00F60907" w:rsidP="00F60907">
            <w:pPr>
              <w:spacing w:after="0"/>
              <w:ind w:right="33"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0</w:t>
            </w:r>
          </w:p>
        </w:tc>
        <w:tc>
          <w:tcPr>
            <w:tcW w:w="854" w:type="pct"/>
            <w:tcBorders>
              <w:top w:val="single" w:sz="6" w:space="0" w:color="C00000"/>
              <w:left w:val="single" w:sz="6" w:space="0" w:color="C00000"/>
              <w:bottom w:val="single" w:sz="6" w:space="0" w:color="C00000"/>
              <w:right w:val="single" w:sz="6" w:space="0" w:color="C00000"/>
            </w:tcBorders>
            <w:noWrap/>
          </w:tcPr>
          <w:p w14:paraId="29C81C9B" w14:textId="00B67105" w:rsidR="002B70D7" w:rsidRPr="003F6CA3" w:rsidRDefault="00F60907" w:rsidP="002B70D7">
            <w:pPr>
              <w:spacing w:after="0"/>
              <w:ind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0</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7CFE2B77"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DD6672C"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67B9E8F0"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02537420" w14:textId="77777777" w:rsidR="002B70D7" w:rsidRPr="00F60907" w:rsidRDefault="002B70D7" w:rsidP="002B70D7">
            <w:pPr>
              <w:spacing w:after="0"/>
              <w:ind w:hanging="6"/>
              <w:rPr>
                <w:rFonts w:asciiTheme="minorHAnsi" w:hAnsiTheme="minorHAnsi" w:cstheme="minorHAnsi"/>
                <w:sz w:val="20"/>
                <w:szCs w:val="20"/>
                <w:highlight w:val="cyan"/>
                <w:lang w:val="sk-SK"/>
              </w:rPr>
            </w:pPr>
            <w:r w:rsidRPr="00511608">
              <w:rPr>
                <w:rFonts w:asciiTheme="minorHAnsi" w:hAnsiTheme="minorHAnsi" w:cstheme="minorHAnsi"/>
                <w:sz w:val="20"/>
                <w:szCs w:val="20"/>
                <w:lang w:val="sk-SK"/>
              </w:rPr>
              <w:t>§ 52 </w:t>
            </w:r>
          </w:p>
        </w:tc>
        <w:tc>
          <w:tcPr>
            <w:tcW w:w="985" w:type="pct"/>
            <w:tcBorders>
              <w:top w:val="single" w:sz="6" w:space="0" w:color="C00000"/>
              <w:left w:val="single" w:sz="6" w:space="0" w:color="C00000"/>
              <w:bottom w:val="single" w:sz="6" w:space="0" w:color="C00000"/>
              <w:right w:val="single" w:sz="6" w:space="0" w:color="C00000"/>
            </w:tcBorders>
            <w:noWrap/>
          </w:tcPr>
          <w:p w14:paraId="569A99A9" w14:textId="01175956" w:rsidR="002B70D7" w:rsidRPr="003F6CA3" w:rsidRDefault="003F6CA3" w:rsidP="002B70D7">
            <w:pPr>
              <w:spacing w:after="0"/>
              <w:ind w:hanging="6"/>
              <w:jc w:val="right"/>
              <w:rPr>
                <w:rFonts w:asciiTheme="minorHAnsi" w:hAnsiTheme="minorHAnsi" w:cstheme="minorHAnsi"/>
                <w:sz w:val="20"/>
                <w:szCs w:val="20"/>
                <w:lang w:val="sk-SK"/>
              </w:rPr>
            </w:pPr>
            <w:r w:rsidRPr="003F6CA3">
              <w:rPr>
                <w:rFonts w:asciiTheme="minorHAnsi" w:hAnsiTheme="minorHAnsi" w:cstheme="minorHAnsi"/>
                <w:sz w:val="20"/>
                <w:szCs w:val="20"/>
                <w:lang w:val="sk-SK"/>
              </w:rPr>
              <w:t>743</w:t>
            </w:r>
          </w:p>
        </w:tc>
        <w:tc>
          <w:tcPr>
            <w:tcW w:w="854" w:type="pct"/>
            <w:tcBorders>
              <w:top w:val="single" w:sz="6" w:space="0" w:color="C00000"/>
              <w:left w:val="single" w:sz="6" w:space="0" w:color="C00000"/>
              <w:bottom w:val="single" w:sz="6" w:space="0" w:color="C00000"/>
              <w:right w:val="single" w:sz="6" w:space="0" w:color="C00000"/>
            </w:tcBorders>
            <w:noWrap/>
          </w:tcPr>
          <w:p w14:paraId="0405BE6B" w14:textId="55AA2C30" w:rsidR="002B70D7" w:rsidRPr="003F6CA3" w:rsidRDefault="00421540" w:rsidP="002B70D7">
            <w:pPr>
              <w:spacing w:after="0"/>
              <w:ind w:hanging="6"/>
              <w:jc w:val="right"/>
              <w:rPr>
                <w:rFonts w:asciiTheme="minorHAnsi" w:hAnsiTheme="minorHAnsi" w:cstheme="minorHAnsi"/>
                <w:sz w:val="20"/>
                <w:szCs w:val="20"/>
                <w:lang w:val="sk-SK"/>
              </w:rPr>
            </w:pPr>
            <w:r w:rsidRPr="003F6CA3">
              <w:rPr>
                <w:rFonts w:ascii="Calibri" w:hAnsi="Calibri" w:cs="Calibri"/>
                <w:sz w:val="20"/>
                <w:szCs w:val="20"/>
              </w:rPr>
              <w:t>96 009</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6B66C711" w14:textId="065761E4" w:rsidR="002B70D7" w:rsidRPr="004F51C2" w:rsidRDefault="00421540" w:rsidP="002B70D7">
            <w:pPr>
              <w:spacing w:after="0"/>
              <w:ind w:hanging="6"/>
              <w:jc w:val="right"/>
              <w:rPr>
                <w:rFonts w:asciiTheme="minorHAnsi" w:hAnsiTheme="minorHAnsi" w:cstheme="minorHAnsi"/>
                <w:sz w:val="20"/>
                <w:szCs w:val="20"/>
                <w:lang w:val="sk-SK"/>
              </w:rPr>
            </w:pPr>
            <w:r w:rsidRPr="004F51C2">
              <w:rPr>
                <w:rFonts w:asciiTheme="minorHAnsi" w:hAnsiTheme="minorHAnsi" w:cstheme="minorHAnsi"/>
                <w:sz w:val="20"/>
                <w:szCs w:val="20"/>
                <w:lang w:val="sk-SK"/>
              </w:rPr>
              <w:t>56</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60EFB9DB" w14:textId="77777777" w:rsidR="002B70D7" w:rsidRPr="004F51C2" w:rsidRDefault="002B70D7" w:rsidP="002B70D7">
            <w:pPr>
              <w:spacing w:after="0"/>
              <w:ind w:hanging="6"/>
              <w:jc w:val="right"/>
              <w:rPr>
                <w:rFonts w:asciiTheme="minorHAnsi" w:hAnsiTheme="minorHAnsi" w:cstheme="minorHAnsi"/>
                <w:sz w:val="20"/>
                <w:szCs w:val="20"/>
                <w:lang w:val="sk-SK"/>
              </w:rPr>
            </w:pPr>
            <w:r w:rsidRPr="004F51C2">
              <w:rPr>
                <w:rFonts w:asciiTheme="minorHAnsi" w:hAnsiTheme="minorHAnsi" w:cstheme="minorHAnsi"/>
                <w:sz w:val="20"/>
                <w:szCs w:val="20"/>
                <w:lang w:val="sk-SK"/>
              </w:rPr>
              <w:t>260 951 </w:t>
            </w:r>
          </w:p>
        </w:tc>
      </w:tr>
      <w:tr w:rsidR="002B70D7" w:rsidRPr="00DE27B1" w14:paraId="7F8863D0"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622A2BFB" w14:textId="6AD0F34A" w:rsidR="002B70D7" w:rsidRPr="00DE27B1" w:rsidRDefault="002B70D7" w:rsidP="002B70D7">
            <w:pPr>
              <w:spacing w:after="0"/>
              <w:ind w:hanging="6"/>
              <w:jc w:val="left"/>
              <w:rPr>
                <w:rFonts w:asciiTheme="minorHAnsi" w:hAnsiTheme="minorHAnsi" w:cstheme="minorHAnsi"/>
                <w:sz w:val="20"/>
                <w:szCs w:val="20"/>
                <w:lang w:val="sk-SK"/>
              </w:rPr>
            </w:pPr>
            <w:r w:rsidRPr="00DE27B1">
              <w:rPr>
                <w:rFonts w:asciiTheme="minorHAnsi" w:hAnsiTheme="minorHAnsi" w:cstheme="minorHAnsi"/>
                <w:sz w:val="20"/>
                <w:szCs w:val="20"/>
                <w:lang w:val="sk-SK"/>
              </w:rPr>
              <w:t>§ 52a</w:t>
            </w:r>
            <w:r>
              <w:rPr>
                <w:rFonts w:asciiTheme="minorHAnsi" w:hAnsiTheme="minorHAnsi" w:cstheme="minorHAnsi"/>
                <w:sz w:val="20"/>
                <w:szCs w:val="20"/>
                <w:lang w:val="sk-SK"/>
              </w:rPr>
              <w:t>**</w:t>
            </w:r>
            <w:r w:rsidRPr="00DE27B1">
              <w:rPr>
                <w:rFonts w:asciiTheme="minorHAnsi" w:hAnsiTheme="minorHAnsi" w:cstheme="minorHAnsi"/>
                <w:sz w:val="20"/>
                <w:szCs w:val="20"/>
                <w:lang w:val="sk-SK"/>
              </w:rPr>
              <w:t> </w:t>
            </w:r>
          </w:p>
        </w:tc>
        <w:tc>
          <w:tcPr>
            <w:tcW w:w="985" w:type="pct"/>
            <w:tcBorders>
              <w:top w:val="single" w:sz="6" w:space="0" w:color="C00000"/>
              <w:left w:val="single" w:sz="6" w:space="0" w:color="C00000"/>
              <w:bottom w:val="single" w:sz="6" w:space="0" w:color="C00000"/>
              <w:right w:val="single" w:sz="6" w:space="0" w:color="C00000"/>
            </w:tcBorders>
            <w:noWrap/>
          </w:tcPr>
          <w:p w14:paraId="06E63280" w14:textId="225B60B1"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38</w:t>
            </w:r>
          </w:p>
        </w:tc>
        <w:tc>
          <w:tcPr>
            <w:tcW w:w="854" w:type="pct"/>
            <w:tcBorders>
              <w:top w:val="single" w:sz="6" w:space="0" w:color="C00000"/>
              <w:left w:val="single" w:sz="6" w:space="0" w:color="C00000"/>
              <w:bottom w:val="single" w:sz="6" w:space="0" w:color="C00000"/>
              <w:right w:val="single" w:sz="6" w:space="0" w:color="C00000"/>
            </w:tcBorders>
            <w:noWrap/>
          </w:tcPr>
          <w:p w14:paraId="482C04B5"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131 926 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5BBD7409" w14:textId="6AE2FAD1"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27 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0E1966C6"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8 036 </w:t>
            </w:r>
          </w:p>
        </w:tc>
      </w:tr>
      <w:tr w:rsidR="002B70D7" w:rsidRPr="00DE27B1" w14:paraId="32F3D25F"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tcPr>
          <w:p w14:paraId="2E6A1102"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53 </w:t>
            </w:r>
          </w:p>
        </w:tc>
        <w:tc>
          <w:tcPr>
            <w:tcW w:w="985" w:type="pct"/>
            <w:tcBorders>
              <w:top w:val="single" w:sz="6" w:space="0" w:color="C00000"/>
              <w:left w:val="single" w:sz="6" w:space="0" w:color="C00000"/>
              <w:bottom w:val="single" w:sz="6" w:space="0" w:color="C00000"/>
              <w:right w:val="single" w:sz="6" w:space="0" w:color="C00000"/>
            </w:tcBorders>
            <w:noWrap/>
          </w:tcPr>
          <w:p w14:paraId="361B49AD" w14:textId="30181B4C"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17 81</w:t>
            </w:r>
          </w:p>
        </w:tc>
        <w:tc>
          <w:tcPr>
            <w:tcW w:w="854" w:type="pct"/>
            <w:tcBorders>
              <w:top w:val="single" w:sz="6" w:space="0" w:color="C00000"/>
              <w:left w:val="single" w:sz="6" w:space="0" w:color="C00000"/>
              <w:bottom w:val="single" w:sz="6" w:space="0" w:color="C00000"/>
              <w:right w:val="single" w:sz="6" w:space="0" w:color="C00000"/>
            </w:tcBorders>
            <w:noWrap/>
          </w:tcPr>
          <w:p w14:paraId="4FE6446B"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4 654 196 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4FDB9D27"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20 666 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728CAAB"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7 623 137 </w:t>
            </w:r>
          </w:p>
        </w:tc>
      </w:tr>
      <w:tr w:rsidR="002B70D7" w:rsidRPr="00DE27B1" w14:paraId="0CC94F80"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4EDA4E98"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53a </w:t>
            </w:r>
          </w:p>
        </w:tc>
        <w:tc>
          <w:tcPr>
            <w:tcW w:w="985" w:type="pct"/>
            <w:tcBorders>
              <w:top w:val="single" w:sz="6" w:space="0" w:color="C00000"/>
              <w:left w:val="single" w:sz="6" w:space="0" w:color="C00000"/>
              <w:bottom w:val="single" w:sz="6" w:space="0" w:color="C00000"/>
              <w:right w:val="single" w:sz="6" w:space="0" w:color="C00000"/>
            </w:tcBorders>
            <w:noWrap/>
          </w:tcPr>
          <w:p w14:paraId="2805ED05" w14:textId="4A90CDD3"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151</w:t>
            </w:r>
          </w:p>
        </w:tc>
        <w:tc>
          <w:tcPr>
            <w:tcW w:w="854" w:type="pct"/>
            <w:tcBorders>
              <w:top w:val="single" w:sz="6" w:space="0" w:color="C00000"/>
              <w:left w:val="single" w:sz="6" w:space="0" w:color="C00000"/>
              <w:bottom w:val="single" w:sz="6" w:space="0" w:color="C00000"/>
              <w:right w:val="single" w:sz="6" w:space="0" w:color="C00000"/>
            </w:tcBorders>
            <w:noWrap/>
          </w:tcPr>
          <w:p w14:paraId="06629D74"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239 306 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103F2D4E"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239 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62B9CBB8"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432 335 </w:t>
            </w:r>
          </w:p>
        </w:tc>
      </w:tr>
      <w:tr w:rsidR="002B70D7" w:rsidRPr="00DE27B1" w14:paraId="55A0462A"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21FBAC6E"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53b </w:t>
            </w:r>
          </w:p>
        </w:tc>
        <w:tc>
          <w:tcPr>
            <w:tcW w:w="985" w:type="pct"/>
            <w:tcBorders>
              <w:top w:val="single" w:sz="6" w:space="0" w:color="C00000"/>
              <w:left w:val="single" w:sz="6" w:space="0" w:color="C00000"/>
              <w:bottom w:val="single" w:sz="6" w:space="0" w:color="C00000"/>
              <w:right w:val="single" w:sz="6" w:space="0" w:color="C00000"/>
            </w:tcBorders>
            <w:noWrap/>
          </w:tcPr>
          <w:p w14:paraId="4F12C403" w14:textId="58C761E5"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0</w:t>
            </w:r>
          </w:p>
        </w:tc>
        <w:tc>
          <w:tcPr>
            <w:tcW w:w="854" w:type="pct"/>
            <w:tcBorders>
              <w:top w:val="single" w:sz="6" w:space="0" w:color="C00000"/>
              <w:left w:val="single" w:sz="6" w:space="0" w:color="C00000"/>
              <w:bottom w:val="single" w:sz="6" w:space="0" w:color="C00000"/>
              <w:right w:val="single" w:sz="6" w:space="0" w:color="C00000"/>
            </w:tcBorders>
            <w:noWrap/>
          </w:tcPr>
          <w:p w14:paraId="1DF68EF1"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16D683F4"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E90D74C"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378DC3D0"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00B0A502"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53c </w:t>
            </w:r>
          </w:p>
        </w:tc>
        <w:tc>
          <w:tcPr>
            <w:tcW w:w="985" w:type="pct"/>
            <w:tcBorders>
              <w:top w:val="single" w:sz="6" w:space="0" w:color="C00000"/>
              <w:left w:val="single" w:sz="6" w:space="0" w:color="C00000"/>
              <w:bottom w:val="single" w:sz="6" w:space="0" w:color="C00000"/>
              <w:right w:val="single" w:sz="6" w:space="0" w:color="C00000"/>
            </w:tcBorders>
            <w:noWrap/>
          </w:tcPr>
          <w:p w14:paraId="13B6F8D9" w14:textId="1BDEE1F1"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108</w:t>
            </w:r>
          </w:p>
        </w:tc>
        <w:tc>
          <w:tcPr>
            <w:tcW w:w="854" w:type="pct"/>
            <w:tcBorders>
              <w:top w:val="single" w:sz="6" w:space="0" w:color="C00000"/>
              <w:left w:val="single" w:sz="6" w:space="0" w:color="C00000"/>
              <w:bottom w:val="single" w:sz="6" w:space="0" w:color="C00000"/>
              <w:right w:val="single" w:sz="6" w:space="0" w:color="C00000"/>
            </w:tcBorders>
            <w:noWrap/>
          </w:tcPr>
          <w:p w14:paraId="6D755C5F"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308 136 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4A658F0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52DC28F"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219 555 </w:t>
            </w:r>
          </w:p>
        </w:tc>
      </w:tr>
      <w:tr w:rsidR="002B70D7" w:rsidRPr="00DE27B1" w14:paraId="67415924"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549DD090"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53d  </w:t>
            </w:r>
          </w:p>
        </w:tc>
        <w:tc>
          <w:tcPr>
            <w:tcW w:w="985" w:type="pct"/>
            <w:tcBorders>
              <w:top w:val="single" w:sz="6" w:space="0" w:color="C00000"/>
              <w:left w:val="single" w:sz="6" w:space="0" w:color="C00000"/>
              <w:bottom w:val="single" w:sz="6" w:space="0" w:color="C00000"/>
              <w:right w:val="single" w:sz="6" w:space="0" w:color="C00000"/>
            </w:tcBorders>
            <w:noWrap/>
          </w:tcPr>
          <w:p w14:paraId="45570186" w14:textId="3EF23613"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352</w:t>
            </w:r>
          </w:p>
        </w:tc>
        <w:tc>
          <w:tcPr>
            <w:tcW w:w="854" w:type="pct"/>
            <w:tcBorders>
              <w:top w:val="single" w:sz="6" w:space="0" w:color="C00000"/>
              <w:left w:val="single" w:sz="6" w:space="0" w:color="C00000"/>
              <w:bottom w:val="single" w:sz="6" w:space="0" w:color="C00000"/>
              <w:right w:val="single" w:sz="6" w:space="0" w:color="C00000"/>
            </w:tcBorders>
            <w:noWrap/>
          </w:tcPr>
          <w:p w14:paraId="35E24A05"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1 122 273 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453E8193"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349 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09FDC37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2 660 751 </w:t>
            </w:r>
          </w:p>
        </w:tc>
      </w:tr>
      <w:tr w:rsidR="002B70D7" w:rsidRPr="00DE27B1" w14:paraId="0CBF331D"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tcPr>
          <w:p w14:paraId="5105A5E6"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xml:space="preserve">§ 53f </w:t>
            </w:r>
          </w:p>
        </w:tc>
        <w:tc>
          <w:tcPr>
            <w:tcW w:w="985" w:type="pct"/>
            <w:tcBorders>
              <w:top w:val="single" w:sz="6" w:space="0" w:color="C00000"/>
              <w:left w:val="single" w:sz="6" w:space="0" w:color="C00000"/>
              <w:bottom w:val="single" w:sz="6" w:space="0" w:color="C00000"/>
              <w:right w:val="single" w:sz="6" w:space="0" w:color="C00000"/>
            </w:tcBorders>
            <w:noWrap/>
          </w:tcPr>
          <w:p w14:paraId="60BA5101" w14:textId="727F3D68"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5</w:t>
            </w:r>
          </w:p>
        </w:tc>
        <w:tc>
          <w:tcPr>
            <w:tcW w:w="854" w:type="pct"/>
            <w:tcBorders>
              <w:top w:val="single" w:sz="6" w:space="0" w:color="C00000"/>
              <w:left w:val="single" w:sz="6" w:space="0" w:color="C00000"/>
              <w:bottom w:val="single" w:sz="6" w:space="0" w:color="C00000"/>
              <w:right w:val="single" w:sz="6" w:space="0" w:color="C00000"/>
            </w:tcBorders>
            <w:noWrap/>
          </w:tcPr>
          <w:p w14:paraId="66C27525"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18 774 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4D14E7DA"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360F871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4 769 </w:t>
            </w:r>
          </w:p>
        </w:tc>
      </w:tr>
      <w:tr w:rsidR="002B70D7" w:rsidRPr="00DE27B1" w14:paraId="51233176"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1E188F44" w14:textId="360D1E86"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19a**</w:t>
            </w:r>
            <w:r>
              <w:rPr>
                <w:rFonts w:asciiTheme="minorHAnsi" w:hAnsiTheme="minorHAnsi" w:cstheme="minorHAnsi"/>
                <w:sz w:val="20"/>
                <w:szCs w:val="20"/>
                <w:lang w:val="sk-SK"/>
              </w:rPr>
              <w:t>*</w:t>
            </w:r>
            <w:r w:rsidRPr="00DE27B1">
              <w:rPr>
                <w:rFonts w:asciiTheme="minorHAnsi" w:hAnsiTheme="minorHAnsi" w:cstheme="minorHAnsi"/>
                <w:sz w:val="20"/>
                <w:szCs w:val="20"/>
                <w:lang w:val="sk-SK"/>
              </w:rPr>
              <w:t> </w:t>
            </w:r>
          </w:p>
        </w:tc>
        <w:tc>
          <w:tcPr>
            <w:tcW w:w="985" w:type="pct"/>
            <w:tcBorders>
              <w:top w:val="single" w:sz="6" w:space="0" w:color="C00000"/>
              <w:left w:val="single" w:sz="6" w:space="0" w:color="C00000"/>
              <w:bottom w:val="single" w:sz="6" w:space="0" w:color="C00000"/>
              <w:right w:val="single" w:sz="6" w:space="0" w:color="C00000"/>
            </w:tcBorders>
            <w:noWrap/>
          </w:tcPr>
          <w:p w14:paraId="2F3CF23B"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w:t>
            </w:r>
          </w:p>
        </w:tc>
        <w:tc>
          <w:tcPr>
            <w:tcW w:w="854" w:type="pct"/>
            <w:tcBorders>
              <w:top w:val="single" w:sz="6" w:space="0" w:color="C00000"/>
              <w:left w:val="single" w:sz="6" w:space="0" w:color="C00000"/>
              <w:bottom w:val="single" w:sz="6" w:space="0" w:color="C00000"/>
              <w:right w:val="single" w:sz="6" w:space="0" w:color="C00000"/>
            </w:tcBorders>
            <w:noWrap/>
          </w:tcPr>
          <w:p w14:paraId="502582B2"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4A13C885"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13 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740078B2"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6 680</w:t>
            </w:r>
          </w:p>
        </w:tc>
      </w:tr>
      <w:tr w:rsidR="002B70D7" w:rsidRPr="00DE27B1" w14:paraId="6990B9EB"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tcPr>
          <w:p w14:paraId="4E2D4BD1"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xml:space="preserve">§ 53g </w:t>
            </w:r>
          </w:p>
        </w:tc>
        <w:tc>
          <w:tcPr>
            <w:tcW w:w="985" w:type="pct"/>
            <w:tcBorders>
              <w:top w:val="single" w:sz="6" w:space="0" w:color="C00000"/>
              <w:left w:val="single" w:sz="6" w:space="0" w:color="C00000"/>
              <w:bottom w:val="single" w:sz="6" w:space="0" w:color="C00000"/>
              <w:right w:val="single" w:sz="6" w:space="0" w:color="C00000"/>
            </w:tcBorders>
            <w:noWrap/>
          </w:tcPr>
          <w:p w14:paraId="3AC2637F" w14:textId="0C849155"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 xml:space="preserve"> 4 912</w:t>
            </w:r>
          </w:p>
        </w:tc>
        <w:tc>
          <w:tcPr>
            <w:tcW w:w="854" w:type="pct"/>
            <w:tcBorders>
              <w:top w:val="single" w:sz="6" w:space="0" w:color="C00000"/>
              <w:left w:val="single" w:sz="6" w:space="0" w:color="C00000"/>
              <w:bottom w:val="single" w:sz="6" w:space="0" w:color="C00000"/>
              <w:right w:val="single" w:sz="6" w:space="0" w:color="C00000"/>
            </w:tcBorders>
            <w:noWrap/>
          </w:tcPr>
          <w:p w14:paraId="4E6FDF6B"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32 994 983 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34DAF55F"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4F040DC2" w14:textId="77777777" w:rsidR="002B70D7" w:rsidRPr="008B74F3" w:rsidRDefault="002B70D7" w:rsidP="002B70D7">
            <w:pPr>
              <w:spacing w:after="0"/>
              <w:ind w:hanging="6"/>
              <w:jc w:val="right"/>
              <w:rPr>
                <w:rFonts w:asciiTheme="minorHAnsi" w:hAnsiTheme="minorHAnsi" w:cstheme="minorHAnsi"/>
                <w:sz w:val="20"/>
                <w:szCs w:val="20"/>
                <w:lang w:val="sk-SK"/>
              </w:rPr>
            </w:pPr>
            <w:r w:rsidRPr="008B74F3">
              <w:rPr>
                <w:rFonts w:asciiTheme="minorHAnsi" w:hAnsiTheme="minorHAnsi" w:cstheme="minorHAnsi"/>
                <w:sz w:val="20"/>
                <w:szCs w:val="20"/>
                <w:lang w:val="sk-SK"/>
              </w:rPr>
              <w:t>6 547 544 </w:t>
            </w:r>
          </w:p>
        </w:tc>
      </w:tr>
      <w:tr w:rsidR="002B70D7" w:rsidRPr="00DE27B1" w14:paraId="27AA2760"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tcPr>
          <w:p w14:paraId="70396288" w14:textId="5CB49853"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19b**</w:t>
            </w:r>
            <w:r>
              <w:rPr>
                <w:rFonts w:asciiTheme="minorHAnsi" w:hAnsiTheme="minorHAnsi" w:cstheme="minorHAnsi"/>
                <w:sz w:val="20"/>
                <w:szCs w:val="20"/>
                <w:lang w:val="sk-SK"/>
              </w:rPr>
              <w:t>*</w:t>
            </w:r>
            <w:r w:rsidRPr="00DE27B1">
              <w:rPr>
                <w:rFonts w:asciiTheme="minorHAnsi" w:hAnsiTheme="minorHAnsi" w:cstheme="minorHAnsi"/>
                <w:sz w:val="20"/>
                <w:szCs w:val="20"/>
                <w:lang w:val="sk-SK"/>
              </w:rPr>
              <w:t>* </w:t>
            </w:r>
          </w:p>
        </w:tc>
        <w:tc>
          <w:tcPr>
            <w:tcW w:w="985" w:type="pct"/>
            <w:tcBorders>
              <w:top w:val="single" w:sz="6" w:space="0" w:color="C00000"/>
              <w:left w:val="single" w:sz="6" w:space="0" w:color="C00000"/>
              <w:bottom w:val="single" w:sz="6" w:space="0" w:color="C00000"/>
              <w:right w:val="single" w:sz="6" w:space="0" w:color="C00000"/>
            </w:tcBorders>
            <w:noWrap/>
          </w:tcPr>
          <w:p w14:paraId="6485E667"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w:t>
            </w:r>
          </w:p>
        </w:tc>
        <w:tc>
          <w:tcPr>
            <w:tcW w:w="854" w:type="pct"/>
            <w:tcBorders>
              <w:top w:val="single" w:sz="6" w:space="0" w:color="C00000"/>
              <w:left w:val="single" w:sz="6" w:space="0" w:color="C00000"/>
              <w:bottom w:val="single" w:sz="6" w:space="0" w:color="C00000"/>
              <w:right w:val="single" w:sz="6" w:space="0" w:color="C00000"/>
            </w:tcBorders>
            <w:noWrap/>
          </w:tcPr>
          <w:p w14:paraId="7FE4E5F0"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0B56374E"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5 802</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05945C6B" w14:textId="77777777" w:rsidR="002B70D7" w:rsidRPr="008B74F3" w:rsidRDefault="002B70D7" w:rsidP="002B70D7">
            <w:pPr>
              <w:spacing w:after="0"/>
              <w:ind w:hanging="6"/>
              <w:jc w:val="right"/>
              <w:rPr>
                <w:rFonts w:asciiTheme="minorHAnsi" w:hAnsiTheme="minorHAnsi" w:cstheme="minorHAnsi"/>
                <w:sz w:val="20"/>
                <w:szCs w:val="20"/>
                <w:lang w:val="sk-SK"/>
              </w:rPr>
            </w:pPr>
            <w:r w:rsidRPr="008B74F3">
              <w:rPr>
                <w:rFonts w:asciiTheme="minorHAnsi" w:hAnsiTheme="minorHAnsi" w:cstheme="minorHAnsi"/>
                <w:sz w:val="20"/>
                <w:szCs w:val="20"/>
                <w:lang w:val="sk-SK"/>
              </w:rPr>
              <w:t>34 357 689</w:t>
            </w:r>
          </w:p>
        </w:tc>
      </w:tr>
      <w:tr w:rsidR="002B70D7" w:rsidRPr="00DE27B1" w14:paraId="6E6886ED"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tcPr>
          <w:p w14:paraId="45B551AF"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54 </w:t>
            </w:r>
          </w:p>
        </w:tc>
        <w:tc>
          <w:tcPr>
            <w:tcW w:w="985" w:type="pct"/>
            <w:tcBorders>
              <w:top w:val="single" w:sz="6" w:space="0" w:color="C00000"/>
              <w:left w:val="single" w:sz="6" w:space="0" w:color="C00000"/>
              <w:bottom w:val="single" w:sz="6" w:space="0" w:color="C00000"/>
              <w:right w:val="single" w:sz="6" w:space="0" w:color="C00000"/>
            </w:tcBorders>
            <w:noWrap/>
          </w:tcPr>
          <w:p w14:paraId="580B8F2C" w14:textId="6C76A70C"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33 071</w:t>
            </w:r>
          </w:p>
        </w:tc>
        <w:tc>
          <w:tcPr>
            <w:tcW w:w="854" w:type="pct"/>
            <w:tcBorders>
              <w:top w:val="single" w:sz="6" w:space="0" w:color="C00000"/>
              <w:left w:val="single" w:sz="6" w:space="0" w:color="C00000"/>
              <w:bottom w:val="single" w:sz="6" w:space="0" w:color="C00000"/>
              <w:right w:val="single" w:sz="6" w:space="0" w:color="C00000"/>
            </w:tcBorders>
            <w:noWrap/>
          </w:tcPr>
          <w:p w14:paraId="4E807AB4"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40 910 172 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31F01E90"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49 266 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63D1459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 xml:space="preserve">  90 678 493  </w:t>
            </w:r>
          </w:p>
        </w:tc>
      </w:tr>
      <w:tr w:rsidR="002B70D7" w:rsidRPr="00DE27B1" w14:paraId="1DC66231"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3B0D2BB5"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56 </w:t>
            </w:r>
          </w:p>
        </w:tc>
        <w:tc>
          <w:tcPr>
            <w:tcW w:w="985" w:type="pct"/>
            <w:tcBorders>
              <w:top w:val="single" w:sz="6" w:space="0" w:color="C00000"/>
              <w:left w:val="single" w:sz="6" w:space="0" w:color="C00000"/>
              <w:bottom w:val="single" w:sz="6" w:space="0" w:color="C00000"/>
              <w:right w:val="single" w:sz="6" w:space="0" w:color="C00000"/>
            </w:tcBorders>
            <w:noWrap/>
          </w:tcPr>
          <w:p w14:paraId="0352911B" w14:textId="1B3E1292"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0</w:t>
            </w:r>
          </w:p>
        </w:tc>
        <w:tc>
          <w:tcPr>
            <w:tcW w:w="854" w:type="pct"/>
            <w:tcBorders>
              <w:top w:val="single" w:sz="6" w:space="0" w:color="C00000"/>
              <w:left w:val="single" w:sz="6" w:space="0" w:color="C00000"/>
              <w:bottom w:val="single" w:sz="6" w:space="0" w:color="C00000"/>
              <w:right w:val="single" w:sz="6" w:space="0" w:color="C00000"/>
            </w:tcBorders>
            <w:noWrap/>
          </w:tcPr>
          <w:p w14:paraId="11955DD4"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2A3D3728"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0979B94D"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1659C409"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5EB1B383" w14:textId="77777777" w:rsidR="002B70D7" w:rsidRPr="00DE27B1" w:rsidRDefault="002B70D7" w:rsidP="002B70D7">
            <w:pPr>
              <w:spacing w:after="0"/>
              <w:ind w:hanging="6"/>
              <w:jc w:val="left"/>
              <w:rPr>
                <w:rFonts w:asciiTheme="minorHAnsi" w:hAnsiTheme="minorHAnsi" w:cstheme="minorHAnsi"/>
                <w:sz w:val="20"/>
                <w:szCs w:val="20"/>
                <w:lang w:val="sk-SK"/>
              </w:rPr>
            </w:pPr>
            <w:r w:rsidRPr="00DE27B1">
              <w:rPr>
                <w:rFonts w:asciiTheme="minorHAnsi" w:hAnsiTheme="minorHAnsi" w:cstheme="minorHAnsi"/>
                <w:sz w:val="20"/>
                <w:szCs w:val="20"/>
                <w:lang w:val="sk-SK"/>
              </w:rPr>
              <w:t>§ 56a </w:t>
            </w:r>
          </w:p>
        </w:tc>
        <w:tc>
          <w:tcPr>
            <w:tcW w:w="985" w:type="pct"/>
            <w:tcBorders>
              <w:top w:val="single" w:sz="6" w:space="0" w:color="C00000"/>
              <w:left w:val="single" w:sz="6" w:space="0" w:color="C00000"/>
              <w:bottom w:val="single" w:sz="6" w:space="0" w:color="C00000"/>
              <w:right w:val="single" w:sz="6" w:space="0" w:color="C00000"/>
            </w:tcBorders>
            <w:noWrap/>
          </w:tcPr>
          <w:p w14:paraId="62408DE4" w14:textId="5B74B23C"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23</w:t>
            </w:r>
          </w:p>
        </w:tc>
        <w:tc>
          <w:tcPr>
            <w:tcW w:w="854" w:type="pct"/>
            <w:tcBorders>
              <w:top w:val="single" w:sz="6" w:space="0" w:color="C00000"/>
              <w:left w:val="single" w:sz="6" w:space="0" w:color="C00000"/>
              <w:bottom w:val="single" w:sz="6" w:space="0" w:color="C00000"/>
              <w:right w:val="single" w:sz="6" w:space="0" w:color="C00000"/>
            </w:tcBorders>
            <w:noWrap/>
          </w:tcPr>
          <w:p w14:paraId="619053D8"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15 133 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78ED7482"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489BA6C6"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60FC260C"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0CC25966" w14:textId="77777777" w:rsidR="002B70D7" w:rsidRPr="00DE27B1" w:rsidRDefault="002B70D7" w:rsidP="002B70D7">
            <w:pPr>
              <w:spacing w:after="0"/>
              <w:ind w:hanging="6"/>
              <w:jc w:val="left"/>
              <w:rPr>
                <w:rFonts w:asciiTheme="minorHAnsi" w:hAnsiTheme="minorHAnsi" w:cstheme="minorHAnsi"/>
                <w:sz w:val="20"/>
                <w:szCs w:val="20"/>
                <w:lang w:val="sk-SK"/>
              </w:rPr>
            </w:pPr>
            <w:r w:rsidRPr="00DE27B1">
              <w:rPr>
                <w:rFonts w:asciiTheme="minorHAnsi" w:hAnsiTheme="minorHAnsi" w:cstheme="minorHAnsi"/>
                <w:sz w:val="20"/>
                <w:szCs w:val="20"/>
                <w:lang w:val="sk-SK"/>
              </w:rPr>
              <w:t>§ 57 </w:t>
            </w:r>
          </w:p>
        </w:tc>
        <w:tc>
          <w:tcPr>
            <w:tcW w:w="985" w:type="pct"/>
            <w:tcBorders>
              <w:top w:val="single" w:sz="6" w:space="0" w:color="C00000"/>
              <w:left w:val="single" w:sz="6" w:space="0" w:color="C00000"/>
              <w:bottom w:val="single" w:sz="6" w:space="0" w:color="C00000"/>
              <w:right w:val="single" w:sz="6" w:space="0" w:color="C00000"/>
            </w:tcBorders>
            <w:noWrap/>
          </w:tcPr>
          <w:p w14:paraId="16EC6683" w14:textId="6DD692BD"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0</w:t>
            </w:r>
          </w:p>
        </w:tc>
        <w:tc>
          <w:tcPr>
            <w:tcW w:w="854" w:type="pct"/>
            <w:tcBorders>
              <w:top w:val="single" w:sz="6" w:space="0" w:color="C00000"/>
              <w:left w:val="single" w:sz="6" w:space="0" w:color="C00000"/>
              <w:bottom w:val="single" w:sz="6" w:space="0" w:color="C00000"/>
              <w:right w:val="single" w:sz="6" w:space="0" w:color="C00000"/>
            </w:tcBorders>
            <w:noWrap/>
          </w:tcPr>
          <w:p w14:paraId="06257BDF"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670DCA0A"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170CCC09"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0 </w:t>
            </w:r>
          </w:p>
        </w:tc>
      </w:tr>
      <w:tr w:rsidR="002B70D7" w:rsidRPr="00DE27B1" w14:paraId="15DE2D57"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444C7DB7"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59 </w:t>
            </w:r>
          </w:p>
        </w:tc>
        <w:tc>
          <w:tcPr>
            <w:tcW w:w="985" w:type="pct"/>
            <w:tcBorders>
              <w:top w:val="single" w:sz="6" w:space="0" w:color="C00000"/>
              <w:left w:val="single" w:sz="6" w:space="0" w:color="C00000"/>
              <w:bottom w:val="single" w:sz="6" w:space="0" w:color="C00000"/>
              <w:right w:val="single" w:sz="6" w:space="0" w:color="C00000"/>
            </w:tcBorders>
            <w:noWrap/>
          </w:tcPr>
          <w:p w14:paraId="457FA9C6" w14:textId="7C4ADD47"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1 392</w:t>
            </w:r>
          </w:p>
        </w:tc>
        <w:tc>
          <w:tcPr>
            <w:tcW w:w="854" w:type="pct"/>
            <w:tcBorders>
              <w:top w:val="single" w:sz="6" w:space="0" w:color="C00000"/>
              <w:left w:val="single" w:sz="6" w:space="0" w:color="C00000"/>
              <w:bottom w:val="single" w:sz="6" w:space="0" w:color="C00000"/>
              <w:right w:val="single" w:sz="6" w:space="0" w:color="C00000"/>
            </w:tcBorders>
            <w:noWrap/>
          </w:tcPr>
          <w:p w14:paraId="4DA0F808"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9 035 929</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33582259"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1 568 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572A8932"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10 868 624 </w:t>
            </w:r>
          </w:p>
        </w:tc>
      </w:tr>
      <w:tr w:rsidR="002B70D7" w:rsidRPr="00DE27B1" w14:paraId="73454F03" w14:textId="77777777" w:rsidTr="00970F64">
        <w:trPr>
          <w:gridAfter w:val="1"/>
          <w:wAfter w:w="4" w:type="pct"/>
          <w:trHeight w:val="29"/>
        </w:trPr>
        <w:tc>
          <w:tcPr>
            <w:tcW w:w="1105" w:type="pct"/>
            <w:tcBorders>
              <w:top w:val="single" w:sz="6" w:space="0" w:color="C00000"/>
              <w:left w:val="single" w:sz="6" w:space="0" w:color="C00000"/>
              <w:bottom w:val="single" w:sz="6" w:space="0" w:color="C00000"/>
              <w:right w:val="single" w:sz="6" w:space="0" w:color="C00000"/>
            </w:tcBorders>
            <w:shd w:val="clear" w:color="auto" w:fill="FFFFFF"/>
            <w:noWrap/>
            <w:hideMark/>
          </w:tcPr>
          <w:p w14:paraId="077E24D9" w14:textId="77777777" w:rsidR="002B70D7" w:rsidRPr="00DE27B1" w:rsidRDefault="002B70D7" w:rsidP="002B70D7">
            <w:pPr>
              <w:spacing w:after="0"/>
              <w:ind w:hanging="6"/>
              <w:rPr>
                <w:rFonts w:asciiTheme="minorHAnsi" w:hAnsiTheme="minorHAnsi" w:cstheme="minorHAnsi"/>
                <w:sz w:val="20"/>
                <w:szCs w:val="20"/>
                <w:lang w:val="sk-SK"/>
              </w:rPr>
            </w:pPr>
            <w:r w:rsidRPr="00DE27B1">
              <w:rPr>
                <w:rFonts w:asciiTheme="minorHAnsi" w:hAnsiTheme="minorHAnsi" w:cstheme="minorHAnsi"/>
                <w:sz w:val="20"/>
                <w:szCs w:val="20"/>
                <w:lang w:val="sk-SK"/>
              </w:rPr>
              <w:t>§ 60 </w:t>
            </w:r>
          </w:p>
        </w:tc>
        <w:tc>
          <w:tcPr>
            <w:tcW w:w="985" w:type="pct"/>
            <w:tcBorders>
              <w:top w:val="single" w:sz="6" w:space="0" w:color="C00000"/>
              <w:left w:val="single" w:sz="6" w:space="0" w:color="C00000"/>
              <w:bottom w:val="single" w:sz="6" w:space="0" w:color="C00000"/>
              <w:right w:val="single" w:sz="6" w:space="0" w:color="C00000"/>
            </w:tcBorders>
            <w:noWrap/>
          </w:tcPr>
          <w:p w14:paraId="0D583BD4" w14:textId="3F17F03F" w:rsidR="002B70D7" w:rsidRPr="00DE27B1" w:rsidRDefault="003F6CA3" w:rsidP="002B70D7">
            <w:pPr>
              <w:spacing w:after="0"/>
              <w:ind w:hanging="6"/>
              <w:jc w:val="right"/>
              <w:rPr>
                <w:rFonts w:asciiTheme="minorHAnsi" w:hAnsiTheme="minorHAnsi" w:cstheme="minorHAnsi"/>
                <w:sz w:val="20"/>
                <w:szCs w:val="20"/>
                <w:lang w:val="sk-SK"/>
              </w:rPr>
            </w:pPr>
            <w:r>
              <w:rPr>
                <w:rFonts w:asciiTheme="minorHAnsi" w:hAnsiTheme="minorHAnsi" w:cstheme="minorHAnsi"/>
                <w:sz w:val="20"/>
                <w:szCs w:val="20"/>
                <w:lang w:val="sk-SK"/>
              </w:rPr>
              <w:t>7 822</w:t>
            </w:r>
          </w:p>
        </w:tc>
        <w:tc>
          <w:tcPr>
            <w:tcW w:w="854" w:type="pct"/>
            <w:tcBorders>
              <w:top w:val="single" w:sz="6" w:space="0" w:color="C00000"/>
              <w:left w:val="single" w:sz="6" w:space="0" w:color="C00000"/>
              <w:bottom w:val="single" w:sz="6" w:space="0" w:color="C00000"/>
              <w:right w:val="single" w:sz="6" w:space="0" w:color="C00000"/>
            </w:tcBorders>
            <w:noWrap/>
          </w:tcPr>
          <w:p w14:paraId="0CFBE0D4"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32 535 271 </w:t>
            </w:r>
          </w:p>
        </w:tc>
        <w:tc>
          <w:tcPr>
            <w:tcW w:w="1026" w:type="pct"/>
            <w:gridSpan w:val="2"/>
            <w:tcBorders>
              <w:top w:val="single" w:sz="6" w:space="0" w:color="C00000"/>
              <w:left w:val="single" w:sz="6" w:space="0" w:color="C00000"/>
              <w:bottom w:val="single" w:sz="6" w:space="0" w:color="C00000"/>
              <w:right w:val="single" w:sz="6" w:space="0" w:color="C00000"/>
            </w:tcBorders>
            <w:noWrap/>
          </w:tcPr>
          <w:p w14:paraId="35ECC9F5"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8 034 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noWrap/>
          </w:tcPr>
          <w:p w14:paraId="580C8489" w14:textId="77777777" w:rsidR="002B70D7" w:rsidRPr="00DE27B1" w:rsidRDefault="002B70D7" w:rsidP="002B70D7">
            <w:pPr>
              <w:spacing w:after="0"/>
              <w:ind w:hanging="6"/>
              <w:jc w:val="right"/>
              <w:rPr>
                <w:rFonts w:asciiTheme="minorHAnsi" w:hAnsiTheme="minorHAnsi" w:cstheme="minorHAnsi"/>
                <w:sz w:val="20"/>
                <w:szCs w:val="20"/>
                <w:lang w:val="sk-SK"/>
              </w:rPr>
            </w:pPr>
            <w:r w:rsidRPr="00DE27B1">
              <w:rPr>
                <w:rFonts w:asciiTheme="minorHAnsi" w:hAnsiTheme="minorHAnsi" w:cstheme="minorHAnsi"/>
                <w:sz w:val="20"/>
                <w:szCs w:val="20"/>
                <w:lang w:val="sk-SK"/>
              </w:rPr>
              <w:t>34 675 801 </w:t>
            </w:r>
          </w:p>
        </w:tc>
      </w:tr>
      <w:tr w:rsidR="002B70D7" w:rsidRPr="00DE27B1" w14:paraId="4B55A57F" w14:textId="77777777" w:rsidTr="00970F64">
        <w:trPr>
          <w:gridAfter w:val="1"/>
          <w:cnfStyle w:val="000000100000" w:firstRow="0" w:lastRow="0" w:firstColumn="0" w:lastColumn="0" w:oddVBand="0" w:evenVBand="0" w:oddHBand="1" w:evenHBand="0" w:firstRowFirstColumn="0" w:firstRowLastColumn="0" w:lastRowFirstColumn="0" w:lastRowLastColumn="0"/>
          <w:wAfter w:w="4" w:type="pct"/>
          <w:trHeight w:val="29"/>
        </w:trPr>
        <w:tc>
          <w:tcPr>
            <w:tcW w:w="1105" w:type="pct"/>
            <w:tcBorders>
              <w:top w:val="single" w:sz="6" w:space="0" w:color="C00000"/>
              <w:left w:val="single" w:sz="6" w:space="0" w:color="C00000"/>
              <w:bottom w:val="single" w:sz="6" w:space="0" w:color="C00000"/>
              <w:right w:val="single" w:sz="6" w:space="0" w:color="C00000"/>
            </w:tcBorders>
            <w:vAlign w:val="top"/>
          </w:tcPr>
          <w:p w14:paraId="44F51EB9" w14:textId="77777777" w:rsidR="002B70D7" w:rsidRPr="00DE27B1" w:rsidRDefault="002B70D7" w:rsidP="002B70D7">
            <w:pPr>
              <w:spacing w:after="0"/>
              <w:ind w:hanging="6"/>
              <w:rPr>
                <w:rFonts w:asciiTheme="minorHAnsi" w:hAnsiTheme="minorHAnsi" w:cstheme="minorHAnsi"/>
                <w:b/>
                <w:sz w:val="20"/>
                <w:szCs w:val="20"/>
                <w:lang w:val="sk-SK"/>
              </w:rPr>
            </w:pPr>
            <w:r w:rsidRPr="00DE27B1">
              <w:rPr>
                <w:rFonts w:asciiTheme="minorHAnsi" w:hAnsiTheme="minorHAnsi" w:cstheme="minorHAnsi"/>
                <w:b/>
                <w:sz w:val="20"/>
                <w:szCs w:val="20"/>
                <w:lang w:val="sk-SK"/>
              </w:rPr>
              <w:t>Spolu</w:t>
            </w:r>
          </w:p>
        </w:tc>
        <w:tc>
          <w:tcPr>
            <w:tcW w:w="985" w:type="pct"/>
            <w:tcBorders>
              <w:top w:val="single" w:sz="6" w:space="0" w:color="C00000"/>
              <w:left w:val="single" w:sz="6" w:space="0" w:color="C00000"/>
              <w:bottom w:val="single" w:sz="6" w:space="0" w:color="C00000"/>
              <w:right w:val="single" w:sz="6" w:space="0" w:color="C00000"/>
            </w:tcBorders>
          </w:tcPr>
          <w:p w14:paraId="0AA88A22" w14:textId="5E27A3A5" w:rsidR="002B70D7" w:rsidRPr="00DE27B1" w:rsidRDefault="003F6CA3" w:rsidP="002B70D7">
            <w:pPr>
              <w:spacing w:after="0"/>
              <w:ind w:hanging="6"/>
              <w:jc w:val="right"/>
              <w:rPr>
                <w:rFonts w:asciiTheme="minorHAnsi" w:hAnsiTheme="minorHAnsi" w:cstheme="minorHAnsi"/>
                <w:b/>
                <w:sz w:val="20"/>
                <w:szCs w:val="20"/>
                <w:lang w:val="sk-SK"/>
              </w:rPr>
            </w:pPr>
            <w:r>
              <w:rPr>
                <w:rFonts w:asciiTheme="minorHAnsi" w:hAnsiTheme="minorHAnsi" w:cstheme="minorHAnsi"/>
                <w:b/>
                <w:bCs/>
                <w:sz w:val="20"/>
                <w:szCs w:val="20"/>
                <w:lang w:val="sk-SK"/>
              </w:rPr>
              <w:t>221 345</w:t>
            </w:r>
          </w:p>
        </w:tc>
        <w:tc>
          <w:tcPr>
            <w:tcW w:w="854" w:type="pct"/>
            <w:tcBorders>
              <w:top w:val="single" w:sz="6" w:space="0" w:color="C00000"/>
              <w:left w:val="single" w:sz="6" w:space="0" w:color="C00000"/>
              <w:bottom w:val="single" w:sz="6" w:space="0" w:color="C00000"/>
              <w:right w:val="single" w:sz="6" w:space="0" w:color="C00000"/>
            </w:tcBorders>
          </w:tcPr>
          <w:p w14:paraId="7EC7F58B" w14:textId="064361FC" w:rsidR="002B70D7" w:rsidRPr="00DE27B1" w:rsidRDefault="003F6CA3" w:rsidP="003F6CA3">
            <w:pPr>
              <w:spacing w:after="0"/>
              <w:ind w:hanging="6"/>
              <w:jc w:val="right"/>
              <w:rPr>
                <w:rFonts w:asciiTheme="minorHAnsi" w:hAnsiTheme="minorHAnsi" w:cstheme="minorHAnsi"/>
                <w:b/>
                <w:sz w:val="20"/>
                <w:szCs w:val="20"/>
                <w:lang w:val="sk-SK"/>
              </w:rPr>
            </w:pPr>
            <w:r>
              <w:rPr>
                <w:rFonts w:asciiTheme="minorHAnsi" w:hAnsiTheme="minorHAnsi" w:cstheme="minorHAnsi"/>
                <w:b/>
                <w:bCs/>
                <w:sz w:val="20"/>
                <w:szCs w:val="20"/>
                <w:lang w:val="sk-SK"/>
              </w:rPr>
              <w:t>122 1</w:t>
            </w:r>
            <w:r w:rsidR="002B70D7" w:rsidRPr="00DE27B1">
              <w:rPr>
                <w:rFonts w:asciiTheme="minorHAnsi" w:hAnsiTheme="minorHAnsi" w:cstheme="minorHAnsi"/>
                <w:b/>
                <w:bCs/>
                <w:sz w:val="20"/>
                <w:szCs w:val="20"/>
                <w:lang w:val="sk-SK"/>
              </w:rPr>
              <w:t>2</w:t>
            </w:r>
            <w:r>
              <w:rPr>
                <w:rFonts w:asciiTheme="minorHAnsi" w:hAnsiTheme="minorHAnsi" w:cstheme="minorHAnsi"/>
                <w:b/>
                <w:bCs/>
                <w:sz w:val="20"/>
                <w:szCs w:val="20"/>
                <w:lang w:val="sk-SK"/>
              </w:rPr>
              <w:t>7 439</w:t>
            </w:r>
            <w:r w:rsidR="002B70D7" w:rsidRPr="00DE27B1">
              <w:rPr>
                <w:rFonts w:asciiTheme="minorHAnsi" w:hAnsiTheme="minorHAnsi" w:cstheme="minorHAnsi"/>
                <w:sz w:val="20"/>
                <w:szCs w:val="20"/>
                <w:lang w:val="sk-SK"/>
              </w:rPr>
              <w:t> </w:t>
            </w:r>
          </w:p>
        </w:tc>
        <w:tc>
          <w:tcPr>
            <w:tcW w:w="1026" w:type="pct"/>
            <w:gridSpan w:val="2"/>
            <w:tcBorders>
              <w:top w:val="single" w:sz="6" w:space="0" w:color="C00000"/>
              <w:left w:val="single" w:sz="6" w:space="0" w:color="C00000"/>
              <w:bottom w:val="single" w:sz="6" w:space="0" w:color="C00000"/>
              <w:right w:val="single" w:sz="6" w:space="0" w:color="C00000"/>
            </w:tcBorders>
          </w:tcPr>
          <w:p w14:paraId="5823C25E" w14:textId="1AF5211D" w:rsidR="002B70D7" w:rsidRPr="00DE27B1" w:rsidRDefault="004F51C2" w:rsidP="002B70D7">
            <w:pPr>
              <w:spacing w:after="0"/>
              <w:ind w:hanging="6"/>
              <w:jc w:val="right"/>
              <w:rPr>
                <w:rFonts w:asciiTheme="minorHAnsi" w:hAnsiTheme="minorHAnsi" w:cstheme="minorHAnsi"/>
                <w:b/>
                <w:sz w:val="20"/>
                <w:szCs w:val="20"/>
                <w:lang w:val="sk-SK"/>
              </w:rPr>
            </w:pPr>
            <w:r>
              <w:rPr>
                <w:rFonts w:asciiTheme="minorHAnsi" w:hAnsiTheme="minorHAnsi" w:cstheme="minorHAnsi"/>
                <w:b/>
                <w:bCs/>
                <w:sz w:val="20"/>
                <w:szCs w:val="20"/>
                <w:lang w:val="sk-SK"/>
              </w:rPr>
              <w:t>211 997</w:t>
            </w:r>
            <w:r w:rsidR="002B70D7" w:rsidRPr="00DE27B1">
              <w:rPr>
                <w:rFonts w:asciiTheme="minorHAnsi" w:hAnsiTheme="minorHAnsi" w:cstheme="minorHAnsi"/>
                <w:sz w:val="20"/>
                <w:szCs w:val="20"/>
                <w:lang w:val="sk-SK"/>
              </w:rPr>
              <w:t> </w:t>
            </w:r>
          </w:p>
        </w:tc>
        <w:tc>
          <w:tcPr>
            <w:tcW w:w="1026" w:type="pct"/>
            <w:tcBorders>
              <w:top w:val="single" w:sz="6" w:space="0" w:color="C00000"/>
              <w:left w:val="single" w:sz="6" w:space="0" w:color="C00000"/>
              <w:bottom w:val="single" w:sz="6" w:space="0" w:color="C00000"/>
              <w:right w:val="single" w:sz="6" w:space="0" w:color="C00000"/>
            </w:tcBorders>
            <w:shd w:val="clear" w:color="auto" w:fill="FFFFFF"/>
          </w:tcPr>
          <w:p w14:paraId="6EE46723" w14:textId="77777777" w:rsidR="002B70D7" w:rsidRPr="00DE27B1" w:rsidRDefault="002B70D7" w:rsidP="002B70D7">
            <w:pPr>
              <w:spacing w:after="0"/>
              <w:ind w:hanging="6"/>
              <w:jc w:val="right"/>
              <w:rPr>
                <w:rFonts w:asciiTheme="minorHAnsi" w:hAnsiTheme="minorHAnsi" w:cstheme="minorHAnsi"/>
                <w:b/>
                <w:sz w:val="20"/>
                <w:szCs w:val="20"/>
                <w:lang w:val="sk-SK"/>
              </w:rPr>
            </w:pPr>
            <w:r w:rsidRPr="00DE27B1">
              <w:rPr>
                <w:rFonts w:asciiTheme="minorHAnsi" w:hAnsiTheme="minorHAnsi" w:cstheme="minorHAnsi"/>
                <w:b/>
                <w:bCs/>
                <w:sz w:val="20"/>
                <w:szCs w:val="20"/>
                <w:lang w:val="sk-SK"/>
              </w:rPr>
              <w:t>188 473 799</w:t>
            </w:r>
            <w:r w:rsidRPr="00DE27B1">
              <w:rPr>
                <w:rFonts w:asciiTheme="minorHAnsi" w:hAnsiTheme="minorHAnsi" w:cstheme="minorHAnsi"/>
                <w:sz w:val="20"/>
                <w:szCs w:val="20"/>
                <w:lang w:val="sk-SK"/>
              </w:rPr>
              <w:t> </w:t>
            </w:r>
          </w:p>
        </w:tc>
      </w:tr>
    </w:tbl>
    <w:p w14:paraId="18993008" w14:textId="73960427" w:rsidR="00D218F0" w:rsidRPr="00C35CA8" w:rsidRDefault="00D218F0" w:rsidP="0018489F">
      <w:pPr>
        <w:pStyle w:val="zdroj"/>
        <w:spacing w:after="0"/>
        <w:ind w:firstLine="0"/>
        <w:jc w:val="right"/>
        <w:rPr>
          <w:color w:val="auto"/>
          <w:lang w:val="sk-SK"/>
        </w:rPr>
      </w:pPr>
      <w:r w:rsidRPr="00C35CA8">
        <w:rPr>
          <w:color w:val="auto"/>
          <w:lang w:val="sk-SK"/>
        </w:rPr>
        <w:t>Zdroj: MPSVR SR/ÚPSVR</w:t>
      </w:r>
    </w:p>
    <w:p w14:paraId="72013DE4" w14:textId="77777777" w:rsidR="00FD21F1" w:rsidRDefault="00D218F0" w:rsidP="00D218F0">
      <w:pPr>
        <w:pStyle w:val="zdroj"/>
        <w:spacing w:before="0" w:after="0"/>
        <w:ind w:left="284" w:hanging="284"/>
        <w:rPr>
          <w:color w:val="auto"/>
          <w:lang w:val="sk-SK"/>
        </w:rPr>
      </w:pPr>
      <w:r w:rsidRPr="00C35CA8">
        <w:rPr>
          <w:color w:val="auto"/>
          <w:lang w:val="sk-SK"/>
        </w:rPr>
        <w:t>* § 42 - Informačné a poradenské služby sú súčasťou AOTP, aj keď ich poskytovanie je zabezpečované vlastnými zamestnancami úradov, bez finančných nárokov na finančné prostriedky z rozpočtu na AOTP; uvedený je počet klientov, ktorým boli poskytnuté informačné a poradenské služby.</w:t>
      </w:r>
    </w:p>
    <w:p w14:paraId="47D4642B" w14:textId="189E69CC" w:rsidR="00D218F0" w:rsidRPr="00C35CA8" w:rsidRDefault="00FD21F1" w:rsidP="00D218F0">
      <w:pPr>
        <w:pStyle w:val="zdroj"/>
        <w:spacing w:before="0" w:after="0"/>
        <w:ind w:left="284" w:hanging="284"/>
        <w:rPr>
          <w:color w:val="auto"/>
          <w:lang w:val="sk-SK"/>
        </w:rPr>
      </w:pPr>
      <w:r>
        <w:rPr>
          <w:color w:val="auto"/>
          <w:lang w:val="sk-SK"/>
        </w:rPr>
        <w:t>**</w:t>
      </w:r>
      <w:r w:rsidRPr="00DE27B1">
        <w:rPr>
          <w:rFonts w:asciiTheme="minorHAnsi" w:hAnsiTheme="minorHAnsi" w:cstheme="minorHAnsi"/>
          <w:lang w:val="sk-SK"/>
        </w:rPr>
        <w:t>§ 52a</w:t>
      </w:r>
      <w:r w:rsidRPr="00FD21F1">
        <w:rPr>
          <w:color w:val="auto"/>
          <w:lang w:val="sk-SK"/>
        </w:rPr>
        <w:t> </w:t>
      </w:r>
      <w:r>
        <w:rPr>
          <w:color w:val="auto"/>
          <w:lang w:val="sk-SK"/>
        </w:rPr>
        <w:t xml:space="preserve"> - </w:t>
      </w:r>
      <w:r w:rsidRPr="00FD21F1">
        <w:rPr>
          <w:color w:val="auto"/>
          <w:lang w:val="sk-SK"/>
        </w:rPr>
        <w:t>od 1.</w:t>
      </w:r>
      <w:r w:rsidR="00421540">
        <w:rPr>
          <w:color w:val="auto"/>
          <w:lang w:val="sk-SK"/>
        </w:rPr>
        <w:t xml:space="preserve"> </w:t>
      </w:r>
      <w:r w:rsidRPr="00FD21F1">
        <w:rPr>
          <w:color w:val="auto"/>
          <w:lang w:val="sk-SK"/>
        </w:rPr>
        <w:t>1.</w:t>
      </w:r>
      <w:r w:rsidR="00421540">
        <w:rPr>
          <w:color w:val="auto"/>
          <w:lang w:val="sk-SK"/>
        </w:rPr>
        <w:t xml:space="preserve"> </w:t>
      </w:r>
      <w:r w:rsidRPr="00FD21F1">
        <w:rPr>
          <w:color w:val="auto"/>
          <w:lang w:val="sk-SK"/>
        </w:rPr>
        <w:t>2023 vypustený zo zákona</w:t>
      </w:r>
      <w:r w:rsidR="00442E8D">
        <w:rPr>
          <w:color w:val="auto"/>
          <w:lang w:val="sk-SK"/>
        </w:rPr>
        <w:t>, prebiehalo len dofinancovanie z predošlého roka.</w:t>
      </w:r>
    </w:p>
    <w:p w14:paraId="3A13A77A" w14:textId="7FB937F7" w:rsidR="00D218F0" w:rsidRPr="00C35CA8" w:rsidRDefault="00D218F0" w:rsidP="00D218F0">
      <w:pPr>
        <w:pStyle w:val="zdroj"/>
        <w:spacing w:before="0" w:after="0"/>
        <w:ind w:left="284" w:hanging="284"/>
        <w:rPr>
          <w:color w:val="auto"/>
          <w:lang w:val="sk-SK"/>
        </w:rPr>
      </w:pPr>
      <w:r w:rsidRPr="00C35CA8">
        <w:rPr>
          <w:color w:val="auto"/>
          <w:lang w:val="sk-SK"/>
        </w:rPr>
        <w:t>**</w:t>
      </w:r>
      <w:r w:rsidR="00FD21F1">
        <w:rPr>
          <w:color w:val="auto"/>
          <w:lang w:val="sk-SK"/>
        </w:rPr>
        <w:t>*</w:t>
      </w:r>
      <w:r w:rsidRPr="00C35CA8">
        <w:rPr>
          <w:color w:val="auto"/>
          <w:lang w:val="sk-SK"/>
        </w:rPr>
        <w:t xml:space="preserve">§ 53f zákona o službách zamestnanosti sa od 1.1.2023 pretransformoval na § 19a zákona o sociálnej ekonomike  </w:t>
      </w:r>
    </w:p>
    <w:p w14:paraId="1F0CD5B4" w14:textId="0CB9E652" w:rsidR="00D218F0" w:rsidRPr="00C35CA8" w:rsidRDefault="00D218F0" w:rsidP="0018489F">
      <w:pPr>
        <w:pStyle w:val="zdroj"/>
        <w:spacing w:before="0" w:after="0"/>
        <w:ind w:left="426" w:hanging="426"/>
        <w:rPr>
          <w:color w:val="auto"/>
          <w:lang w:val="sk-SK"/>
        </w:rPr>
      </w:pPr>
      <w:r w:rsidRPr="00C35CA8">
        <w:rPr>
          <w:color w:val="auto"/>
          <w:lang w:val="sk-SK"/>
        </w:rPr>
        <w:t>***</w:t>
      </w:r>
      <w:r w:rsidR="00FD21F1">
        <w:rPr>
          <w:color w:val="auto"/>
          <w:lang w:val="sk-SK"/>
        </w:rPr>
        <w:t>*</w:t>
      </w:r>
      <w:r w:rsidRPr="00C35CA8">
        <w:rPr>
          <w:color w:val="auto"/>
          <w:lang w:val="sk-SK"/>
        </w:rPr>
        <w:t xml:space="preserve"> § 53g zákona o službách zamestnanosti sa od 1.1.2023 pretransformoval na § 19b zákona o sociálnej ekonomike</w:t>
      </w:r>
    </w:p>
    <w:p w14:paraId="7BE898A6" w14:textId="6366E7D7" w:rsidR="00265A02" w:rsidRPr="00970F64" w:rsidRDefault="00265A02" w:rsidP="00265A02">
      <w:pPr>
        <w:spacing w:before="120" w:after="0"/>
        <w:ind w:firstLine="0"/>
        <w:rPr>
          <w:b/>
          <w:i/>
          <w:sz w:val="20"/>
          <w:szCs w:val="20"/>
          <w:lang w:eastAsia="en-US"/>
        </w:rPr>
      </w:pPr>
      <w:r w:rsidRPr="00970F64">
        <w:rPr>
          <w:b/>
          <w:i/>
          <w:sz w:val="20"/>
          <w:szCs w:val="20"/>
          <w:lang w:eastAsia="en-US"/>
        </w:rPr>
        <w:t>Poznámka</w:t>
      </w:r>
    </w:p>
    <w:p w14:paraId="080A0F96" w14:textId="3B830A2D" w:rsidR="0018489F" w:rsidRPr="00970F64" w:rsidRDefault="00265A02" w:rsidP="0018489F">
      <w:pPr>
        <w:spacing w:after="0"/>
        <w:ind w:firstLine="0"/>
        <w:rPr>
          <w:i/>
          <w:sz w:val="20"/>
          <w:szCs w:val="20"/>
        </w:rPr>
      </w:pPr>
      <w:r w:rsidRPr="00970F64">
        <w:rPr>
          <w:i/>
          <w:sz w:val="20"/>
          <w:szCs w:val="20"/>
          <w:lang w:eastAsia="en-US"/>
        </w:rPr>
        <w:t xml:space="preserve">V ďalších častiach tohto vyhodnotenia sa nebudeme zmieňovať ani analyzovať  </w:t>
      </w:r>
      <w:r w:rsidR="00AB5C03" w:rsidRPr="00970F64">
        <w:rPr>
          <w:i/>
          <w:sz w:val="20"/>
          <w:szCs w:val="20"/>
          <w:lang w:eastAsia="en-US"/>
        </w:rPr>
        <w:t xml:space="preserve">príspevky </w:t>
      </w:r>
      <w:r w:rsidRPr="00970F64">
        <w:rPr>
          <w:i/>
          <w:sz w:val="20"/>
          <w:szCs w:val="20"/>
          <w:lang w:eastAsia="en-US"/>
        </w:rPr>
        <w:t xml:space="preserve">AOTP, ktoré síce v zákone o službách zamestnanosti sú </w:t>
      </w:r>
      <w:r w:rsidR="008A6443" w:rsidRPr="00970F64">
        <w:rPr>
          <w:i/>
          <w:sz w:val="20"/>
          <w:szCs w:val="20"/>
          <w:lang w:eastAsia="en-US"/>
        </w:rPr>
        <w:t>ustanov</w:t>
      </w:r>
      <w:r w:rsidRPr="00970F64">
        <w:rPr>
          <w:i/>
          <w:sz w:val="20"/>
          <w:szCs w:val="20"/>
          <w:lang w:eastAsia="en-US"/>
        </w:rPr>
        <w:t xml:space="preserve">ené, avšak, vzhľadom na skutočnosť, že v roku 2023 (ani v roku 2022) neboli </w:t>
      </w:r>
      <w:r w:rsidRPr="00970F64">
        <w:rPr>
          <w:i/>
          <w:sz w:val="20"/>
          <w:szCs w:val="20"/>
          <w:lang w:eastAsia="en-US"/>
        </w:rPr>
        <w:lastRenderedPageBreak/>
        <w:t>uplatňované z dôvodu, že na ich poskytnutie nie je právny nárok a  na ich financovanie neboli vyčlenené žiadne disponibilné finančné prostriedky z verejných zdrojov</w:t>
      </w:r>
      <w:r w:rsidRPr="00970F64">
        <w:rPr>
          <w:sz w:val="20"/>
          <w:szCs w:val="20"/>
          <w:lang w:eastAsia="en-US"/>
        </w:rPr>
        <w:t>.</w:t>
      </w:r>
      <w:r w:rsidR="0018489F" w:rsidRPr="00970F64">
        <w:rPr>
          <w:sz w:val="20"/>
          <w:szCs w:val="20"/>
        </w:rPr>
        <w:t xml:space="preserve"> </w:t>
      </w:r>
      <w:r w:rsidR="0018489F" w:rsidRPr="00970F64">
        <w:rPr>
          <w:i/>
          <w:sz w:val="20"/>
          <w:szCs w:val="20"/>
        </w:rPr>
        <w:t>Ide o nasledovné AOTP:</w:t>
      </w:r>
    </w:p>
    <w:p w14:paraId="0A4B38D4" w14:textId="77777777" w:rsidR="00D005C3" w:rsidRPr="00970F64" w:rsidRDefault="0018489F" w:rsidP="006C526F">
      <w:pPr>
        <w:pStyle w:val="Odsekzoznamu"/>
        <w:numPr>
          <w:ilvl w:val="0"/>
          <w:numId w:val="21"/>
        </w:numPr>
        <w:spacing w:before="0" w:after="0"/>
        <w:ind w:left="284" w:hanging="284"/>
        <w:rPr>
          <w:i/>
          <w:sz w:val="20"/>
          <w:szCs w:val="20"/>
        </w:rPr>
      </w:pPr>
      <w:r w:rsidRPr="00970F64">
        <w:rPr>
          <w:i/>
          <w:sz w:val="20"/>
          <w:szCs w:val="20"/>
        </w:rPr>
        <w:t>vzdelávanie a príprava pre trh práce uchádzača o zamestnanie - § 46,</w:t>
      </w:r>
      <w:r w:rsidR="00D005C3" w:rsidRPr="00970F64">
        <w:rPr>
          <w:sz w:val="20"/>
          <w:szCs w:val="20"/>
        </w:rPr>
        <w:t xml:space="preserve"> </w:t>
      </w:r>
    </w:p>
    <w:p w14:paraId="34A01230" w14:textId="77777777" w:rsidR="00D005C3" w:rsidRPr="00970F64" w:rsidRDefault="00D005C3" w:rsidP="006C526F">
      <w:pPr>
        <w:pStyle w:val="Odsekzoznamu"/>
        <w:numPr>
          <w:ilvl w:val="0"/>
          <w:numId w:val="21"/>
        </w:numPr>
        <w:spacing w:before="0" w:after="0"/>
        <w:ind w:left="284" w:hanging="284"/>
        <w:rPr>
          <w:i/>
          <w:sz w:val="20"/>
          <w:szCs w:val="20"/>
        </w:rPr>
      </w:pPr>
      <w:r w:rsidRPr="00970F64">
        <w:rPr>
          <w:sz w:val="20"/>
          <w:szCs w:val="20"/>
        </w:rPr>
        <w:t>v</w:t>
      </w:r>
      <w:r w:rsidRPr="00970F64">
        <w:rPr>
          <w:i/>
          <w:sz w:val="20"/>
          <w:szCs w:val="20"/>
        </w:rPr>
        <w:t>zdelávanie a príprava pre trh práce zamestnanca - § 47,</w:t>
      </w:r>
      <w:r w:rsidRPr="00970F64">
        <w:rPr>
          <w:sz w:val="20"/>
          <w:szCs w:val="20"/>
        </w:rPr>
        <w:t xml:space="preserve"> </w:t>
      </w:r>
    </w:p>
    <w:p w14:paraId="26D7D8AF" w14:textId="3E39C626" w:rsidR="00D005C3" w:rsidRPr="00970F64" w:rsidRDefault="00D005C3" w:rsidP="006C526F">
      <w:pPr>
        <w:pStyle w:val="Odsekzoznamu"/>
        <w:numPr>
          <w:ilvl w:val="0"/>
          <w:numId w:val="21"/>
        </w:numPr>
        <w:spacing w:before="0" w:after="0"/>
        <w:ind w:left="284" w:hanging="284"/>
        <w:rPr>
          <w:i/>
          <w:sz w:val="20"/>
          <w:szCs w:val="20"/>
        </w:rPr>
      </w:pPr>
      <w:r w:rsidRPr="00970F64">
        <w:rPr>
          <w:i/>
          <w:sz w:val="20"/>
          <w:szCs w:val="20"/>
        </w:rPr>
        <w:t>príspevok na samostatnú zárobkovú činnosť - § 49,</w:t>
      </w:r>
    </w:p>
    <w:p w14:paraId="2F55B640" w14:textId="14832220" w:rsidR="0018489F" w:rsidRPr="00970F64" w:rsidRDefault="00D005C3" w:rsidP="006C526F">
      <w:pPr>
        <w:pStyle w:val="Odsekzoznamu"/>
        <w:numPr>
          <w:ilvl w:val="0"/>
          <w:numId w:val="21"/>
        </w:numPr>
        <w:spacing w:before="0" w:after="0"/>
        <w:ind w:left="284" w:hanging="284"/>
        <w:rPr>
          <w:i/>
          <w:sz w:val="20"/>
          <w:szCs w:val="20"/>
        </w:rPr>
      </w:pPr>
      <w:r w:rsidRPr="00970F64">
        <w:rPr>
          <w:i/>
          <w:sz w:val="20"/>
          <w:szCs w:val="20"/>
        </w:rPr>
        <w:t xml:space="preserve">príspevok na podporu zamestnávania znevýhodneného uchádzača o zamestnanie - § 50.    </w:t>
      </w:r>
      <w:r w:rsidR="0018489F" w:rsidRPr="00970F64">
        <w:rPr>
          <w:i/>
          <w:sz w:val="20"/>
          <w:szCs w:val="20"/>
        </w:rPr>
        <w:t xml:space="preserve"> </w:t>
      </w:r>
    </w:p>
    <w:p w14:paraId="063D8534" w14:textId="0B3900CF" w:rsidR="0018489F" w:rsidRPr="00970F64" w:rsidRDefault="0018489F" w:rsidP="006C526F">
      <w:pPr>
        <w:pStyle w:val="Odsekzoznamu"/>
        <w:numPr>
          <w:ilvl w:val="0"/>
          <w:numId w:val="21"/>
        </w:numPr>
        <w:spacing w:before="0" w:after="0"/>
        <w:ind w:left="284" w:hanging="284"/>
        <w:rPr>
          <w:i/>
          <w:sz w:val="20"/>
          <w:szCs w:val="20"/>
        </w:rPr>
      </w:pPr>
      <w:r w:rsidRPr="00970F64">
        <w:rPr>
          <w:i/>
          <w:sz w:val="20"/>
          <w:szCs w:val="20"/>
        </w:rPr>
        <w:t xml:space="preserve">príspevok na vykonávanie absolventskej praxe  - § 51, </w:t>
      </w:r>
    </w:p>
    <w:p w14:paraId="012BC81A" w14:textId="21050C61" w:rsidR="0018489F" w:rsidRPr="00970F64" w:rsidRDefault="0018489F" w:rsidP="006C526F">
      <w:pPr>
        <w:pStyle w:val="Odsekzoznamu"/>
        <w:numPr>
          <w:ilvl w:val="0"/>
          <w:numId w:val="21"/>
        </w:numPr>
        <w:spacing w:before="0" w:after="0"/>
        <w:ind w:left="284" w:hanging="284"/>
        <w:rPr>
          <w:i/>
          <w:sz w:val="20"/>
          <w:szCs w:val="20"/>
        </w:rPr>
      </w:pPr>
      <w:r w:rsidRPr="00970F64">
        <w:rPr>
          <w:i/>
          <w:sz w:val="20"/>
          <w:szCs w:val="20"/>
        </w:rPr>
        <w:t>príspevok na dopravu do zamestnania - § 53b,</w:t>
      </w:r>
    </w:p>
    <w:p w14:paraId="07A8475E" w14:textId="3E9DEDB3" w:rsidR="0018489F" w:rsidRPr="00970F64" w:rsidRDefault="0018489F" w:rsidP="006C526F">
      <w:pPr>
        <w:pStyle w:val="Odsekzoznamu"/>
        <w:numPr>
          <w:ilvl w:val="0"/>
          <w:numId w:val="21"/>
        </w:numPr>
        <w:spacing w:before="0" w:after="0"/>
        <w:ind w:left="284" w:hanging="284"/>
        <w:rPr>
          <w:i/>
          <w:sz w:val="20"/>
          <w:szCs w:val="20"/>
        </w:rPr>
      </w:pPr>
      <w:r w:rsidRPr="00970F64">
        <w:rPr>
          <w:i/>
          <w:sz w:val="20"/>
          <w:szCs w:val="20"/>
        </w:rPr>
        <w:t>príspevok na zriadenie chránenej dielne alebo chráneného pracoviska - § 56,</w:t>
      </w:r>
    </w:p>
    <w:p w14:paraId="5DC6A449" w14:textId="54D1E3CA" w:rsidR="0018489F" w:rsidRPr="00970F64" w:rsidRDefault="0018489F" w:rsidP="006C526F">
      <w:pPr>
        <w:pStyle w:val="Odsekzoznamu"/>
        <w:numPr>
          <w:ilvl w:val="0"/>
          <w:numId w:val="21"/>
        </w:numPr>
        <w:spacing w:before="0" w:after="0"/>
        <w:ind w:left="284" w:hanging="284"/>
        <w:rPr>
          <w:i/>
          <w:sz w:val="20"/>
          <w:szCs w:val="20"/>
        </w:rPr>
      </w:pPr>
      <w:r w:rsidRPr="00970F64">
        <w:rPr>
          <w:i/>
          <w:sz w:val="20"/>
          <w:szCs w:val="20"/>
        </w:rPr>
        <w:t>príspevok na udržanie občana so zdravotným postihnutím v zamestnaní - § 56a,</w:t>
      </w:r>
    </w:p>
    <w:p w14:paraId="5ABAA9E4" w14:textId="6C0055AC" w:rsidR="00B833D2" w:rsidRPr="00970F64" w:rsidRDefault="0018489F" w:rsidP="006C526F">
      <w:pPr>
        <w:pStyle w:val="Odsekzoznamu"/>
        <w:numPr>
          <w:ilvl w:val="0"/>
          <w:numId w:val="21"/>
        </w:numPr>
        <w:spacing w:before="0" w:after="0"/>
        <w:ind w:left="284" w:hanging="284"/>
        <w:rPr>
          <w:sz w:val="20"/>
          <w:szCs w:val="20"/>
        </w:rPr>
      </w:pPr>
      <w:r w:rsidRPr="00970F64">
        <w:rPr>
          <w:i/>
          <w:sz w:val="20"/>
          <w:szCs w:val="20"/>
        </w:rPr>
        <w:t>príspevok občanovi so zdravotným postihnutím na samostatnú zárobkovú činnosť - § 57.</w:t>
      </w:r>
      <w:r w:rsidR="00265A02" w:rsidRPr="00970F64">
        <w:rPr>
          <w:i/>
          <w:sz w:val="20"/>
          <w:szCs w:val="20"/>
        </w:rPr>
        <w:t xml:space="preserve">  </w:t>
      </w:r>
    </w:p>
    <w:p w14:paraId="035F1CF2" w14:textId="77777777" w:rsidR="0018489F" w:rsidRPr="00C35CA8" w:rsidRDefault="0018489F" w:rsidP="00264B43">
      <w:pPr>
        <w:spacing w:before="120" w:after="60"/>
        <w:ind w:firstLine="0"/>
        <w:rPr>
          <w:bCs/>
          <w:iCs/>
          <w:sz w:val="20"/>
          <w:szCs w:val="20"/>
        </w:rPr>
      </w:pPr>
    </w:p>
    <w:p w14:paraId="461476A1" w14:textId="4EFDCCA3" w:rsidR="00596254" w:rsidRPr="00C35CA8" w:rsidRDefault="00C14776" w:rsidP="00ED7654">
      <w:pPr>
        <w:pStyle w:val="Nadpis1"/>
        <w:numPr>
          <w:ilvl w:val="0"/>
          <w:numId w:val="19"/>
        </w:numPr>
        <w:spacing w:before="120" w:after="120"/>
      </w:pPr>
      <w:bookmarkStart w:id="31" w:name="_Toc514941029"/>
      <w:bookmarkStart w:id="32" w:name="_Toc37094585"/>
      <w:bookmarkStart w:id="33" w:name="_Toc173741542"/>
      <w:bookmarkStart w:id="34" w:name="_Hlk103507342"/>
      <w:r w:rsidRPr="00C35CA8">
        <w:t>VYHODNOTENIE</w:t>
      </w:r>
      <w:r w:rsidR="00880AB6" w:rsidRPr="00C35CA8">
        <w:t xml:space="preserve"> </w:t>
      </w:r>
      <w:r w:rsidRPr="00C35CA8">
        <w:t>ČINNOSTI INFORMAČNÝCH</w:t>
      </w:r>
      <w:r w:rsidR="00ED7654">
        <w:t xml:space="preserve"> </w:t>
      </w:r>
      <w:r w:rsidR="002E7E09" w:rsidRPr="00C35CA8">
        <w:t>A</w:t>
      </w:r>
      <w:r w:rsidRPr="00C35CA8">
        <w:t> </w:t>
      </w:r>
      <w:r w:rsidR="00F10CE8" w:rsidRPr="00C35CA8">
        <w:t xml:space="preserve"> </w:t>
      </w:r>
      <w:r w:rsidRPr="00C35CA8">
        <w:t>SPROSTREDKOVATEĽSKÝCH SLUŽIEB ZA ROK 20</w:t>
      </w:r>
      <w:r w:rsidR="00DE1ECF" w:rsidRPr="00C35CA8">
        <w:t>2</w:t>
      </w:r>
      <w:r w:rsidR="00C363BD" w:rsidRPr="00C35CA8">
        <w:t>2</w:t>
      </w:r>
      <w:r w:rsidR="00880AB6" w:rsidRPr="00C35CA8">
        <w:t xml:space="preserve"> </w:t>
      </w:r>
      <w:r w:rsidR="003D2C5F" w:rsidRPr="00C35CA8">
        <w:t>V PÔSOBNOSTI ÚSTREDIA</w:t>
      </w:r>
      <w:r w:rsidR="000E47AB" w:rsidRPr="00C35CA8">
        <w:t xml:space="preserve"> </w:t>
      </w:r>
      <w:r w:rsidRPr="00C35CA8">
        <w:t>A</w:t>
      </w:r>
      <w:r w:rsidR="000E47AB" w:rsidRPr="00C35CA8">
        <w:t> </w:t>
      </w:r>
      <w:r w:rsidRPr="00C35CA8">
        <w:t>ÚRADOV</w:t>
      </w:r>
      <w:r w:rsidR="000E47AB" w:rsidRPr="00C35CA8">
        <w:t xml:space="preserve"> </w:t>
      </w:r>
      <w:r w:rsidR="00FF4642" w:rsidRPr="00C35CA8">
        <w:t xml:space="preserve">- § 32, § 42 </w:t>
      </w:r>
      <w:r w:rsidRPr="00C35CA8">
        <w:t>ZÁKON</w:t>
      </w:r>
      <w:bookmarkEnd w:id="31"/>
      <w:bookmarkEnd w:id="32"/>
      <w:r w:rsidRPr="00C35CA8">
        <w:t>A</w:t>
      </w:r>
      <w:r w:rsidR="000E47AB" w:rsidRPr="00C35CA8">
        <w:t xml:space="preserve"> O SLUŽBÁCH ZAMESTNANOSTI</w:t>
      </w:r>
      <w:bookmarkEnd w:id="33"/>
    </w:p>
    <w:p w14:paraId="684DB1E9" w14:textId="77777777" w:rsidR="00DE27B1" w:rsidRDefault="00DE27B1" w:rsidP="00DE27B1">
      <w:pPr>
        <w:pStyle w:val="Nadpis20"/>
        <w:tabs>
          <w:tab w:val="left" w:pos="567"/>
        </w:tabs>
      </w:pPr>
      <w:bookmarkStart w:id="35" w:name="_Toc173741543"/>
      <w:bookmarkStart w:id="36" w:name="_Toc514941030"/>
      <w:bookmarkStart w:id="37" w:name="_Toc37094586"/>
      <w:bookmarkStart w:id="38" w:name="_Toc391632943"/>
      <w:bookmarkStart w:id="39" w:name="_Toc391632944"/>
      <w:bookmarkStart w:id="40" w:name="_Toc37094591"/>
      <w:bookmarkEnd w:id="34"/>
      <w:r>
        <w:t xml:space="preserve">2.1 </w:t>
      </w:r>
      <w:r>
        <w:tab/>
        <w:t>Vyhodnotenie činnosti úradov</w:t>
      </w:r>
      <w:bookmarkEnd w:id="35"/>
      <w:r>
        <w:t xml:space="preserve"> </w:t>
      </w:r>
    </w:p>
    <w:p w14:paraId="07AF2EC9" w14:textId="77777777" w:rsidR="00DE27B1" w:rsidRDefault="00DE27B1" w:rsidP="00DE27B1">
      <w:pPr>
        <w:spacing w:before="120" w:after="120"/>
        <w:ind w:firstLine="0"/>
        <w:rPr>
          <w:rFonts w:eastAsia="Calibri"/>
          <w:color w:val="000000"/>
          <w:lang w:eastAsia="en-US"/>
        </w:rPr>
      </w:pPr>
      <w:r>
        <w:rPr>
          <w:rFonts w:eastAsia="Calibri"/>
          <w:color w:val="000000"/>
          <w:lang w:eastAsia="en-US"/>
        </w:rPr>
        <w:t>Úrady na celom území SR pokračovali s realizáciou poskytovania služieb zamestnanosti, v rámci ktorého boli klientom poskytované služby zamestnanosti viac individuálnou formou zameranou na akceptáciu ich osobnostných predpokladov v kombinácii s možnosťami zamestnať sa.</w:t>
      </w:r>
    </w:p>
    <w:p w14:paraId="66A28126" w14:textId="77777777" w:rsidR="00DE27B1" w:rsidRDefault="00DE27B1" w:rsidP="00DE27B1">
      <w:pPr>
        <w:pStyle w:val="Nadpis30"/>
        <w:tabs>
          <w:tab w:val="left" w:pos="567"/>
          <w:tab w:val="left" w:pos="851"/>
        </w:tabs>
        <w:spacing w:before="240" w:after="120"/>
        <w:ind w:firstLine="0"/>
        <w:rPr>
          <w:lang w:eastAsia="en-US"/>
        </w:rPr>
      </w:pPr>
      <w:bookmarkStart w:id="41" w:name="_Toc173741544"/>
      <w:r>
        <w:rPr>
          <w:lang w:eastAsia="en-US"/>
        </w:rPr>
        <w:t>2.1.1 Spolupráca so zamestnávateľmi</w:t>
      </w:r>
      <w:bookmarkEnd w:id="41"/>
      <w:r>
        <w:rPr>
          <w:lang w:eastAsia="en-US"/>
        </w:rPr>
        <w:t xml:space="preserve"> </w:t>
      </w:r>
    </w:p>
    <w:p w14:paraId="03418E7D" w14:textId="03D456E4" w:rsidR="00DE27B1" w:rsidRPr="00DE3088" w:rsidRDefault="00DE27B1" w:rsidP="00DE27B1">
      <w:pPr>
        <w:spacing w:after="0"/>
        <w:textAlignment w:val="baseline"/>
      </w:pPr>
      <w:r w:rsidRPr="00DE3088">
        <w:t xml:space="preserve">Ústredie </w:t>
      </w:r>
      <w:r w:rsidR="00C247DE">
        <w:t xml:space="preserve">od 1. </w:t>
      </w:r>
      <w:r w:rsidRPr="00DE3088">
        <w:t>2.</w:t>
      </w:r>
      <w:r w:rsidR="00C247DE">
        <w:t xml:space="preserve"> </w:t>
      </w:r>
      <w:r w:rsidRPr="00DE3088">
        <w:t xml:space="preserve">2022 uviedlo do prevádzky nový pracovný portál Služby zamestnanosti </w:t>
      </w:r>
      <w:hyperlink r:id="rId12" w:tgtFrame="_blank" w:history="1">
        <w:r w:rsidRPr="00DE3088">
          <w:rPr>
            <w:u w:val="single"/>
          </w:rPr>
          <w:t>www.sluzbyzamestnanosti.gov.sk</w:t>
        </w:r>
      </w:hyperlink>
      <w:r w:rsidRPr="00DE3088">
        <w:t xml:space="preserve"> </w:t>
      </w:r>
      <w:r w:rsidR="00C247DE">
        <w:t>(</w:t>
      </w:r>
      <w:r w:rsidRPr="00DE3088">
        <w:t>ďalej len „Portál SZ“</w:t>
      </w:r>
      <w:r w:rsidR="00C247DE">
        <w:t>)</w:t>
      </w:r>
      <w:r w:rsidRPr="00DE3088">
        <w:t>, ktorý nahradil doteraz využívaný spôsob nahlasovania voľných pracovných miest (</w:t>
      </w:r>
      <w:r w:rsidR="00C247DE">
        <w:t>VPM</w:t>
      </w:r>
      <w:r w:rsidRPr="00DE3088">
        <w:t xml:space="preserve">) prostredníctvom pracovného portálu </w:t>
      </w:r>
      <w:r w:rsidRPr="00DE3088">
        <w:rPr>
          <w:u w:val="single"/>
        </w:rPr>
        <w:t>www.istp.sk</w:t>
      </w:r>
      <w:r w:rsidRPr="00DE3088">
        <w:t>. </w:t>
      </w:r>
    </w:p>
    <w:p w14:paraId="0503F24F" w14:textId="41F52D6A" w:rsidR="00DE27B1" w:rsidRPr="00DE3088" w:rsidRDefault="00C247DE" w:rsidP="00C247DE">
      <w:pPr>
        <w:spacing w:before="120" w:after="0"/>
        <w:textAlignment w:val="baseline"/>
      </w:pPr>
      <w:r>
        <w:t>Z</w:t>
      </w:r>
      <w:r w:rsidRPr="00DE3088">
        <w:t>amestnávateľ má možnosť</w:t>
      </w:r>
      <w:r>
        <w:t>,</w:t>
      </w:r>
      <w:r w:rsidRPr="00DE3088">
        <w:t xml:space="preserve"> </w:t>
      </w:r>
      <w:r>
        <w:t>p</w:t>
      </w:r>
      <w:r w:rsidR="00DE27B1" w:rsidRPr="00DE3088">
        <w:t xml:space="preserve">o jednoduchej bezplatnej registrácii pomocou eID (prihlasovanie je rovnaké ako na </w:t>
      </w:r>
      <w:hyperlink r:id="rId13" w:tgtFrame="_blank" w:history="1">
        <w:r w:rsidR="00DE27B1" w:rsidRPr="00DE3088">
          <w:rPr>
            <w:u w:val="single"/>
          </w:rPr>
          <w:t>www.slovensko.sk</w:t>
        </w:r>
      </w:hyperlink>
      <w:r w:rsidR="00DE27B1" w:rsidRPr="00DE3088">
        <w:t>)</w:t>
      </w:r>
      <w:r>
        <w:t>,</w:t>
      </w:r>
      <w:r w:rsidR="00DE27B1" w:rsidRPr="00DE3088">
        <w:t xml:space="preserve"> </w:t>
      </w:r>
      <w:r>
        <w:t>na P</w:t>
      </w:r>
      <w:r w:rsidR="00DE27B1" w:rsidRPr="00DE3088">
        <w:t xml:space="preserve">ortáli </w:t>
      </w:r>
      <w:r>
        <w:t xml:space="preserve">SZ </w:t>
      </w:r>
      <w:r w:rsidR="00DE27B1" w:rsidRPr="00DE3088">
        <w:t>bezplatne vytvárať, evidovať a zverejňovať svoje ponuky pracovných miest a osloviť tak UoZ evidovaných na úradoch ako aj všetkých záujemcov o zamestnanie.  </w:t>
      </w:r>
    </w:p>
    <w:p w14:paraId="03736A37" w14:textId="77777777" w:rsidR="00DE27B1" w:rsidRPr="00DE3088" w:rsidRDefault="00DE27B1" w:rsidP="00C247DE">
      <w:pPr>
        <w:spacing w:before="120" w:after="0"/>
        <w:ind w:hanging="6"/>
        <w:textAlignment w:val="baseline"/>
      </w:pPr>
      <w:r w:rsidRPr="00DE3088">
        <w:t>Portál SZ je prvý štátny pracovný portál, ktorý svoje služby pre všetkých používateľov poskytuje zdarma. Získava údaje o zamestnávateľoch z overených zdrojov, akým je napr. register právnických osôb. Portál SZ obsahuje informatívne videá, textové manuály, ktoré sú nápomocné užívateľom pri registrácii a používaní portálu. </w:t>
      </w:r>
    </w:p>
    <w:p w14:paraId="7DBE7C36" w14:textId="77777777" w:rsidR="00DE27B1" w:rsidRPr="00DE3088" w:rsidRDefault="00DE27B1" w:rsidP="00C247DE">
      <w:pPr>
        <w:spacing w:before="120" w:after="0"/>
        <w:textAlignment w:val="baseline"/>
      </w:pPr>
      <w:r w:rsidRPr="00DE3088">
        <w:t>Zamestnávateľ už pri vypĺňaní formuláru VPM môže prejaviť záujem o spolupráci úradu pri obsadzovaní VPM prostredníctvom realizácie výberového konania (ďalej len „VK“), kde úrad zabezpečí jeho organizáciu a výber vhodných UoZ.  </w:t>
      </w:r>
    </w:p>
    <w:p w14:paraId="0FB01610" w14:textId="77777777" w:rsidR="00DE27B1" w:rsidRPr="00DE3088" w:rsidRDefault="00DE27B1" w:rsidP="00C247DE">
      <w:pPr>
        <w:spacing w:before="120" w:after="0"/>
        <w:textAlignment w:val="baseline"/>
      </w:pPr>
      <w:r w:rsidRPr="00DE3088">
        <w:t>Portál SZ umožňuje zamestnávateľom vyhľadávať na základe určených kritérií vhodných UoZ. Ak má UoZ zverejnený profil, zamestnávateľ ho môže samostatne osloviť, čo veľmi urýchľuje obsadzovanie VPM, urýchľuje vzájomnú komunikáciu medzi zamestnávateľom a UoZ.  </w:t>
      </w:r>
    </w:p>
    <w:p w14:paraId="714B2CB7" w14:textId="77777777" w:rsidR="00DE27B1" w:rsidRPr="00DE3088" w:rsidRDefault="00DE27B1" w:rsidP="00C247DE">
      <w:pPr>
        <w:spacing w:before="120" w:after="0"/>
        <w:textAlignment w:val="baseline"/>
      </w:pPr>
      <w:r w:rsidRPr="00DE3088">
        <w:t>Portál SZ umožňuje párovanie VPM, ich charakteristiku, páruje kvalifikačné predpoklady s profilom UoZ, odídencov z Ukrajiny a spárované VPM sú im doručené na vopred nahlásené e-mailové adresy. Všetky VPM sú k dispozícii aj v ukrajinskom jazyku.   </w:t>
      </w:r>
    </w:p>
    <w:p w14:paraId="6BFF5E91" w14:textId="77777777" w:rsidR="00DE27B1" w:rsidRPr="00DE3088" w:rsidRDefault="00DE27B1" w:rsidP="00C247DE">
      <w:pPr>
        <w:spacing w:before="120" w:after="0"/>
        <w:textAlignment w:val="baseline"/>
      </w:pPr>
      <w:r w:rsidRPr="00DE3088">
        <w:t>Zamestnávateľom, ktorí nahlásili VPM prostredníctvom Portálu SZ, portál SZ zasiela pravidelné notifikácie o dĺžke trvania VPM, čo zamestnávatelia oceňujú najmä v prípadoch, ak obsadzujú VPM štátnym príslušníkom tretej krajiny.  </w:t>
      </w:r>
    </w:p>
    <w:p w14:paraId="3EDBC4B5" w14:textId="1D07923A" w:rsidR="00DE27B1" w:rsidRDefault="00DE27B1" w:rsidP="00C247DE">
      <w:pPr>
        <w:spacing w:before="120" w:after="0"/>
        <w:textAlignment w:val="baseline"/>
      </w:pPr>
      <w:r w:rsidRPr="00DE3088">
        <w:t>Od 1.</w:t>
      </w:r>
      <w:r w:rsidR="00C247DE">
        <w:t xml:space="preserve"> </w:t>
      </w:r>
      <w:r w:rsidRPr="00DE3088">
        <w:t>1.</w:t>
      </w:r>
      <w:r w:rsidR="00C247DE">
        <w:t xml:space="preserve"> </w:t>
      </w:r>
      <w:r w:rsidRPr="00DE3088">
        <w:t>2024 je na Portáli SZ nasadená nová služba - elektronické preukazovanie povinného podielu zamestnávania občanov so zdravotným postihnutím a elektronické zasielanie ročných správ ADZ, APZ a SZÚ. V najbližšom čase bude na Portál SZ nasadená ďalšia služba – zverejňovanie VPM prostredníctvom Euró</w:t>
      </w:r>
      <w:r>
        <w:t>pskych služieb zamestnanosti. </w:t>
      </w:r>
    </w:p>
    <w:p w14:paraId="10161A1D" w14:textId="77777777" w:rsidR="00DE27B1" w:rsidRDefault="00DE27B1" w:rsidP="00DE27B1">
      <w:pPr>
        <w:pStyle w:val="Nadpis30"/>
        <w:tabs>
          <w:tab w:val="left" w:pos="567"/>
        </w:tabs>
        <w:spacing w:before="240" w:after="120"/>
        <w:ind w:hanging="6"/>
      </w:pPr>
      <w:bookmarkStart w:id="42" w:name="_Toc173741545"/>
      <w:r>
        <w:lastRenderedPageBreak/>
        <w:t>2.1.2 Kontakt so zamestnávateľmi</w:t>
      </w:r>
      <w:bookmarkEnd w:id="42"/>
    </w:p>
    <w:p w14:paraId="3AF49384" w14:textId="77777777" w:rsidR="00DE27B1" w:rsidRPr="00FF1ABF" w:rsidRDefault="00DE27B1" w:rsidP="00DE27B1">
      <w:pPr>
        <w:spacing w:before="120" w:after="0"/>
        <w:rPr>
          <w:rFonts w:cs="Calibri"/>
          <w:color w:val="000000"/>
        </w:rPr>
      </w:pPr>
      <w:r w:rsidRPr="00FF1ABF">
        <w:rPr>
          <w:rFonts w:cs="Calibri"/>
          <w:color w:val="000000"/>
        </w:rPr>
        <w:t>Zamestnávateľom prostredníctvom agentov pre PM boli poskytované informácie o:</w:t>
      </w:r>
    </w:p>
    <w:p w14:paraId="53CC05A5"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výbere vhodného zamestnanca na požadovanú pracovnú pozíciu,</w:t>
      </w:r>
    </w:p>
    <w:p w14:paraId="55016AD9"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možnostiach a podmienkach účasti na jednotlivých AOTP – aktivačnej činnosti (ďalej len „AČ“), absolventskej praxi (ďalej len „AP“), podpore zamestnávania občanov so ZP, poskytnutí príspevku na zamestnanie znevýhodnených UoZ (ďalej len „ZUoZ“),</w:t>
      </w:r>
    </w:p>
    <w:p w14:paraId="326CF3DB"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výzve na predkladanie projektov na zamestnávanie ZUoZ a o podmienkach účasti v partnerstvách,</w:t>
      </w:r>
    </w:p>
    <w:p w14:paraId="18D3D70D"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situácii na TP, možnosti účasti na VK, BPaI,</w:t>
      </w:r>
    </w:p>
    <w:p w14:paraId="11EDD3EF"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povinnostiach zamestnávateľa pri zamestnávaní občanov so ZP,</w:t>
      </w:r>
    </w:p>
    <w:p w14:paraId="6BE832DE"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podmienkach súvisiacich so zamestnávaním cudzincov a občanov EÚ,</w:t>
      </w:r>
    </w:p>
    <w:p w14:paraId="45F44D95"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nelegálnej práci a nelegálnom zamestnávaní,</w:t>
      </w:r>
    </w:p>
    <w:p w14:paraId="48512C5D"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možnostiach využitia služieb agentúr dočasného zamestnávania (ďalej len „ADZ“), agentúr podporovaného zamestnávania (ďalej len „APZ“), sprostredkovaní zamestnania za úhradu (ďalej len „SZÚ“),</w:t>
      </w:r>
    </w:p>
    <w:p w14:paraId="6D1FC074"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HP, informácie súvisiace s HP a s pracovno-právnymi vzťahmi,</w:t>
      </w:r>
    </w:p>
    <w:p w14:paraId="762705B8" w14:textId="77777777" w:rsidR="00DE27B1" w:rsidRPr="00FF1ABF" w:rsidRDefault="00DE27B1" w:rsidP="00DE27B1">
      <w:pPr>
        <w:numPr>
          <w:ilvl w:val="0"/>
          <w:numId w:val="11"/>
        </w:numPr>
        <w:spacing w:after="0"/>
        <w:ind w:left="284" w:hanging="284"/>
        <w:rPr>
          <w:rFonts w:cs="Calibri"/>
          <w:color w:val="000000"/>
        </w:rPr>
      </w:pPr>
      <w:r w:rsidRPr="00FF1ABF">
        <w:rPr>
          <w:rFonts w:cs="Calibri"/>
          <w:color w:val="000000"/>
        </w:rPr>
        <w:t xml:space="preserve">možnostiach bezplatnej registrácie na Portál SZ a možnosti zverejniť VPM elektronicky on-line prostredníctvom stránky </w:t>
      </w:r>
      <w:hyperlink r:id="rId14" w:history="1">
        <w:r w:rsidRPr="00FF1ABF">
          <w:rPr>
            <w:rFonts w:cs="Calibri"/>
            <w:color w:val="0000FF"/>
            <w:u w:val="single"/>
          </w:rPr>
          <w:t>www.sluzbyzamestnanosti.gov.sk</w:t>
        </w:r>
      </w:hyperlink>
      <w:r w:rsidRPr="00FF1ABF">
        <w:rPr>
          <w:rFonts w:cs="Calibri"/>
          <w:color w:val="000000"/>
        </w:rPr>
        <w:t xml:space="preserve">. </w:t>
      </w:r>
    </w:p>
    <w:p w14:paraId="52134D1E" w14:textId="77777777" w:rsidR="00DE27B1" w:rsidRDefault="00DE27B1" w:rsidP="00DE27B1">
      <w:pPr>
        <w:pStyle w:val="Nadpis30"/>
        <w:tabs>
          <w:tab w:val="left" w:pos="567"/>
        </w:tabs>
        <w:spacing w:before="240" w:after="120"/>
        <w:ind w:hanging="6"/>
      </w:pPr>
      <w:bookmarkStart w:id="43" w:name="_Toc173741546"/>
      <w:r>
        <w:t>2.1.3 Výberové konania</w:t>
      </w:r>
      <w:bookmarkEnd w:id="43"/>
    </w:p>
    <w:p w14:paraId="28B743A0" w14:textId="00D77CE2" w:rsidR="00DE27B1" w:rsidRPr="0055191D" w:rsidRDefault="00DE27B1" w:rsidP="00DE27B1">
      <w:pPr>
        <w:spacing w:before="120" w:after="0"/>
        <w:ind w:hanging="6"/>
      </w:pPr>
      <w:r w:rsidRPr="0055191D">
        <w:rPr>
          <w:rFonts w:eastAsia="Calibri"/>
          <w:color w:val="000000"/>
          <w:lang w:eastAsia="en-US"/>
        </w:rPr>
        <w:t xml:space="preserve">Dôležitým nástrojom pri zamestnávaní UoZ, ZoZ a občanov ohrozených HP boli v sledovanom období aj naďalej úradmi pravidelne plánované a organizované </w:t>
      </w:r>
      <w:r>
        <w:rPr>
          <w:rFonts w:eastAsia="Calibri"/>
          <w:color w:val="000000"/>
          <w:lang w:eastAsia="en-US"/>
        </w:rPr>
        <w:t>výberové konania (</w:t>
      </w:r>
      <w:r w:rsidRPr="0055191D">
        <w:rPr>
          <w:rFonts w:eastAsia="Calibri"/>
          <w:color w:val="000000"/>
          <w:lang w:eastAsia="en-US"/>
        </w:rPr>
        <w:t>VK</w:t>
      </w:r>
      <w:r>
        <w:rPr>
          <w:rFonts w:eastAsia="Calibri"/>
          <w:color w:val="000000"/>
          <w:lang w:eastAsia="en-US"/>
        </w:rPr>
        <w:t>)</w:t>
      </w:r>
      <w:r w:rsidRPr="0055191D">
        <w:rPr>
          <w:rFonts w:eastAsia="Calibri"/>
          <w:color w:val="000000"/>
          <w:lang w:eastAsia="en-US"/>
        </w:rPr>
        <w:t>. </w:t>
      </w:r>
      <w:r w:rsidRPr="0055191D">
        <w:t>Efektívnym spôsobom zvýšenia úspešnosti obsadzovania VPM prostredníctvom VK bola spolupráca pri predvýbere vhodného UoZ a účasť sprostredkovateľov ako aj agentov pre PM úradov na VK. Úspešnosť VK bola taktiež ovplyvňovaná ich organizovaním v súlade s požiadavkami a potrebami zamestnávateľov priamo v ich sídle. V roku 2023 bolo úradmi zorganizovaných 1 952 VK (o 479 menej ako v roku 2022).  </w:t>
      </w:r>
    </w:p>
    <w:p w14:paraId="19AA1BAE" w14:textId="77777777" w:rsidR="00DE27B1" w:rsidRPr="0055191D" w:rsidRDefault="00DE27B1" w:rsidP="00DE27B1">
      <w:pPr>
        <w:spacing w:before="120" w:after="0"/>
        <w:ind w:firstLine="0"/>
        <w:textAlignment w:val="baseline"/>
      </w:pPr>
      <w:r w:rsidRPr="0055191D">
        <w:t>Zamestnávatelia na VK ponúkli 41 993 VPM. VK sa zúčastnilo 19 107 UoZ (o 2 417 UoZ menej ako v roku 2022). Počet zúčastnených UoZ na VK v roku 2023 oproti roku 2022 klesol, ale úrady na jednotlivé pracovné pozície vyberali čo najvhodnejších UoZ.  </w:t>
      </w:r>
    </w:p>
    <w:p w14:paraId="2DF4B1C9" w14:textId="7FA1DB84" w:rsidR="00DE27B1" w:rsidRDefault="00DE27B1" w:rsidP="00DE27B1">
      <w:pPr>
        <w:spacing w:before="120" w:after="120"/>
        <w:ind w:firstLine="0"/>
        <w:textAlignment w:val="baseline"/>
      </w:pPr>
      <w:r w:rsidRPr="0055191D">
        <w:t>Úspešnosť VK vzhľadom na počet zúčastnených UoZ na VK a celkový počet klientov prijatých do zamestnania v priebehu kalendárneho roka 2023 v počte 1 168 (o 246 menej prijatých UoZ ako v roku 2022) bola 6,11 %. </w:t>
      </w:r>
    </w:p>
    <w:tbl>
      <w:tblPr>
        <w:tblW w:w="9232"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5" w:type="dxa"/>
          <w:right w:w="35" w:type="dxa"/>
        </w:tblCellMar>
        <w:tblLook w:val="04A0" w:firstRow="1" w:lastRow="0" w:firstColumn="1" w:lastColumn="0" w:noHBand="0" w:noVBand="1"/>
      </w:tblPr>
      <w:tblGrid>
        <w:gridCol w:w="7646"/>
        <w:gridCol w:w="1586"/>
      </w:tblGrid>
      <w:tr w:rsidR="00DE27B1" w:rsidRPr="00DE27B1" w14:paraId="50D7CEC2" w14:textId="77777777" w:rsidTr="002066A5">
        <w:trPr>
          <w:trHeight w:val="219"/>
        </w:trPr>
        <w:tc>
          <w:tcPr>
            <w:tcW w:w="7646" w:type="dxa"/>
            <w:tcBorders>
              <w:bottom w:val="single" w:sz="6" w:space="0" w:color="000000"/>
            </w:tcBorders>
            <w:shd w:val="clear" w:color="auto" w:fill="DBE5F1"/>
            <w:vAlign w:val="center"/>
            <w:hideMark/>
          </w:tcPr>
          <w:p w14:paraId="24D62110" w14:textId="77777777" w:rsidR="00DE27B1" w:rsidRPr="00DE27B1" w:rsidRDefault="00DE27B1" w:rsidP="002066A5">
            <w:pPr>
              <w:autoSpaceDE w:val="0"/>
              <w:autoSpaceDN w:val="0"/>
              <w:adjustRightInd w:val="0"/>
              <w:spacing w:after="0"/>
              <w:ind w:hanging="6"/>
              <w:rPr>
                <w:rFonts w:ascii="Calibri" w:hAnsi="Calibri" w:cs="Calibri"/>
                <w:bCs/>
                <w:sz w:val="20"/>
                <w:szCs w:val="20"/>
              </w:rPr>
            </w:pPr>
            <w:r w:rsidRPr="00DE27B1">
              <w:rPr>
                <w:rFonts w:ascii="Calibri" w:hAnsi="Calibri" w:cs="Calibri"/>
                <w:bCs/>
                <w:sz w:val="20"/>
                <w:szCs w:val="20"/>
              </w:rPr>
              <w:t>Počet VK v roku 2023</w:t>
            </w:r>
          </w:p>
        </w:tc>
        <w:tc>
          <w:tcPr>
            <w:tcW w:w="1586" w:type="dxa"/>
            <w:tcBorders>
              <w:bottom w:val="single" w:sz="6" w:space="0" w:color="000000"/>
            </w:tcBorders>
            <w:shd w:val="clear" w:color="auto" w:fill="DBE5F1"/>
            <w:vAlign w:val="center"/>
            <w:hideMark/>
          </w:tcPr>
          <w:p w14:paraId="45BF2413" w14:textId="77777777" w:rsidR="00DE27B1" w:rsidRPr="00DE27B1" w:rsidRDefault="00DE27B1" w:rsidP="002066A5">
            <w:pPr>
              <w:autoSpaceDE w:val="0"/>
              <w:autoSpaceDN w:val="0"/>
              <w:adjustRightInd w:val="0"/>
              <w:spacing w:after="0"/>
              <w:ind w:hanging="6"/>
              <w:jc w:val="right"/>
              <w:rPr>
                <w:rFonts w:ascii="Calibri" w:hAnsi="Calibri" w:cs="Calibri"/>
                <w:bCs/>
                <w:sz w:val="20"/>
                <w:szCs w:val="20"/>
              </w:rPr>
            </w:pPr>
            <w:r w:rsidRPr="00DE27B1">
              <w:rPr>
                <w:rFonts w:ascii="Calibri" w:hAnsi="Calibri" w:cs="Calibri"/>
                <w:bCs/>
                <w:sz w:val="20"/>
                <w:szCs w:val="20"/>
              </w:rPr>
              <w:t>1 952</w:t>
            </w:r>
          </w:p>
        </w:tc>
      </w:tr>
      <w:tr w:rsidR="00DE27B1" w:rsidRPr="00DE27B1" w14:paraId="15281303" w14:textId="77777777" w:rsidTr="002066A5">
        <w:trPr>
          <w:trHeight w:val="219"/>
        </w:trPr>
        <w:tc>
          <w:tcPr>
            <w:tcW w:w="7646" w:type="dxa"/>
            <w:shd w:val="solid" w:color="FFFFFF" w:fill="FFFFFF"/>
            <w:vAlign w:val="center"/>
            <w:hideMark/>
          </w:tcPr>
          <w:p w14:paraId="0223CADD" w14:textId="77777777" w:rsidR="00DE27B1" w:rsidRPr="00DE27B1" w:rsidRDefault="00DE27B1" w:rsidP="002066A5">
            <w:pPr>
              <w:autoSpaceDE w:val="0"/>
              <w:autoSpaceDN w:val="0"/>
              <w:adjustRightInd w:val="0"/>
              <w:spacing w:after="0"/>
              <w:ind w:hanging="6"/>
              <w:rPr>
                <w:rFonts w:ascii="Calibri" w:hAnsi="Calibri" w:cs="Calibri"/>
                <w:bCs/>
                <w:sz w:val="20"/>
                <w:szCs w:val="20"/>
              </w:rPr>
            </w:pPr>
            <w:r w:rsidRPr="00DE27B1">
              <w:rPr>
                <w:rFonts w:ascii="Calibri" w:hAnsi="Calibri" w:cs="Calibri"/>
                <w:bCs/>
                <w:sz w:val="20"/>
                <w:szCs w:val="20"/>
              </w:rPr>
              <w:t>Počet ponúknutých VPM pre VK</w:t>
            </w:r>
          </w:p>
        </w:tc>
        <w:tc>
          <w:tcPr>
            <w:tcW w:w="1586" w:type="dxa"/>
            <w:shd w:val="solid" w:color="FFFFFF" w:fill="FFFFFF"/>
            <w:vAlign w:val="center"/>
            <w:hideMark/>
          </w:tcPr>
          <w:p w14:paraId="322A205B" w14:textId="77777777" w:rsidR="00DE27B1" w:rsidRPr="00DE27B1" w:rsidRDefault="00DE27B1" w:rsidP="002066A5">
            <w:pPr>
              <w:autoSpaceDE w:val="0"/>
              <w:autoSpaceDN w:val="0"/>
              <w:adjustRightInd w:val="0"/>
              <w:spacing w:after="0"/>
              <w:ind w:hanging="6"/>
              <w:jc w:val="right"/>
              <w:rPr>
                <w:rFonts w:ascii="Calibri" w:hAnsi="Calibri" w:cs="Calibri"/>
                <w:bCs/>
                <w:sz w:val="20"/>
                <w:szCs w:val="20"/>
              </w:rPr>
            </w:pPr>
            <w:r w:rsidRPr="00DE27B1">
              <w:rPr>
                <w:rFonts w:ascii="Calibri" w:hAnsi="Calibri" w:cs="Calibri"/>
                <w:sz w:val="20"/>
                <w:szCs w:val="20"/>
              </w:rPr>
              <w:t>41 993</w:t>
            </w:r>
          </w:p>
        </w:tc>
      </w:tr>
      <w:tr w:rsidR="00DE27B1" w:rsidRPr="00DE27B1" w14:paraId="3B331DC3" w14:textId="77777777" w:rsidTr="002066A5">
        <w:trPr>
          <w:trHeight w:val="219"/>
        </w:trPr>
        <w:tc>
          <w:tcPr>
            <w:tcW w:w="7646" w:type="dxa"/>
            <w:tcBorders>
              <w:bottom w:val="single" w:sz="6" w:space="0" w:color="000000"/>
            </w:tcBorders>
            <w:shd w:val="clear" w:color="auto" w:fill="C6D9F1"/>
            <w:vAlign w:val="center"/>
            <w:hideMark/>
          </w:tcPr>
          <w:p w14:paraId="3D6E1D4D" w14:textId="77777777" w:rsidR="00DE27B1" w:rsidRPr="00DE27B1" w:rsidRDefault="00DE27B1" w:rsidP="002066A5">
            <w:pPr>
              <w:autoSpaceDE w:val="0"/>
              <w:autoSpaceDN w:val="0"/>
              <w:adjustRightInd w:val="0"/>
              <w:spacing w:after="0"/>
              <w:ind w:hanging="6"/>
              <w:rPr>
                <w:rFonts w:ascii="Calibri" w:hAnsi="Calibri" w:cs="Calibri"/>
                <w:bCs/>
                <w:sz w:val="20"/>
                <w:szCs w:val="20"/>
              </w:rPr>
            </w:pPr>
            <w:r w:rsidRPr="00DE27B1">
              <w:rPr>
                <w:rFonts w:ascii="Calibri" w:hAnsi="Calibri" w:cs="Calibri"/>
                <w:bCs/>
                <w:sz w:val="20"/>
                <w:szCs w:val="20"/>
              </w:rPr>
              <w:t>Celkový počet zúčastnených UoZ</w:t>
            </w:r>
          </w:p>
        </w:tc>
        <w:tc>
          <w:tcPr>
            <w:tcW w:w="1586" w:type="dxa"/>
            <w:tcBorders>
              <w:bottom w:val="single" w:sz="6" w:space="0" w:color="000000"/>
            </w:tcBorders>
            <w:shd w:val="clear" w:color="auto" w:fill="C6D9F1"/>
            <w:vAlign w:val="center"/>
            <w:hideMark/>
          </w:tcPr>
          <w:p w14:paraId="4466EA30" w14:textId="77777777" w:rsidR="00DE27B1" w:rsidRPr="00DE27B1" w:rsidRDefault="00DE27B1" w:rsidP="002066A5">
            <w:pPr>
              <w:autoSpaceDE w:val="0"/>
              <w:autoSpaceDN w:val="0"/>
              <w:adjustRightInd w:val="0"/>
              <w:spacing w:after="0"/>
              <w:ind w:hanging="6"/>
              <w:jc w:val="right"/>
              <w:rPr>
                <w:rFonts w:ascii="Calibri" w:hAnsi="Calibri" w:cs="Calibri"/>
                <w:bCs/>
                <w:sz w:val="20"/>
                <w:szCs w:val="20"/>
              </w:rPr>
            </w:pPr>
            <w:r w:rsidRPr="00DE27B1">
              <w:rPr>
                <w:rFonts w:ascii="Calibri" w:hAnsi="Calibri" w:cs="Calibri"/>
                <w:bCs/>
                <w:sz w:val="20"/>
                <w:szCs w:val="20"/>
              </w:rPr>
              <w:t>19 107</w:t>
            </w:r>
          </w:p>
        </w:tc>
      </w:tr>
      <w:tr w:rsidR="00DE27B1" w:rsidRPr="00DE27B1" w14:paraId="7BA5E298" w14:textId="77777777" w:rsidTr="002066A5">
        <w:trPr>
          <w:trHeight w:val="219"/>
        </w:trPr>
        <w:tc>
          <w:tcPr>
            <w:tcW w:w="7646" w:type="dxa"/>
            <w:tcBorders>
              <w:bottom w:val="single" w:sz="6" w:space="0" w:color="000000"/>
            </w:tcBorders>
            <w:shd w:val="solid" w:color="FFFFFF" w:fill="auto"/>
            <w:vAlign w:val="center"/>
            <w:hideMark/>
          </w:tcPr>
          <w:p w14:paraId="33099204" w14:textId="77777777" w:rsidR="00DE27B1" w:rsidRPr="00DE27B1" w:rsidRDefault="00DE27B1" w:rsidP="002066A5">
            <w:pPr>
              <w:autoSpaceDE w:val="0"/>
              <w:autoSpaceDN w:val="0"/>
              <w:adjustRightInd w:val="0"/>
              <w:spacing w:after="0"/>
              <w:ind w:hanging="6"/>
              <w:rPr>
                <w:rFonts w:ascii="Calibri" w:hAnsi="Calibri" w:cs="Calibri"/>
                <w:bCs/>
                <w:sz w:val="20"/>
                <w:szCs w:val="20"/>
              </w:rPr>
            </w:pPr>
            <w:r w:rsidRPr="00DE27B1">
              <w:rPr>
                <w:rFonts w:ascii="Calibri" w:hAnsi="Calibri" w:cs="Calibri"/>
                <w:bCs/>
                <w:sz w:val="20"/>
                <w:szCs w:val="20"/>
              </w:rPr>
              <w:t>Celkový počet prijatých UoZ</w:t>
            </w:r>
          </w:p>
        </w:tc>
        <w:tc>
          <w:tcPr>
            <w:tcW w:w="1586" w:type="dxa"/>
            <w:tcBorders>
              <w:bottom w:val="single" w:sz="6" w:space="0" w:color="000000"/>
            </w:tcBorders>
            <w:shd w:val="solid" w:color="FFFFFF" w:fill="auto"/>
            <w:vAlign w:val="center"/>
            <w:hideMark/>
          </w:tcPr>
          <w:p w14:paraId="11336492" w14:textId="77777777" w:rsidR="00DE27B1" w:rsidRPr="00DE27B1" w:rsidRDefault="00DE27B1" w:rsidP="002066A5">
            <w:pPr>
              <w:autoSpaceDE w:val="0"/>
              <w:autoSpaceDN w:val="0"/>
              <w:adjustRightInd w:val="0"/>
              <w:spacing w:after="0"/>
              <w:ind w:hanging="6"/>
              <w:jc w:val="right"/>
              <w:rPr>
                <w:rFonts w:ascii="Calibri" w:hAnsi="Calibri" w:cs="Calibri"/>
                <w:bCs/>
                <w:sz w:val="20"/>
                <w:szCs w:val="20"/>
              </w:rPr>
            </w:pPr>
            <w:r w:rsidRPr="00DE27B1">
              <w:rPr>
                <w:rFonts w:ascii="Calibri" w:hAnsi="Calibri" w:cs="Calibri"/>
                <w:bCs/>
                <w:sz w:val="20"/>
                <w:szCs w:val="20"/>
              </w:rPr>
              <w:t>1 168</w:t>
            </w:r>
          </w:p>
        </w:tc>
      </w:tr>
      <w:tr w:rsidR="00DE27B1" w:rsidRPr="00DE27B1" w14:paraId="2E540608" w14:textId="77777777" w:rsidTr="002066A5">
        <w:trPr>
          <w:trHeight w:val="33"/>
        </w:trPr>
        <w:tc>
          <w:tcPr>
            <w:tcW w:w="7646" w:type="dxa"/>
            <w:shd w:val="solid" w:color="DBE5F1" w:fill="auto"/>
            <w:vAlign w:val="center"/>
            <w:hideMark/>
          </w:tcPr>
          <w:p w14:paraId="25F2CBD8" w14:textId="77777777" w:rsidR="00DE27B1" w:rsidRPr="00DE27B1" w:rsidRDefault="00DE27B1" w:rsidP="002066A5">
            <w:pPr>
              <w:autoSpaceDE w:val="0"/>
              <w:autoSpaceDN w:val="0"/>
              <w:adjustRightInd w:val="0"/>
              <w:spacing w:after="0"/>
              <w:ind w:hanging="6"/>
              <w:rPr>
                <w:rFonts w:ascii="Calibri" w:hAnsi="Calibri" w:cs="Calibri"/>
                <w:bCs/>
                <w:sz w:val="20"/>
                <w:szCs w:val="20"/>
              </w:rPr>
            </w:pPr>
            <w:r w:rsidRPr="00DE27B1">
              <w:rPr>
                <w:rFonts w:ascii="Calibri" w:hAnsi="Calibri" w:cs="Calibri"/>
                <w:bCs/>
                <w:sz w:val="20"/>
                <w:szCs w:val="20"/>
              </w:rPr>
              <w:t>Úspešnosť VK (v %)</w:t>
            </w:r>
          </w:p>
        </w:tc>
        <w:tc>
          <w:tcPr>
            <w:tcW w:w="1586" w:type="dxa"/>
            <w:shd w:val="solid" w:color="DBE5F1" w:fill="auto"/>
            <w:vAlign w:val="center"/>
            <w:hideMark/>
          </w:tcPr>
          <w:p w14:paraId="6E82E339" w14:textId="77777777" w:rsidR="00DE27B1" w:rsidRPr="00DE27B1" w:rsidRDefault="00DE27B1" w:rsidP="002066A5">
            <w:pPr>
              <w:autoSpaceDE w:val="0"/>
              <w:autoSpaceDN w:val="0"/>
              <w:adjustRightInd w:val="0"/>
              <w:spacing w:after="0"/>
              <w:ind w:hanging="6"/>
              <w:jc w:val="right"/>
              <w:rPr>
                <w:rFonts w:ascii="Calibri" w:hAnsi="Calibri" w:cs="Calibri"/>
                <w:bCs/>
                <w:sz w:val="20"/>
                <w:szCs w:val="20"/>
              </w:rPr>
            </w:pPr>
            <w:r w:rsidRPr="00DE27B1">
              <w:rPr>
                <w:rFonts w:ascii="Calibri" w:hAnsi="Calibri" w:cs="Calibri"/>
                <w:bCs/>
                <w:sz w:val="20"/>
                <w:szCs w:val="20"/>
              </w:rPr>
              <w:t xml:space="preserve">6,11 </w:t>
            </w:r>
          </w:p>
        </w:tc>
      </w:tr>
    </w:tbl>
    <w:p w14:paraId="6878325A" w14:textId="77777777" w:rsidR="00DE27B1" w:rsidRDefault="00DE27B1" w:rsidP="00DE27B1">
      <w:pPr>
        <w:pStyle w:val="Nadpis30"/>
        <w:tabs>
          <w:tab w:val="left" w:pos="567"/>
        </w:tabs>
        <w:spacing w:before="240" w:after="120"/>
        <w:ind w:left="6" w:hanging="6"/>
      </w:pPr>
      <w:bookmarkStart w:id="44" w:name="_Toc173741547"/>
      <w:r>
        <w:t>2.1.4</w:t>
      </w:r>
      <w:r>
        <w:tab/>
        <w:t>Burzy práce a informácií</w:t>
      </w:r>
      <w:bookmarkEnd w:id="44"/>
      <w:r>
        <w:t xml:space="preserve"> </w:t>
      </w:r>
    </w:p>
    <w:p w14:paraId="6630918B" w14:textId="21F9F117" w:rsidR="00DE27B1" w:rsidRPr="0055191D" w:rsidRDefault="00DE27B1" w:rsidP="00ED7654">
      <w:pPr>
        <w:rPr>
          <w:rFonts w:eastAsiaTheme="minorHAnsi"/>
          <w:lang w:eastAsia="en-US"/>
        </w:rPr>
      </w:pPr>
      <w:bookmarkStart w:id="45" w:name="_Toc167978032"/>
      <w:r w:rsidRPr="0055191D">
        <w:rPr>
          <w:rFonts w:eastAsiaTheme="minorHAnsi"/>
          <w:lang w:eastAsia="en-US"/>
        </w:rPr>
        <w:t>V ro</w:t>
      </w:r>
      <w:r w:rsidR="00442E8D">
        <w:rPr>
          <w:rFonts w:eastAsiaTheme="minorHAnsi"/>
          <w:lang w:eastAsia="en-US"/>
        </w:rPr>
        <w:t>ku 2023 úrady zorganizovali 21 b</w:t>
      </w:r>
      <w:r w:rsidRPr="0055191D">
        <w:rPr>
          <w:rFonts w:eastAsiaTheme="minorHAnsi"/>
          <w:lang w:eastAsia="en-US"/>
        </w:rPr>
        <w:t xml:space="preserve">úrz práce a informácií (ďalej len „BPaI“), na ktorých boli prezentované </w:t>
      </w:r>
      <w:r w:rsidR="00442E8D">
        <w:rPr>
          <w:rFonts w:eastAsiaTheme="minorHAnsi"/>
          <w:lang w:eastAsia="en-US"/>
        </w:rPr>
        <w:t>voľné pracovné miesta (</w:t>
      </w:r>
      <w:r w:rsidRPr="0055191D">
        <w:rPr>
          <w:rFonts w:eastAsiaTheme="minorHAnsi"/>
          <w:lang w:eastAsia="en-US"/>
        </w:rPr>
        <w:t>VPM</w:t>
      </w:r>
      <w:r w:rsidR="00442E8D">
        <w:rPr>
          <w:rFonts w:eastAsiaTheme="minorHAnsi"/>
          <w:lang w:eastAsia="en-US"/>
        </w:rPr>
        <w:t>)</w:t>
      </w:r>
      <w:r w:rsidRPr="0055191D">
        <w:rPr>
          <w:rFonts w:eastAsiaTheme="minorHAnsi"/>
          <w:lang w:eastAsia="en-US"/>
        </w:rPr>
        <w:t xml:space="preserve">. </w:t>
      </w:r>
      <w:r w:rsidR="00442E8D">
        <w:rPr>
          <w:rFonts w:eastAsiaTheme="minorHAnsi"/>
          <w:lang w:eastAsia="en-US"/>
        </w:rPr>
        <w:t>Zamestnanci</w:t>
      </w:r>
      <w:r w:rsidRPr="0055191D">
        <w:rPr>
          <w:rFonts w:eastAsiaTheme="minorHAnsi"/>
          <w:lang w:eastAsia="en-US"/>
        </w:rPr>
        <w:t xml:space="preserve"> úradov poskytli klientom odborné poradenstvo v oblasti kariérneho plánovania, informácie o národných aktivačných programoch a o možnosti vykonávania absolventskej praxe u zamestnávateľa, o príspevku na dochádzku za prácou a tiež o možnostiach </w:t>
      </w:r>
      <w:r w:rsidR="00442E8D">
        <w:rPr>
          <w:rFonts w:eastAsiaTheme="minorHAnsi"/>
          <w:lang w:eastAsia="en-US"/>
        </w:rPr>
        <w:t>vzdelávania a prípravy pre trh práce (</w:t>
      </w:r>
      <w:r w:rsidRPr="0055191D">
        <w:rPr>
          <w:rFonts w:eastAsiaTheme="minorHAnsi"/>
          <w:lang w:eastAsia="en-US"/>
        </w:rPr>
        <w:t>VzPrTP</w:t>
      </w:r>
      <w:r w:rsidR="00442E8D">
        <w:rPr>
          <w:rFonts w:eastAsiaTheme="minorHAnsi"/>
          <w:lang w:eastAsia="en-US"/>
        </w:rPr>
        <w:t>)</w:t>
      </w:r>
      <w:r w:rsidRPr="0055191D">
        <w:rPr>
          <w:rFonts w:eastAsiaTheme="minorHAnsi"/>
          <w:lang w:eastAsia="en-US"/>
        </w:rPr>
        <w:t>, o príspevku na aktivačnú činnosť, ako aj o ďalších aktivačných a ochranných príspevkoch.</w:t>
      </w:r>
      <w:bookmarkEnd w:id="45"/>
      <w:r w:rsidRPr="0055191D">
        <w:rPr>
          <w:rFonts w:eastAsiaTheme="minorHAnsi"/>
          <w:lang w:eastAsia="en-US"/>
        </w:rPr>
        <w:t xml:space="preserve">   </w:t>
      </w:r>
    </w:p>
    <w:p w14:paraId="704C5C15" w14:textId="77777777" w:rsidR="00DE27B1" w:rsidRPr="0055191D" w:rsidRDefault="00DE27B1" w:rsidP="00ED7654">
      <w:pPr>
        <w:rPr>
          <w:rFonts w:eastAsiaTheme="minorHAnsi"/>
          <w:lang w:eastAsia="en-US"/>
        </w:rPr>
      </w:pPr>
      <w:bookmarkStart w:id="46" w:name="_Toc167978033"/>
      <w:r w:rsidRPr="0055191D">
        <w:rPr>
          <w:rFonts w:eastAsiaTheme="minorHAnsi"/>
          <w:lang w:eastAsia="en-US"/>
        </w:rPr>
        <w:t>Klienti tak mohli „pod jednou strechou“ získať ucelený obraz o aktuálnej ponuke na trhu práce a možnostiach pracovného uplatnenia.</w:t>
      </w:r>
      <w:bookmarkEnd w:id="46"/>
      <w:r w:rsidRPr="0055191D">
        <w:rPr>
          <w:rFonts w:eastAsiaTheme="minorHAnsi"/>
          <w:lang w:eastAsia="en-US"/>
        </w:rPr>
        <w:t xml:space="preserve">   </w:t>
      </w:r>
    </w:p>
    <w:p w14:paraId="3C75829F" w14:textId="0847B112" w:rsidR="00DE27B1" w:rsidRPr="0055191D" w:rsidRDefault="00DE27B1" w:rsidP="00064B9A">
      <w:pPr>
        <w:spacing w:before="120" w:after="120"/>
        <w:ind w:hanging="6"/>
        <w:rPr>
          <w:rFonts w:eastAsiaTheme="minorHAnsi"/>
          <w:lang w:eastAsia="en-US"/>
        </w:rPr>
      </w:pPr>
      <w:bookmarkStart w:id="47" w:name="_Toc167978034"/>
      <w:r w:rsidRPr="0055191D">
        <w:rPr>
          <w:rFonts w:eastAsiaTheme="minorHAnsi"/>
          <w:lang w:eastAsia="en-US"/>
        </w:rPr>
        <w:t xml:space="preserve">BPaI boli zamerané na oblasť VPM v strojárskom priemysle, v ťažobnom priemysle, </w:t>
      </w:r>
      <w:r w:rsidR="00C247DE">
        <w:rPr>
          <w:rFonts w:eastAsiaTheme="minorHAnsi"/>
          <w:lang w:eastAsia="en-US"/>
        </w:rPr>
        <w:t xml:space="preserve">                          </w:t>
      </w:r>
      <w:r w:rsidRPr="0055191D">
        <w:rPr>
          <w:rFonts w:eastAsiaTheme="minorHAnsi"/>
          <w:lang w:eastAsia="en-US"/>
        </w:rPr>
        <w:t xml:space="preserve">v automobilovom priemysle, v priemyselnej výrobe, vo výrobe zdravotníckych pomôcok, </w:t>
      </w:r>
      <w:r w:rsidRPr="0055191D">
        <w:rPr>
          <w:rFonts w:eastAsiaTheme="minorHAnsi"/>
          <w:lang w:eastAsia="en-US"/>
        </w:rPr>
        <w:lastRenderedPageBreak/>
        <w:t>odevnom priemysle, v oblasti cestovného ruchu - gastronomické a ubytovacie služby, doplnkové služby v oblasti cestovného ruchu. Niektoré BPaI boli zamerané na obsadzovanie dlhodobo nahlásených VPM.</w:t>
      </w:r>
      <w:bookmarkEnd w:id="47"/>
    </w:p>
    <w:p w14:paraId="0320E44F" w14:textId="0FAE7752" w:rsidR="00DE27B1" w:rsidRPr="0055191D" w:rsidRDefault="00DE27B1" w:rsidP="00064B9A">
      <w:pPr>
        <w:spacing w:before="120" w:after="120"/>
        <w:ind w:hanging="6"/>
        <w:rPr>
          <w:rFonts w:eastAsiaTheme="minorHAnsi"/>
          <w:lang w:eastAsia="en-US"/>
        </w:rPr>
      </w:pPr>
      <w:bookmarkStart w:id="48" w:name="_Toc167978035"/>
      <w:r w:rsidRPr="0055191D">
        <w:rPr>
          <w:rFonts w:eastAsiaTheme="minorHAnsi"/>
          <w:lang w:eastAsia="en-US"/>
        </w:rPr>
        <w:t xml:space="preserve">Úrady BPaI zorganizovali pre rôzne cieľové skupiny - UoZ do 29 rokov, dlhodobo evidovaných UoZ, zamestnancov ohrozených HP, UoZ, ktorí si aktívne hľadajú zamestnanie a širokú verejnosť. Úrady na </w:t>
      </w:r>
      <w:r w:rsidR="00265A02" w:rsidRPr="0055191D">
        <w:rPr>
          <w:rFonts w:eastAsiaTheme="minorHAnsi"/>
          <w:lang w:eastAsia="en-US"/>
        </w:rPr>
        <w:t>BPaI</w:t>
      </w:r>
      <w:r w:rsidRPr="0055191D">
        <w:rPr>
          <w:rFonts w:eastAsiaTheme="minorHAnsi"/>
          <w:lang w:eastAsia="en-US"/>
        </w:rPr>
        <w:t xml:space="preserve"> pozývali aj odídencov z Ukrajiny, aby im vytvorili priestor na osobné stretnutie so zamestnávateľmi, s cieľom pomôcť zamestnať sa.</w:t>
      </w:r>
      <w:bookmarkEnd w:id="48"/>
      <w:r w:rsidRPr="0055191D">
        <w:rPr>
          <w:rFonts w:eastAsiaTheme="minorHAnsi"/>
          <w:lang w:eastAsia="en-US"/>
        </w:rPr>
        <w:t xml:space="preserve">  </w:t>
      </w:r>
    </w:p>
    <w:p w14:paraId="1FE3564F" w14:textId="2DDEF46C" w:rsidR="00DE27B1" w:rsidRPr="0055191D" w:rsidRDefault="00DE27B1" w:rsidP="00064B9A">
      <w:pPr>
        <w:spacing w:before="120" w:after="120"/>
        <w:ind w:hanging="6"/>
        <w:rPr>
          <w:rFonts w:eastAsiaTheme="minorHAnsi"/>
          <w:lang w:eastAsia="en-US"/>
        </w:rPr>
      </w:pPr>
      <w:bookmarkStart w:id="49" w:name="_Toc167978036"/>
      <w:r w:rsidRPr="0055191D">
        <w:rPr>
          <w:rFonts w:eastAsiaTheme="minorHAnsi"/>
          <w:lang w:eastAsia="en-US"/>
        </w:rPr>
        <w:t xml:space="preserve">Na BPaI sa zúčastnilo 297 zamestnávateľov. Zamestnávatelia ponúkli spolu 14 223 VPM  </w:t>
      </w:r>
      <w:r w:rsidR="00442E8D">
        <w:rPr>
          <w:rFonts w:eastAsiaTheme="minorHAnsi"/>
          <w:lang w:eastAsia="en-US"/>
        </w:rPr>
        <w:t xml:space="preserve">              </w:t>
      </w:r>
      <w:r w:rsidRPr="0055191D">
        <w:rPr>
          <w:rFonts w:eastAsiaTheme="minorHAnsi"/>
          <w:lang w:eastAsia="en-US"/>
        </w:rPr>
        <w:t>a  4 156 VPM v rámci siete EURES. BPaI sa zúčastnilo 6 708 UoZ, z ktorých  bolo25 prijatých do zamestnania. 810 UoZ si zamestnávatelia vybrali do užšieho výberu a 253 UoZ získalo prísľub do zamestnania od zamestnávateľa.</w:t>
      </w:r>
      <w:bookmarkEnd w:id="49"/>
      <w:r w:rsidRPr="0055191D">
        <w:rPr>
          <w:rFonts w:eastAsiaTheme="minorHAnsi"/>
          <w:lang w:eastAsia="en-US"/>
        </w:rPr>
        <w:t xml:space="preserve">    </w:t>
      </w:r>
    </w:p>
    <w:p w14:paraId="6F72E399" w14:textId="77777777" w:rsidR="00DE27B1" w:rsidRPr="0055191D" w:rsidRDefault="00DE27B1" w:rsidP="00064B9A">
      <w:pPr>
        <w:spacing w:before="120" w:after="120"/>
        <w:ind w:hanging="6"/>
        <w:rPr>
          <w:rFonts w:eastAsiaTheme="minorHAnsi"/>
          <w:lang w:eastAsia="en-US"/>
        </w:rPr>
      </w:pPr>
      <w:bookmarkStart w:id="50" w:name="_Toc167978037"/>
      <w:r w:rsidRPr="0055191D">
        <w:rPr>
          <w:rFonts w:eastAsiaTheme="minorHAnsi"/>
          <w:lang w:eastAsia="en-US"/>
        </w:rPr>
        <w:t>BPaI boli zorganizované na úradoch Banská Bystrica, Bratislava (2), Brezno, Dunajská Streda, Čadca, Komárno, Košice (2), Kežmarok, Nitra, Nové Mesto nad Váhom (2), Nová Zámky, Partizánske, Poprad, Považská Bystrica, Revúca, Senica, Trnava, Žilina.</w:t>
      </w:r>
      <w:bookmarkEnd w:id="50"/>
    </w:p>
    <w:p w14:paraId="25925FB1" w14:textId="77777777" w:rsidR="00DE27B1" w:rsidRDefault="00DE27B1" w:rsidP="00064B9A">
      <w:pPr>
        <w:spacing w:before="120" w:after="120"/>
        <w:ind w:hanging="6"/>
        <w:rPr>
          <w:rFonts w:eastAsiaTheme="minorHAnsi"/>
          <w:lang w:eastAsia="en-US"/>
        </w:rPr>
      </w:pPr>
      <w:bookmarkStart w:id="51" w:name="_Toc167978038"/>
      <w:r w:rsidRPr="0055191D">
        <w:rPr>
          <w:rFonts w:eastAsiaTheme="minorHAnsi"/>
          <w:lang w:eastAsia="en-US"/>
        </w:rPr>
        <w:t>Návštevníci mali okrem možnosti nájsť si zamestnanie aj príležitosť nadobudnúť komplexnejšie informácie o trhu práce a o spôsoboch uplatnenia sa na ňom. Výhodou bol najmä osobný kontakt a možnosť informovať sa na vybrané pracovné pozície priamo u konkrétnych zamestnávateľov.</w:t>
      </w:r>
      <w:bookmarkEnd w:id="51"/>
      <w:r w:rsidRPr="0055191D">
        <w:rPr>
          <w:rFonts w:eastAsiaTheme="minorHAnsi"/>
          <w:lang w:eastAsia="en-US"/>
        </w:rPr>
        <w:t xml:space="preserve"> </w:t>
      </w:r>
    </w:p>
    <w:p w14:paraId="3E73D2FF" w14:textId="62FDAF5A" w:rsidR="00DE27B1" w:rsidRPr="007139F8" w:rsidRDefault="00DE27B1" w:rsidP="00064B9A">
      <w:pPr>
        <w:spacing w:before="120" w:after="120"/>
        <w:ind w:hanging="6"/>
        <w:rPr>
          <w:sz w:val="18"/>
          <w:szCs w:val="18"/>
        </w:rPr>
      </w:pPr>
      <w:r w:rsidRPr="007139F8">
        <w:rPr>
          <w:rStyle w:val="normaltextrun"/>
        </w:rPr>
        <w:t xml:space="preserve">V roku 2023 zrealizovalo aktivitu Raňajky so zamestnávateľmi 18 úradov – Banská Bystrica, Bratislava (2), Dolný Kubín (2), Humenné, Kežmarok, Komárno (2), Košice, Levice, Lučenec, Nitra, Nové Mesto nad Váhom, Nové Zámky (2), Partizánske (2), Považská Bystrica, Stará Ľubovňa (2), Trenčín, Trnava, a Zvolen. Aktivity sa zúčastnilo celkovo 491 zamestnávateľov, </w:t>
      </w:r>
      <w:r w:rsidRPr="007139F8">
        <w:rPr>
          <w:rStyle w:val="scxw28692272"/>
        </w:rPr>
        <w:t> </w:t>
      </w:r>
      <w:r w:rsidRPr="007139F8">
        <w:br/>
      </w:r>
      <w:r w:rsidRPr="007139F8">
        <w:rPr>
          <w:rStyle w:val="normaltextrun"/>
        </w:rPr>
        <w:t xml:space="preserve">starostov, zástupcov miest a obcí a 8 neverejných poskytovateľov služieb zamestnanosti </w:t>
      </w:r>
      <w:r w:rsidR="00265A02">
        <w:rPr>
          <w:rStyle w:val="normaltextrun"/>
        </w:rPr>
        <w:t xml:space="preserve">                  </w:t>
      </w:r>
      <w:r w:rsidRPr="007139F8">
        <w:rPr>
          <w:rStyle w:val="normaltextrun"/>
        </w:rPr>
        <w:t>a neziskových organizácií zaoberajúcich sa integráciou občanov Ukrajiny. </w:t>
      </w:r>
      <w:r w:rsidRPr="007139F8">
        <w:rPr>
          <w:rStyle w:val="eop"/>
          <w:rFonts w:eastAsia="Calibri"/>
        </w:rPr>
        <w:t> </w:t>
      </w:r>
    </w:p>
    <w:p w14:paraId="7C7257C6" w14:textId="77777777" w:rsidR="00DE27B1" w:rsidRPr="007139F8" w:rsidRDefault="00DE27B1" w:rsidP="00ED7654">
      <w:pPr>
        <w:rPr>
          <w:rStyle w:val="normaltextrun"/>
        </w:rPr>
      </w:pPr>
      <w:r w:rsidRPr="007139F8">
        <w:rPr>
          <w:rStyle w:val="normaltextrun"/>
        </w:rPr>
        <w:t>Hlavným cieľom uvedenej aktivity bolo skvalitnenie a prehlbovanie vzájomnej spolupráce, reagovanie na situáciu na trhu práce, informovanie zamestnávateľov o realizovaných národných projektoch o možnostiach využívania služieb, ktoré úrady poskytujú a ďalším vývojom zamestnanosti. </w:t>
      </w:r>
      <w:r w:rsidRPr="007139F8">
        <w:rPr>
          <w:rStyle w:val="eop"/>
          <w:rFonts w:eastAsia="Calibri"/>
        </w:rPr>
        <w:t> </w:t>
      </w:r>
      <w:r w:rsidRPr="007139F8">
        <w:rPr>
          <w:rStyle w:val="normaltextrun"/>
        </w:rPr>
        <w:t xml:space="preserve">Úrady informovali o možnosti využívania štátneho pracovného portálu </w:t>
      </w:r>
      <w:hyperlink r:id="rId15" w:tgtFrame="_blank" w:history="1">
        <w:r w:rsidRPr="007139F8">
          <w:rPr>
            <w:rStyle w:val="normaltextrun"/>
            <w:u w:val="single"/>
          </w:rPr>
          <w:t>www.sluzbyzamestnanosti.gov.sk</w:t>
        </w:r>
      </w:hyperlink>
      <w:r w:rsidRPr="007139F8">
        <w:rPr>
          <w:rStyle w:val="normaltextrun"/>
        </w:rPr>
        <w:t xml:space="preserve"> a ponúkli zamestnávateľom pomoc pri online registrácii na portál a postupe pri vypĺňaní formuláru prihlášky VPM. Zároveň poskytli aktuálne informácie o pripravovaných zmenách v legislatíve súvisiacej so zamestnávaním štátnych príslušníkov tretích krajín a občanov krajín EÚ/EHP a o elektronickom podávaní informačných kariet o pripravovanej zmene preukazovať ročné výkazy plnenia povinného podielu zamestnávania občanov so ZP len elektronickou formou.  Úrady zamestnávateľov informovali o novele zákona o službách zamestnanosti v súvislosti s priznaným štatútom chránenej dielne/chráneného pracoviska. </w:t>
      </w:r>
    </w:p>
    <w:p w14:paraId="499E50A6" w14:textId="03066C9C" w:rsidR="00DE27B1" w:rsidRPr="007139F8" w:rsidRDefault="00DE27B1" w:rsidP="00491871">
      <w:pPr>
        <w:spacing w:before="120" w:after="120"/>
        <w:ind w:hanging="6"/>
        <w:rPr>
          <w:sz w:val="18"/>
          <w:szCs w:val="18"/>
        </w:rPr>
      </w:pPr>
      <w:r w:rsidRPr="007139F8">
        <w:rPr>
          <w:rStyle w:val="normaltextrun"/>
        </w:rPr>
        <w:t xml:space="preserve">Okrem všeobecných informácií o službách zamestnanosti úrady poskytovali informácie </w:t>
      </w:r>
      <w:r w:rsidR="00265A02">
        <w:rPr>
          <w:rStyle w:val="normaltextrun"/>
        </w:rPr>
        <w:t xml:space="preserve">                  </w:t>
      </w:r>
      <w:r w:rsidRPr="007139F8">
        <w:rPr>
          <w:rStyle w:val="normaltextrun"/>
        </w:rPr>
        <w:t xml:space="preserve">o aktívnych opatreniach na trhu práce so zameraním na aktuálne národné projekty, napr. </w:t>
      </w:r>
      <w:r w:rsidR="00265A02">
        <w:rPr>
          <w:rStyle w:val="normaltextrun"/>
          <w:i/>
        </w:rPr>
        <w:t>„</w:t>
      </w:r>
      <w:r w:rsidRPr="00265A02">
        <w:rPr>
          <w:rStyle w:val="normaltextrun"/>
          <w:i/>
        </w:rPr>
        <w:t>Nestrať prácu, vzdelávaj sa"</w:t>
      </w:r>
      <w:r w:rsidRPr="007139F8">
        <w:rPr>
          <w:rStyle w:val="normaltextrun"/>
        </w:rPr>
        <w:t xml:space="preserve">, </w:t>
      </w:r>
      <w:r w:rsidR="00265A02">
        <w:rPr>
          <w:rStyle w:val="normaltextrun"/>
          <w:i/>
        </w:rPr>
        <w:t>„</w:t>
      </w:r>
      <w:r w:rsidRPr="00265A02">
        <w:rPr>
          <w:rStyle w:val="normaltextrun"/>
          <w:i/>
        </w:rPr>
        <w:t>Chyť sa svojej šance"</w:t>
      </w:r>
      <w:r w:rsidRPr="007139F8">
        <w:rPr>
          <w:rStyle w:val="normaltextrun"/>
        </w:rPr>
        <w:t>. Úrady tiež inf</w:t>
      </w:r>
      <w:r w:rsidR="00265A02">
        <w:rPr>
          <w:rStyle w:val="normaltextrun"/>
        </w:rPr>
        <w:t>ormovali prítomných o zriadení b</w:t>
      </w:r>
      <w:r w:rsidRPr="007139F8">
        <w:rPr>
          <w:rStyle w:val="normaltextrun"/>
        </w:rPr>
        <w:t>ezplatného dlhového poradenstva a možnosti využitia jeho služieb.</w:t>
      </w:r>
      <w:r w:rsidR="00265A02">
        <w:rPr>
          <w:rStyle w:val="eop"/>
          <w:rFonts w:eastAsia="Calibri"/>
        </w:rPr>
        <w:t xml:space="preserve"> Zaoberali </w:t>
      </w:r>
      <w:r w:rsidRPr="007139F8">
        <w:rPr>
          <w:rStyle w:val="eop"/>
          <w:rFonts w:eastAsia="Calibri"/>
        </w:rPr>
        <w:t>sa</w:t>
      </w:r>
      <w:r w:rsidR="00265A02">
        <w:rPr>
          <w:rStyle w:val="eop"/>
          <w:rFonts w:eastAsia="Calibri"/>
        </w:rPr>
        <w:t xml:space="preserve"> aj</w:t>
      </w:r>
      <w:r w:rsidRPr="007139F8">
        <w:rPr>
          <w:rStyle w:val="eop"/>
          <w:rFonts w:eastAsia="Calibri"/>
        </w:rPr>
        <w:t xml:space="preserve"> demografickým vývo</w:t>
      </w:r>
      <w:r w:rsidR="00265A02">
        <w:rPr>
          <w:rStyle w:val="eop"/>
          <w:rFonts w:eastAsia="Calibri"/>
        </w:rPr>
        <w:t>jom a trendmi v ponuke</w:t>
      </w:r>
      <w:r w:rsidRPr="007139F8">
        <w:rPr>
          <w:rStyle w:val="eop"/>
          <w:rFonts w:eastAsia="Calibri"/>
        </w:rPr>
        <w:t xml:space="preserve"> pracovnej sily, nedostatkom kvalifikovanej pracovnej sily, nedostatkovými profesiami z pohľadu zamestnávania štátnych príslušníkov tretích krajín.  </w:t>
      </w:r>
    </w:p>
    <w:p w14:paraId="5988C4BF" w14:textId="77777777" w:rsidR="00DE27B1" w:rsidRPr="007139F8" w:rsidRDefault="00DE27B1" w:rsidP="00ED7654">
      <w:pPr>
        <w:rPr>
          <w:rStyle w:val="eop"/>
          <w:rFonts w:eastAsia="Calibri"/>
        </w:rPr>
      </w:pPr>
      <w:r w:rsidRPr="007139F8">
        <w:rPr>
          <w:rStyle w:val="normaltextrun"/>
        </w:rPr>
        <w:t xml:space="preserve">Spoločne prebrali pracovnú migráciu z tretích krajín a jej vplyv na regionálny trh práce, pracovné príležitosti pre občanov Ukrajiny s dočasným útočiskom, informovali o poskytovaní sociálnej pomoci odídencom z Ukrajiny, vysvetlili pravidlá v poskytovaní pomoci v hmotnej núdzi odídencom z Ukrajiny, proces začlenenia odídencov do systému sociálneho zabezpečenia. Poskytli informácie o možnostiach zamestnať štátneho príslušníka tretej krajiny, ktorému bolo poskytnuté dočasné útočisko. Stretnutí sa okrem zamestnávateľov zúčastňovali aj  neziskové </w:t>
      </w:r>
      <w:r w:rsidRPr="007139F8">
        <w:rPr>
          <w:rStyle w:val="normaltextrun"/>
        </w:rPr>
        <w:lastRenderedPageBreak/>
        <w:t>organizácie a poskytovatelia sociálnych služieb, vrátane tých, ktoré sa zaoberajú integráciou občanov Ukrajiny, ktorí získali na Slovensku status dočasného útočiska.</w:t>
      </w:r>
      <w:r w:rsidRPr="007139F8">
        <w:rPr>
          <w:rStyle w:val="eop"/>
          <w:rFonts w:eastAsia="Calibri"/>
        </w:rPr>
        <w:t> </w:t>
      </w:r>
    </w:p>
    <w:p w14:paraId="6EF0C86C" w14:textId="77777777" w:rsidR="00DE27B1" w:rsidRDefault="00DE27B1" w:rsidP="00DE27B1">
      <w:pPr>
        <w:pStyle w:val="Nadpis30"/>
        <w:tabs>
          <w:tab w:val="left" w:pos="567"/>
        </w:tabs>
        <w:spacing w:before="240" w:after="120"/>
        <w:ind w:hanging="6"/>
      </w:pPr>
      <w:bookmarkStart w:id="52" w:name="_Toc173741548"/>
      <w:r w:rsidRPr="0055191D">
        <w:t>2.1.6</w:t>
      </w:r>
      <w:r w:rsidRPr="0055191D">
        <w:tab/>
        <w:t>Európske služby zamestnanosti /EURES/ pre zamestnávateľov</w:t>
      </w:r>
      <w:r>
        <w:t xml:space="preserve"> – NP SHP II.</w:t>
      </w:r>
      <w:bookmarkEnd w:id="52"/>
    </w:p>
    <w:p w14:paraId="5ECE87CC" w14:textId="5B3E0AC5" w:rsidR="00DE27B1" w:rsidRPr="0049393E" w:rsidRDefault="00DE27B1" w:rsidP="00DE27B1">
      <w:pPr>
        <w:ind w:firstLine="0"/>
      </w:pPr>
      <w:r w:rsidRPr="0049393E">
        <w:t xml:space="preserve">Hlavným cieľom NP bolo zvýšenie dostupnosti a kvality odborných služieb poskytovaných v oblasti mobility pracovnej sily v rámci Európskej únie/Európskeho hospodárskeho priestoru (ďalej len „EÚ/EHP“) a Švajčiarska prostredníctvom siete EURES. Skvalitnenie verejných služieb zamestnanosti, služieb EURES prispeje k </w:t>
      </w:r>
      <w:r w:rsidRPr="0049393E">
        <w:rPr>
          <w:rFonts w:ascii="Arial" w:hAnsi="Arial" w:cs="Arial"/>
        </w:rPr>
        <w:t> </w:t>
      </w:r>
      <w:r w:rsidRPr="0049393E">
        <w:t>zlep</w:t>
      </w:r>
      <w:r w:rsidRPr="0049393E">
        <w:rPr>
          <w:rFonts w:cs="Arial Narrow"/>
        </w:rPr>
        <w:t>š</w:t>
      </w:r>
      <w:r w:rsidRPr="0049393E">
        <w:t>eniu</w:t>
      </w:r>
      <w:r>
        <w:t xml:space="preserve"> </w:t>
      </w:r>
      <w:r w:rsidRPr="0049393E">
        <w:t>postavenia UoZ na TP v rámci pracovného trhu EÚ/EHP a Švajčiarska, k zvýšeniu ich zamestnanosti a zamestnateľnosti, zlepšeniu prepojenia verejných a neverejných služieb zamestnanosti a spolupráce so zamestnávateľmi a školami. Realizáciou NP sa prispeje k uľahčeniu voľného pohybu pracovnej sily v rámci EÚ/EHP a k zníženiu nezamestnanosti, tak na Slovensku, ako aj celkovo v krajinách EÚ/EHP. </w:t>
      </w:r>
    </w:p>
    <w:p w14:paraId="343C8735" w14:textId="77777777" w:rsidR="00DE27B1" w:rsidRPr="0049393E" w:rsidRDefault="00DE27B1" w:rsidP="00DE27B1">
      <w:pPr>
        <w:spacing w:before="120" w:after="0"/>
        <w:ind w:firstLine="0"/>
      </w:pPr>
      <w:r w:rsidRPr="0049393E">
        <w:t>Na úradoch bolo v roku 2023 prostredníctvom siete EURES poskytnuté poradenstvo 17 346 klientom (14 123 záujemcovia o prácu + 3 223 zahraniční zamestnávatelia).</w:t>
      </w:r>
    </w:p>
    <w:p w14:paraId="111BDDE3" w14:textId="77777777" w:rsidR="00DE27B1" w:rsidRPr="0049393E" w:rsidRDefault="00DE27B1" w:rsidP="00DE27B1">
      <w:pPr>
        <w:spacing w:before="120" w:after="0"/>
      </w:pPr>
      <w:r w:rsidRPr="0049393E">
        <w:t>Poradenstvá boli poskytované osobne, mailom, telefonicky alebo v online priestore.</w:t>
      </w:r>
    </w:p>
    <w:p w14:paraId="751C1AF0" w14:textId="77777777" w:rsidR="00DE27B1" w:rsidRPr="0049393E" w:rsidRDefault="00DE27B1" w:rsidP="00DE27B1">
      <w:pPr>
        <w:spacing w:before="120" w:after="0"/>
      </w:pPr>
      <w:r w:rsidRPr="0049393E">
        <w:t>Najväčší počet poskytnutého poradenstva bol pre záujemcov vo veku 25 – 54 rokov, prevládali záujemcovia s ukončeným stredoškolským vzdelaním s maturitou.</w:t>
      </w:r>
    </w:p>
    <w:p w14:paraId="52426259" w14:textId="77777777" w:rsidR="00DE27B1" w:rsidRPr="0049393E" w:rsidRDefault="00DE27B1" w:rsidP="00DE27B1">
      <w:pPr>
        <w:spacing w:before="120" w:after="0"/>
        <w:ind w:firstLine="0"/>
      </w:pPr>
      <w:r w:rsidRPr="0049393E">
        <w:t>EURES cieľovou skupinou sú aj zamestnávatelia z krajín EÚ/EHP, ktorých ponúkané pracovné pozície sú uverejňované na webovej stránke a ponúkané záujemcom. Počet kontaktov so zamestnávateľmi – </w:t>
      </w:r>
      <w:r w:rsidRPr="0049393E">
        <w:rPr>
          <w:bCs/>
        </w:rPr>
        <w:t>3 223.</w:t>
      </w:r>
    </w:p>
    <w:p w14:paraId="57C3BF3B" w14:textId="77777777" w:rsidR="00DE27B1" w:rsidRPr="0049393E" w:rsidRDefault="00DE27B1" w:rsidP="00DE27B1">
      <w:pPr>
        <w:spacing w:before="120" w:after="0"/>
      </w:pPr>
      <w:r w:rsidRPr="0049393E">
        <w:t>Počet uverejnených voľných pracovných miest na stránke eures.sk – </w:t>
      </w:r>
      <w:r w:rsidRPr="0049393E">
        <w:rPr>
          <w:bCs/>
        </w:rPr>
        <w:t>4 477</w:t>
      </w:r>
      <w:r w:rsidRPr="0049393E">
        <w:t>, zverejnených v rámci 773 pracovných ponúk. Najviac zverejnených ponúk bolo v mesiacoch: apríl, január, marec, apríl a júl.</w:t>
      </w:r>
    </w:p>
    <w:p w14:paraId="0B8C1E8B" w14:textId="77777777" w:rsidR="00DE27B1" w:rsidRPr="0049393E" w:rsidRDefault="00DE27B1" w:rsidP="00DE27B1">
      <w:pPr>
        <w:spacing w:before="120" w:after="0"/>
        <w:ind w:firstLine="0"/>
        <w:rPr>
          <w:bCs/>
        </w:rPr>
      </w:pPr>
      <w:r w:rsidRPr="0049393E">
        <w:t>Počet prijatých životopisov, žiadostí o zamestnanie alebo motivačných listov, ktoré prijali EURES poradcovia od záujemcov o prácu v krajinách EÚ/EHP – </w:t>
      </w:r>
      <w:r w:rsidRPr="0049393E">
        <w:rPr>
          <w:bCs/>
        </w:rPr>
        <w:t>3 349. 84% životopisov zaslali záujemcovia zo Slovenska, 16% predstavovali životopisy záujemcov o prácu z iných krajín.</w:t>
      </w:r>
    </w:p>
    <w:p w14:paraId="197C6163" w14:textId="77777777" w:rsidR="00DE27B1" w:rsidRPr="0049393E" w:rsidRDefault="00DE27B1" w:rsidP="00DE27B1">
      <w:pPr>
        <w:spacing w:before="120" w:after="0"/>
        <w:rPr>
          <w:bCs/>
        </w:rPr>
      </w:pPr>
      <w:r w:rsidRPr="0049393E">
        <w:t xml:space="preserve">Počet zamestnaných prostredníctvom siete EURES – </w:t>
      </w:r>
      <w:r w:rsidRPr="0049393E">
        <w:rPr>
          <w:bCs/>
        </w:rPr>
        <w:t>1 167, najmä v krajinách Rakúsko, Nemecko, Česká republika, Holandsko, Maďarsko.</w:t>
      </w:r>
    </w:p>
    <w:p w14:paraId="53B0D0DB" w14:textId="77777777" w:rsidR="00DE27B1" w:rsidRPr="0049393E" w:rsidRDefault="00DE27B1" w:rsidP="00DE27B1">
      <w:pPr>
        <w:spacing w:before="120" w:after="0"/>
        <w:ind w:firstLine="0"/>
      </w:pPr>
      <w:r w:rsidRPr="0049393E">
        <w:t>Hlavným koordinátorom všetkých aktivít bola EURES Národná koordinačná kancelária (NKK) ústredia a jednotlivé aktivity realizovali vyškolení EURES poradcovia pôsobiaci na úradoch. </w:t>
      </w:r>
    </w:p>
    <w:p w14:paraId="41493CBF" w14:textId="77777777" w:rsidR="00DE27B1" w:rsidRDefault="00DE27B1" w:rsidP="00DE27B1">
      <w:pPr>
        <w:pStyle w:val="Nadpis30"/>
        <w:tabs>
          <w:tab w:val="left" w:pos="567"/>
        </w:tabs>
        <w:spacing w:before="240" w:after="120"/>
        <w:ind w:left="6" w:hanging="6"/>
      </w:pPr>
      <w:bookmarkStart w:id="53" w:name="_Toc173741549"/>
      <w:r w:rsidRPr="0055191D">
        <w:t>2.1.7</w:t>
      </w:r>
      <w:r w:rsidRPr="0055191D">
        <w:tab/>
        <w:t>Výberové pohovory pre záujemcov o prácu v krajinách EÚ/EHP</w:t>
      </w:r>
      <w:bookmarkEnd w:id="53"/>
    </w:p>
    <w:p w14:paraId="31AC4766" w14:textId="2063B1EC" w:rsidR="00DE27B1" w:rsidRDefault="00DE27B1" w:rsidP="00DE27B1">
      <w:pPr>
        <w:widowControl w:val="0"/>
        <w:suppressAutoHyphens/>
        <w:spacing w:after="0"/>
        <w:rPr>
          <w:rFonts w:eastAsia="Lucida Sans Unicode"/>
          <w:b/>
          <w:color w:val="000000" w:themeColor="text1"/>
        </w:rPr>
      </w:pPr>
      <w:r>
        <w:rPr>
          <w:rFonts w:eastAsia="Lucida Sans Unicode"/>
          <w:b/>
          <w:color w:val="000000" w:themeColor="text1"/>
        </w:rPr>
        <w:t>Výberové pohovory a stáže</w:t>
      </w:r>
    </w:p>
    <w:p w14:paraId="393BEFFE" w14:textId="1000EE64" w:rsidR="00DE27B1" w:rsidRDefault="00DE27B1" w:rsidP="00DE27B1">
      <w:pPr>
        <w:widowControl w:val="0"/>
        <w:suppressAutoHyphens/>
        <w:spacing w:before="120" w:after="0"/>
        <w:ind w:hanging="6"/>
        <w:rPr>
          <w:rFonts w:eastAsia="Lucida Sans Unicode"/>
        </w:rPr>
      </w:pPr>
      <w:r>
        <w:rPr>
          <w:rFonts w:eastAsia="Lucida Sans Unicode"/>
        </w:rPr>
        <w:t xml:space="preserve">Sieť EURES zorganizovala počas roka 2023 dve výberové pohovory a to do Holandska </w:t>
      </w:r>
      <w:r w:rsidR="00CD753A">
        <w:rPr>
          <w:rFonts w:eastAsia="Lucida Sans Unicode"/>
        </w:rPr>
        <w:t xml:space="preserve">                    </w:t>
      </w:r>
      <w:r>
        <w:rPr>
          <w:rFonts w:eastAsia="Lucida Sans Unicode"/>
        </w:rPr>
        <w:t>a Maďarska. Holandský zamestnávateľ ponúkal prácu v lodnej doprave na pozíciách: lodník, námorník a kapitán na riečne lode. Celkový počet pozvaných záujemcov 30, z toho prítomných na pohovore 8 a 3 osoby boli zamestnané.</w:t>
      </w:r>
    </w:p>
    <w:p w14:paraId="4B72B83E" w14:textId="77777777" w:rsidR="00DE27B1" w:rsidRDefault="00DE27B1" w:rsidP="00DE27B1">
      <w:pPr>
        <w:widowControl w:val="0"/>
        <w:suppressAutoHyphens/>
        <w:spacing w:after="0"/>
        <w:rPr>
          <w:rFonts w:eastAsia="Lucida Sans Unicode"/>
        </w:rPr>
      </w:pPr>
      <w:r>
        <w:rPr>
          <w:rFonts w:eastAsia="Lucida Sans Unicode"/>
        </w:rPr>
        <w:t>Maďarský zamestnávateľ ponúkal prácu v priemyselnej oblasti a doprave na pozíciách: kontrolór kvality, operátor vo výrobe, pracovník údržby a vodič VZV. Celkový počet účastníkov na pohovore 58  a počet zamestnaných 12.</w:t>
      </w:r>
    </w:p>
    <w:p w14:paraId="724B8EBF" w14:textId="59AB8D1D" w:rsidR="00DE27B1" w:rsidRDefault="00DE27B1" w:rsidP="003E3EC7">
      <w:pPr>
        <w:spacing w:before="240" w:after="0"/>
        <w:ind w:hanging="6"/>
        <w:rPr>
          <w:b/>
          <w:bCs/>
          <w:color w:val="000000" w:themeColor="text1"/>
        </w:rPr>
      </w:pPr>
      <w:r>
        <w:rPr>
          <w:b/>
          <w:bCs/>
          <w:color w:val="000000" w:themeColor="text1"/>
        </w:rPr>
        <w:t>Stážové pobyty</w:t>
      </w:r>
    </w:p>
    <w:p w14:paraId="57B037FC" w14:textId="77777777" w:rsidR="00DE27B1" w:rsidRDefault="00DE27B1" w:rsidP="00DE27B1">
      <w:pPr>
        <w:spacing w:before="120" w:after="0"/>
        <w:ind w:hanging="6"/>
        <w:rPr>
          <w:b/>
          <w:bCs/>
        </w:rPr>
      </w:pPr>
      <w:r>
        <w:t xml:space="preserve">Sieť EURES Slovensko realizovala pre spoločnosť Sani/Ikos Group nábor na celkom 40 voľných pracovných miest pre stážistov na pracovné pozície kuchárov, pomocných kuchárov, recepčných, čašníkov a pomocných čašníkov a hostesiek. </w:t>
      </w:r>
    </w:p>
    <w:p w14:paraId="1E60AF77" w14:textId="77777777" w:rsidR="00DE27B1" w:rsidRDefault="00DE27B1" w:rsidP="00DE27B1">
      <w:pPr>
        <w:spacing w:after="0"/>
      </w:pPr>
      <w:r>
        <w:lastRenderedPageBreak/>
        <w:t>Záujemcovia o stážové pobyty boli najmä študentami z Michaloviec - zo Strednej odbornej školy obchodu a služieb, Obchodnej akadémie, Hotelovej akadémie a Súkromnej hotelovej akadémie. V roku 2023 sa nám na stáž hlásili aj študenti z celej SR.</w:t>
      </w:r>
    </w:p>
    <w:p w14:paraId="7E3837CD" w14:textId="4CE6F9DD" w:rsidR="00DE27B1" w:rsidRDefault="00DE27B1" w:rsidP="00DE27B1">
      <w:pPr>
        <w:spacing w:after="0"/>
        <w:rPr>
          <w:sz w:val="20"/>
          <w:szCs w:val="20"/>
        </w:rPr>
      </w:pPr>
      <w:r>
        <w:t>Vzhľadom na to, že zamestnávateľ umiestnil v rámci svojich rezortov počas aktuálnej letnej sezóny 25 študentov zo Slovenska, dostali EURES poradcovia možnosť oboznámiť sa s pracovnými podmienkami vo vybraných rezortoch, v ktorých slovenskí stážisti pôsobia, ako aj s podmienkami ubytovania a dohodnúť kritériá budúcej spolupráce</w:t>
      </w:r>
      <w:r>
        <w:rPr>
          <w:sz w:val="20"/>
          <w:szCs w:val="20"/>
        </w:rPr>
        <w:t>.</w:t>
      </w:r>
    </w:p>
    <w:p w14:paraId="4DC1AFEE" w14:textId="77777777" w:rsidR="00DE27B1" w:rsidRDefault="00DE27B1" w:rsidP="00DE27B1">
      <w:pPr>
        <w:pStyle w:val="Nadpis20"/>
        <w:tabs>
          <w:tab w:val="left" w:pos="567"/>
        </w:tabs>
      </w:pPr>
      <w:bookmarkStart w:id="54" w:name="_Toc173741550"/>
      <w:r>
        <w:t>2.2</w:t>
      </w:r>
      <w:r>
        <w:tab/>
        <w:t>Sprostredkovanie zamestnania</w:t>
      </w:r>
      <w:bookmarkEnd w:id="54"/>
      <w:r>
        <w:t xml:space="preserve"> </w:t>
      </w:r>
    </w:p>
    <w:p w14:paraId="1A870C10" w14:textId="77777777" w:rsidR="00DE27B1" w:rsidRPr="0055191D" w:rsidRDefault="00DE27B1" w:rsidP="00DE27B1">
      <w:pPr>
        <w:spacing w:before="120" w:after="0"/>
        <w:ind w:hanging="6"/>
        <w:rPr>
          <w:color w:val="000000" w:themeColor="text1"/>
          <w:sz w:val="22"/>
          <w:szCs w:val="22"/>
        </w:rPr>
      </w:pPr>
      <w:r w:rsidRPr="0055191D">
        <w:rPr>
          <w:color w:val="000000" w:themeColor="text1"/>
        </w:rPr>
        <w:t>Zamestnanci oddelenia služieb pre občana, resp. oddelenia sprostredkovania práce úradov, poskytovali v priebehu roka 2023 klientom služby v oblasti zamestnanosti</w:t>
      </w:r>
      <w:r>
        <w:rPr>
          <w:color w:val="000000" w:themeColor="text1"/>
        </w:rPr>
        <w:t>.</w:t>
      </w:r>
    </w:p>
    <w:p w14:paraId="49E68A0B" w14:textId="47C05FE7" w:rsidR="00DE27B1" w:rsidRPr="0055191D" w:rsidRDefault="00DE27B1" w:rsidP="00DE27B1">
      <w:pPr>
        <w:spacing w:before="120" w:after="0"/>
        <w:ind w:hanging="6"/>
        <w:rPr>
          <w:color w:val="000000" w:themeColor="text1"/>
        </w:rPr>
      </w:pPr>
      <w:r w:rsidRPr="0055191D">
        <w:rPr>
          <w:color w:val="000000" w:themeColor="text1"/>
        </w:rPr>
        <w:t>Od 15.09.2023 t.</w:t>
      </w:r>
      <w:r>
        <w:rPr>
          <w:color w:val="000000" w:themeColor="text1"/>
        </w:rPr>
        <w:t xml:space="preserve"> </w:t>
      </w:r>
      <w:r w:rsidRPr="0055191D">
        <w:rPr>
          <w:color w:val="000000" w:themeColor="text1"/>
        </w:rPr>
        <w:t xml:space="preserve">j. odo dňa zrušenia mimoriadnej situácie v súvislosti s ochorením Covid-19 si občania nemohli podávať žiadosť o zaradenie do evidencie UoZ (ktorá je zároveň aj žiadosťou o priznanie dávky v nezamestnanosti), elektronicky (e-mailom) a ani poštou. Od uvedeného dátumu si občania mohli podávať žiadosť už iba osobne alebo elektronickými prostriedkami s kvalifikovaným elektronickým podpisom prostredníctvom portálu </w:t>
      </w:r>
      <w:hyperlink r:id="rId16" w:history="1">
        <w:r w:rsidRPr="0055191D">
          <w:rPr>
            <w:rStyle w:val="Hypertextovprepojenie"/>
            <w:color w:val="000000" w:themeColor="text1"/>
          </w:rPr>
          <w:t>www.slovensko.sk</w:t>
        </w:r>
      </w:hyperlink>
      <w:r w:rsidRPr="0055191D">
        <w:rPr>
          <w:color w:val="000000" w:themeColor="text1"/>
        </w:rPr>
        <w:t xml:space="preserve"> alebo odoslaním žiadosti prostredníctvom prístupového miesta, ktoré vyžaduje úspešnú autentifikáciu občana.</w:t>
      </w:r>
    </w:p>
    <w:p w14:paraId="2C4AA5BC" w14:textId="77777777" w:rsidR="00DE27B1" w:rsidRPr="0055191D" w:rsidRDefault="00DE27B1" w:rsidP="00DE27B1">
      <w:pPr>
        <w:spacing w:before="120" w:after="0"/>
        <w:ind w:hanging="6"/>
        <w:rPr>
          <w:color w:val="000000" w:themeColor="text1"/>
        </w:rPr>
      </w:pPr>
      <w:r w:rsidRPr="0055191D">
        <w:rPr>
          <w:color w:val="000000" w:themeColor="text1"/>
        </w:rPr>
        <w:t>Občania pri podaní žiadosti dostávali  na úrade základné informácie o podmienkach vzniku nároku na dávku v nezamestnanosti, ktorej posudzovanie, priznanie a vyplácanie je v kompetencii Sociálnej poisťovne.</w:t>
      </w:r>
    </w:p>
    <w:p w14:paraId="46C4D9B0" w14:textId="77777777" w:rsidR="00DE27B1" w:rsidRDefault="00DE27B1" w:rsidP="00DE27B1">
      <w:pPr>
        <w:pStyle w:val="Nadpis20"/>
        <w:tabs>
          <w:tab w:val="left" w:pos="567"/>
        </w:tabs>
        <w:jc w:val="both"/>
      </w:pPr>
      <w:bookmarkStart w:id="55" w:name="_Toc173741551"/>
      <w:r>
        <w:t>2.3</w:t>
      </w:r>
      <w:r>
        <w:tab/>
        <w:t>Informačné a poradenské služby pre uchádzačov o zamestnanie a záujemcov</w:t>
      </w:r>
      <w:r>
        <w:br/>
        <w:t xml:space="preserve">          o zamestnanie</w:t>
      </w:r>
      <w:bookmarkEnd w:id="55"/>
    </w:p>
    <w:p w14:paraId="08E01E37" w14:textId="5714D83F" w:rsidR="00DE27B1" w:rsidRDefault="00DE27B1" w:rsidP="00DE27B1">
      <w:pPr>
        <w:spacing w:before="120" w:after="120"/>
        <w:ind w:firstLine="0"/>
        <w:rPr>
          <w:rFonts w:eastAsia="Calibri"/>
          <w:lang w:eastAsia="en-US"/>
        </w:rPr>
      </w:pPr>
      <w:r>
        <w:rPr>
          <w:rFonts w:eastAsia="Calibri"/>
          <w:lang w:eastAsia="en-US"/>
        </w:rPr>
        <w:t xml:space="preserve">IaPS, ako jeden z nástrojov pomoci a podpory účastníkom TP pri voľbe povolania, výbere zamestnania, vrátane jeho zmeny a pri výbere a </w:t>
      </w:r>
      <w:r>
        <w:rPr>
          <w:lang w:eastAsia="en-US"/>
        </w:rPr>
        <w:t>adaptácii zamestnanca v novom zamestnaní</w:t>
      </w:r>
      <w:r>
        <w:rPr>
          <w:rFonts w:eastAsia="Calibri"/>
          <w:lang w:eastAsia="en-US"/>
        </w:rPr>
        <w:t xml:space="preserve">, </w:t>
      </w:r>
      <w:r>
        <w:rPr>
          <w:bCs/>
          <w:lang w:eastAsia="en-US"/>
        </w:rPr>
        <w:t xml:space="preserve">predstavovali aj naďalej v priebehu roku 2023 </w:t>
      </w:r>
      <w:r>
        <w:rPr>
          <w:lang w:eastAsia="en-US"/>
        </w:rPr>
        <w:t>dôležitú súčasť ovplyvňovania TP súvisiacu                      so sprostredkovaním zamestnania</w:t>
      </w:r>
      <w:r>
        <w:rPr>
          <w:b/>
          <w:lang w:eastAsia="en-US"/>
        </w:rPr>
        <w:t xml:space="preserve">. </w:t>
      </w:r>
      <w:r>
        <w:rPr>
          <w:lang w:eastAsia="en-US"/>
        </w:rPr>
        <w:t>N</w:t>
      </w:r>
      <w:r>
        <w:rPr>
          <w:rFonts w:eastAsia="Calibri"/>
          <w:lang w:eastAsia="en-US"/>
        </w:rPr>
        <w:t xml:space="preserve">ielen ponuka PM pre klientov, ale aj ponuka aktivít, ktorých ambíciou bolo podporiť úsilie UoZ/ZoZ/odídencov z Ukrajiny pri ich začleňovaní sa na TP </w:t>
      </w:r>
      <w:r>
        <w:rPr>
          <w:rFonts w:eastAsia="Calibri"/>
          <w:lang w:eastAsia="en-US"/>
        </w:rPr>
        <w:br/>
        <w:t xml:space="preserve">poskytnutím potrebných informácií a sprostredkovaním užitočných kontaktov. </w:t>
      </w:r>
    </w:p>
    <w:p w14:paraId="18F3DF54" w14:textId="61A50DF5" w:rsidR="00DE27B1" w:rsidRDefault="00DE27B1" w:rsidP="00DE27B1">
      <w:pPr>
        <w:spacing w:before="120" w:after="0"/>
        <w:ind w:firstLine="0"/>
        <w:rPr>
          <w:rFonts w:eastAsia="Calibri"/>
          <w:lang w:eastAsia="en-US"/>
        </w:rPr>
      </w:pPr>
      <w:r>
        <w:rPr>
          <w:rFonts w:eastAsia="Calibri"/>
          <w:lang w:eastAsia="en-US"/>
        </w:rPr>
        <w:t>Zamestnanci oddelení sprostredkovania práce resp. oddelení služieb pre občana vytvárali UoZ profil na prvý štátny pracovný portáli Služby zamestnanosti</w:t>
      </w:r>
      <w:r w:rsidR="00147F61">
        <w:rPr>
          <w:rFonts w:eastAsia="Calibri"/>
          <w:lang w:eastAsia="en-US"/>
        </w:rPr>
        <w:t xml:space="preserve"> </w:t>
      </w:r>
      <w:hyperlink r:id="rId17" w:history="1">
        <w:r w:rsidR="00147F61" w:rsidRPr="00147F61">
          <w:rPr>
            <w:rStyle w:val="Hypertextovprepojenie"/>
            <w:rFonts w:eastAsia="Calibri"/>
            <w:lang w:eastAsia="en-US"/>
          </w:rPr>
          <w:t>pozrieť tu</w:t>
        </w:r>
      </w:hyperlink>
      <w:r>
        <w:rPr>
          <w:rFonts w:eastAsia="Calibri"/>
          <w:lang w:eastAsia="en-US"/>
        </w:rPr>
        <w:t>, ktorý bol spustený do prevádzky 1. 2. 2022, poskytovali im  prihlasovacie údaje na tento pracovný portál a poučili ich o možnostiach využívania portálu (po aktivácii svojho konta si môže UoZ prehliadať všetky pracovné ponuky, reagovať na vhodné PM a môže si aj aktivov</w:t>
      </w:r>
      <w:r w:rsidR="00147F61">
        <w:rPr>
          <w:rFonts w:eastAsia="Calibri"/>
          <w:lang w:eastAsia="en-US"/>
        </w:rPr>
        <w:t>ať agenta</w:t>
      </w:r>
      <w:r>
        <w:rPr>
          <w:rFonts w:eastAsia="Calibri"/>
          <w:lang w:eastAsia="en-US"/>
        </w:rPr>
        <w:t xml:space="preserve"> pre vyhľadávanie vhodných VPM, pričom vhodné ponuky generuje systém na zák</w:t>
      </w:r>
      <w:r w:rsidR="00147F61">
        <w:rPr>
          <w:rFonts w:eastAsia="Calibri"/>
          <w:lang w:eastAsia="en-US"/>
        </w:rPr>
        <w:t xml:space="preserve">lade údajov </w:t>
      </w:r>
      <w:r>
        <w:rPr>
          <w:rFonts w:eastAsia="Calibri"/>
          <w:lang w:eastAsia="en-US"/>
        </w:rPr>
        <w:t>v profile UoZ).</w:t>
      </w:r>
    </w:p>
    <w:p w14:paraId="5ECB4798" w14:textId="0CF86A8A" w:rsidR="00DE27B1" w:rsidRPr="00DF2100" w:rsidRDefault="00DE27B1" w:rsidP="00DE27B1">
      <w:pPr>
        <w:spacing w:before="120" w:after="0"/>
        <w:ind w:firstLine="0"/>
        <w:rPr>
          <w:rFonts w:eastAsia="Calibri"/>
          <w:lang w:eastAsia="en-US"/>
        </w:rPr>
      </w:pPr>
      <w:r w:rsidRPr="00DF2100">
        <w:rPr>
          <w:rFonts w:eastAsia="Calibri"/>
          <w:lang w:eastAsia="en-US"/>
        </w:rPr>
        <w:t>Aj v priebehu roku 2023 sa pokračovalo na úradoch s poskytovaním informačného poradenstva (pri adaptácii v novom zamestnaní, pri výbere zamestnania) odídencom, ktorí po vyplnení “Dotazníka pre občana Ukrajiny” (uvádzajú sa v ňom jazykové znalosti,  dosiahnutý stupeň vzdelania, v akej oblasti odídenec pracoval, ako dlho, a o akú prácu má záujem) boli registrovaní na úrade ako odídenci hľadajúci si zamestnanie a boli im poskytnuté prihlasovacie údaje na portál Služby zamestnanosti, ktorý je aj v ukrajinskej m</w:t>
      </w:r>
      <w:r>
        <w:rPr>
          <w:rFonts w:eastAsia="Calibri"/>
          <w:lang w:eastAsia="en-US"/>
        </w:rPr>
        <w:t>utácii</w:t>
      </w:r>
      <w:r w:rsidR="00147F61">
        <w:rPr>
          <w:rFonts w:eastAsia="Calibri"/>
          <w:lang w:eastAsia="en-US"/>
        </w:rPr>
        <w:t xml:space="preserve"> </w:t>
      </w:r>
      <w:hyperlink r:id="rId18" w:history="1">
        <w:r w:rsidR="00147F61" w:rsidRPr="00147F61">
          <w:rPr>
            <w:rStyle w:val="Hypertextovprepojenie"/>
            <w:rFonts w:eastAsia="Calibri"/>
            <w:lang w:eastAsia="en-US"/>
          </w:rPr>
          <w:t>tu</w:t>
        </w:r>
      </w:hyperlink>
      <w:r w:rsidRPr="00DF2100">
        <w:rPr>
          <w:rFonts w:eastAsia="Calibri"/>
          <w:lang w:eastAsia="en-US"/>
        </w:rPr>
        <w:t>, spolu s</w:t>
      </w:r>
      <w:r w:rsidR="00147F61">
        <w:rPr>
          <w:rFonts w:eastAsia="Calibri"/>
          <w:lang w:eastAsia="en-US"/>
        </w:rPr>
        <w:t> </w:t>
      </w:r>
      <w:r w:rsidRPr="00DF2100">
        <w:rPr>
          <w:rFonts w:eastAsia="Calibri"/>
          <w:lang w:eastAsia="en-US"/>
        </w:rPr>
        <w:t>postupom</w:t>
      </w:r>
      <w:r w:rsidR="00147F61">
        <w:rPr>
          <w:rFonts w:eastAsia="Calibri"/>
          <w:lang w:eastAsia="en-US"/>
        </w:rPr>
        <w:t>,</w:t>
      </w:r>
      <w:r w:rsidRPr="00DF2100">
        <w:rPr>
          <w:rFonts w:eastAsia="Calibri"/>
          <w:lang w:eastAsia="en-US"/>
        </w:rPr>
        <w:t xml:space="preserve"> ako sa na portál prihlásiť a ako s ním pracovať (rovnako ako UoZ).    </w:t>
      </w:r>
    </w:p>
    <w:p w14:paraId="37868742" w14:textId="328E9720" w:rsidR="00DE27B1" w:rsidRPr="00DF2100" w:rsidRDefault="00DE27B1" w:rsidP="00DE27B1">
      <w:pPr>
        <w:spacing w:before="120" w:after="0"/>
        <w:ind w:firstLine="0"/>
        <w:rPr>
          <w:rFonts w:eastAsia="Calibri"/>
          <w:lang w:eastAsia="en-US"/>
        </w:rPr>
      </w:pPr>
      <w:r w:rsidRPr="00DF2100">
        <w:rPr>
          <w:rFonts w:eastAsia="Calibri"/>
          <w:lang w:eastAsia="en-US"/>
        </w:rPr>
        <w:t xml:space="preserve">Od začiatku poskytovania informačného poradenstva odídencom (1. štvrťrok 2022) k 31. 12. 2023 bolo informačné poradenstvo poskytnuté 15 592 odídencom, pričom v priebehu roku 2023 bolo na úrade registrovaných 4 342 odídencov hľadajúcich si zamestnanie. Celkovo od začiatku registrácie v roku 2022 zostalo registrovaných k 31. 12. 2023 14 202 odídencov,  z toho 17,55 % podiel tvorili muži v počte 2 492 a 82,45 % podiel  ženy v počte 11 710. Z hľadiska veku najvyšší podiel (16,80 %) tvorili  odídenci vo veku 35 – 40 rokov v počte 2 386 a z hľadiska vzdelania </w:t>
      </w:r>
      <w:r w:rsidRPr="00DF2100">
        <w:rPr>
          <w:rFonts w:eastAsia="Calibri"/>
          <w:lang w:eastAsia="en-US"/>
        </w:rPr>
        <w:lastRenderedPageBreak/>
        <w:t xml:space="preserve">odídencov najvyšší podiel (37,26 %) tvorili odídenci s vysokoškolským vzdelaním 2.stupňa </w:t>
      </w:r>
      <w:r w:rsidR="00147F61">
        <w:rPr>
          <w:rFonts w:eastAsia="Calibri"/>
          <w:lang w:eastAsia="en-US"/>
        </w:rPr>
        <w:t xml:space="preserve">          </w:t>
      </w:r>
      <w:r w:rsidRPr="00DF2100">
        <w:rPr>
          <w:rFonts w:eastAsia="Calibri"/>
          <w:lang w:eastAsia="en-US"/>
        </w:rPr>
        <w:t>v počte 5 291. </w:t>
      </w:r>
    </w:p>
    <w:p w14:paraId="3EFFBE2D" w14:textId="3D15DE6C" w:rsidR="00DE27B1" w:rsidRDefault="00DE27B1" w:rsidP="00DE27B1">
      <w:pPr>
        <w:spacing w:before="120" w:after="0"/>
        <w:ind w:firstLine="0"/>
        <w:rPr>
          <w:rFonts w:eastAsia="Calibri"/>
          <w:lang w:eastAsia="en-US"/>
        </w:rPr>
      </w:pPr>
      <w:r w:rsidRPr="00DF2100">
        <w:rPr>
          <w:rFonts w:eastAsia="Calibri"/>
          <w:lang w:eastAsia="en-US"/>
        </w:rPr>
        <w:t xml:space="preserve">Odídenci registrovaní na úrade ako odídenci hľadajúci si zamestnanie boli informovaní aj </w:t>
      </w:r>
      <w:r w:rsidR="00147F61">
        <w:rPr>
          <w:rFonts w:eastAsia="Calibri"/>
          <w:lang w:eastAsia="en-US"/>
        </w:rPr>
        <w:t xml:space="preserve">               </w:t>
      </w:r>
      <w:r w:rsidRPr="00DF2100">
        <w:rPr>
          <w:rFonts w:eastAsia="Calibri"/>
          <w:lang w:eastAsia="en-US"/>
        </w:rPr>
        <w:t>o možnosti zaradenia do projektu „Pomáhame odídencom“ a “Pomáhame odídencom - poradenstvo”, ktoré boli realizované na oddeleniach poradenstva a vzdelávania resp. oddeleniach aktívnych opatrení trhu práce a poradenstva jednotlivých úradov.</w:t>
      </w:r>
    </w:p>
    <w:p w14:paraId="742F9DF6" w14:textId="77777777" w:rsidR="00DE27B1" w:rsidRDefault="00DE27B1" w:rsidP="00DE27B1">
      <w:pPr>
        <w:tabs>
          <w:tab w:val="left" w:pos="567"/>
        </w:tabs>
        <w:spacing w:before="120" w:after="120"/>
        <w:ind w:firstLine="0"/>
        <w:rPr>
          <w:rStyle w:val="normaltextrun"/>
          <w:rFonts w:ascii="Calibri" w:hAnsi="Calibri" w:cs="Calibri"/>
          <w:color w:val="000000" w:themeColor="text1"/>
          <w:shd w:val="clear" w:color="auto" w:fill="FFFFFF"/>
        </w:rPr>
      </w:pPr>
      <w:r w:rsidRPr="00DF2100">
        <w:rPr>
          <w:rStyle w:val="normaltextrun"/>
          <w:color w:val="000000" w:themeColor="text1"/>
          <w:shd w:val="clear" w:color="auto" w:fill="FFFFFF"/>
        </w:rPr>
        <w:t>Aj v priebehu roku 2023 bolo vo väčšej miere (67,96 %) poskytované poradenstvo klientom v rámci § 42 individuálnou formou, aj keď táto miera oproti roku 2022 poklesla v prospech skupinového poradenstva.</w:t>
      </w:r>
      <w:r w:rsidRPr="00DF2100">
        <w:rPr>
          <w:rStyle w:val="normaltextrun"/>
          <w:rFonts w:ascii="Calibri" w:hAnsi="Calibri" w:cs="Calibri"/>
          <w:color w:val="000000" w:themeColor="text1"/>
          <w:shd w:val="clear" w:color="auto" w:fill="FFFFFF"/>
        </w:rPr>
        <w:t xml:space="preserve"> </w:t>
      </w:r>
    </w:p>
    <w:p w14:paraId="61CBC97F" w14:textId="77777777" w:rsidR="00DE27B1" w:rsidRDefault="00DE27B1" w:rsidP="00DE27B1">
      <w:pPr>
        <w:tabs>
          <w:tab w:val="left" w:pos="567"/>
        </w:tabs>
        <w:spacing w:before="120" w:after="120"/>
        <w:ind w:firstLine="0"/>
        <w:rPr>
          <w:rFonts w:eastAsia="Calibri"/>
          <w:lang w:eastAsia="en-US"/>
        </w:rPr>
      </w:pPr>
      <w:r>
        <w:rPr>
          <w:rFonts w:eastAsia="Calibri"/>
          <w:lang w:eastAsia="en-US"/>
        </w:rPr>
        <w:t xml:space="preserve">V roku 2023 bolo celkovo poskytnutých 428 791 IaPS 113 676 klientom. Z toho individuálnou formou 291 406 (67,96 %) a skupinovou formou 137 385 (32,04 %) IaPS. Z celkového počtu klientov, ktorým boli poskytnuté IaPS, bolo 60 543 žien (53,26 %) a 53 133 mužov (46,74 %). Z celkového počtu klientov bolo 3 595 občanov so ZP (3,16 %). Z hľadiska veku, najvyšší podiel (12,57 %) tvorili  klienti vo veku 35 – 40 rokov v počte 14 289 klientov, z hľadiska dĺžky evidencie, najvyšší podiel (42,76  %) tvorili opäť klienti s dĺžkou evidencie 0 - 3 mesiace v počte 48 609. Podľa vzdelania klientov, najvyšší podiel (27,07 %) tvorili klienti s úplným stredným odborným vzdelaním v počte 30 777. </w:t>
      </w:r>
    </w:p>
    <w:p w14:paraId="61FDF2F6" w14:textId="77777777" w:rsidR="00DE27B1" w:rsidRDefault="00DE27B1" w:rsidP="00DE27B1">
      <w:pPr>
        <w:pStyle w:val="Nadpis20"/>
        <w:tabs>
          <w:tab w:val="left" w:pos="567"/>
          <w:tab w:val="left" w:pos="1134"/>
        </w:tabs>
      </w:pPr>
      <w:bookmarkStart w:id="56" w:name="_Toc173741552"/>
      <w:r w:rsidRPr="00125AFA">
        <w:t>2.4</w:t>
      </w:r>
      <w:r w:rsidRPr="00125AFA">
        <w:tab/>
        <w:t>Európske služby zamestnanosti /EURES/ pre uchádzačov o zamestnanie,</w:t>
      </w:r>
      <w:r w:rsidRPr="00125AFA">
        <w:br/>
        <w:t xml:space="preserve">          záujemcov o zamestnanie a nezamestnaných</w:t>
      </w:r>
      <w:bookmarkEnd w:id="56"/>
    </w:p>
    <w:p w14:paraId="665EC1CC" w14:textId="77777777" w:rsidR="00DE27B1" w:rsidRPr="00147F61" w:rsidRDefault="00DE27B1" w:rsidP="00DE27B1">
      <w:pPr>
        <w:shd w:val="clear" w:color="auto" w:fill="FFFFFF"/>
      </w:pPr>
      <w:r w:rsidRPr="00147F61">
        <w:t>Na úradoch práce bolo v roku 2023 prostredníctvom siete EURES poskytnuté poradenstvo 17 346 klientom (14 123 záujemcovia o prácu + 3 223 zahraniční zamestnávatelia).</w:t>
      </w:r>
    </w:p>
    <w:p w14:paraId="5C3DA7AB" w14:textId="77777777" w:rsidR="00DE27B1" w:rsidRPr="00147F61" w:rsidRDefault="00DE27B1" w:rsidP="00147F61">
      <w:pPr>
        <w:shd w:val="clear" w:color="auto" w:fill="FFFFFF"/>
        <w:spacing w:before="120" w:after="0"/>
      </w:pPr>
      <w:r w:rsidRPr="00147F61">
        <w:t>Poradenstvá boli poskytované osobne, mailom, telefonicky alebo v online priestore.</w:t>
      </w:r>
    </w:p>
    <w:p w14:paraId="44562EED" w14:textId="77777777" w:rsidR="00DE27B1" w:rsidRPr="00147F61" w:rsidRDefault="00DE27B1" w:rsidP="00147F61">
      <w:pPr>
        <w:shd w:val="clear" w:color="auto" w:fill="FFFFFF"/>
        <w:spacing w:before="120" w:after="0"/>
      </w:pPr>
      <w:r w:rsidRPr="00147F61">
        <w:t>Najväčší počet poskytnutého poradenstva bol pre záujemcov vo veku 25 – 54 rokov, prevládali záujemcovia s ukončeným stredoškolským vzdelaním s maturitou.</w:t>
      </w:r>
    </w:p>
    <w:p w14:paraId="395311D7" w14:textId="77777777" w:rsidR="00DE27B1" w:rsidRPr="00147F61" w:rsidRDefault="00DE27B1" w:rsidP="00147F61">
      <w:pPr>
        <w:shd w:val="clear" w:color="auto" w:fill="FFFFFF"/>
        <w:spacing w:before="120" w:after="0"/>
      </w:pPr>
      <w:r w:rsidRPr="00147F61">
        <w:t>EURES cieľovou skupinou sú aj zamestnávatelia z krajín EÚ/EHP, ktorých ponúkané pracovné pozície sú uverejňované na webovej stránke a ponúkané záujemcom. Počet kontaktov so zamestnávateľmi – </w:t>
      </w:r>
      <w:r w:rsidRPr="00147F61">
        <w:rPr>
          <w:bCs/>
        </w:rPr>
        <w:t>3 223.</w:t>
      </w:r>
    </w:p>
    <w:p w14:paraId="42E0337B" w14:textId="77777777" w:rsidR="00DE27B1" w:rsidRPr="00147F61" w:rsidRDefault="00DE27B1" w:rsidP="00147F61">
      <w:pPr>
        <w:shd w:val="clear" w:color="auto" w:fill="FFFFFF"/>
        <w:spacing w:before="120" w:after="0"/>
      </w:pPr>
      <w:r w:rsidRPr="00147F61">
        <w:t>Počet uverejnených voľných pracovných miest na stránke eures.sk – </w:t>
      </w:r>
      <w:r w:rsidRPr="00147F61">
        <w:rPr>
          <w:bCs/>
        </w:rPr>
        <w:t>4 477</w:t>
      </w:r>
      <w:r w:rsidRPr="00147F61">
        <w:t>, zverejnených v rámci 773 pracovných ponúk. Najviac zverejnených ponúk bolo v mesiacoch: apríl, marec, január a júl.</w:t>
      </w:r>
    </w:p>
    <w:p w14:paraId="2E23CF60" w14:textId="77777777" w:rsidR="00DE27B1" w:rsidRPr="00147F61" w:rsidRDefault="00DE27B1" w:rsidP="00147F61">
      <w:pPr>
        <w:shd w:val="clear" w:color="auto" w:fill="FFFFFF"/>
        <w:spacing w:before="120" w:after="0"/>
        <w:rPr>
          <w:bCs/>
        </w:rPr>
      </w:pPr>
      <w:r w:rsidRPr="00147F61">
        <w:t>Počet prijatých životopisov, žiadostí o zamestnanie alebo motivačných listov, ktoré prijali EURES poradcovia od záujemcov o prácu v krajinách EÚ/EHP – </w:t>
      </w:r>
      <w:r w:rsidRPr="00147F61">
        <w:rPr>
          <w:bCs/>
        </w:rPr>
        <w:t>3 349. 84% životopisov zaslali záujemcovia zo Slovenska, 16% predstavovali životopisy záujemcov o prácu z iných krajín</w:t>
      </w:r>
    </w:p>
    <w:p w14:paraId="1695974E" w14:textId="77777777" w:rsidR="00DE27B1" w:rsidRPr="00147F61" w:rsidRDefault="00DE27B1" w:rsidP="00147F61">
      <w:pPr>
        <w:spacing w:before="120" w:after="0"/>
        <w:ind w:firstLine="0"/>
        <w:rPr>
          <w:b/>
        </w:rPr>
      </w:pPr>
      <w:r w:rsidRPr="00147F61">
        <w:rPr>
          <w:b/>
        </w:rPr>
        <w:t>Propagácia siete EURES na školách</w:t>
      </w:r>
    </w:p>
    <w:p w14:paraId="03DA58D1" w14:textId="77777777" w:rsidR="00DE27B1" w:rsidRPr="00147F61" w:rsidRDefault="00DE27B1" w:rsidP="00DE27B1">
      <w:r w:rsidRPr="00147F61">
        <w:t xml:space="preserve">Celkový počet navštívených škôl v rámci celého Slovenska – </w:t>
      </w:r>
      <w:r w:rsidRPr="00147F61">
        <w:rPr>
          <w:bCs/>
        </w:rPr>
        <w:t>112</w:t>
      </w:r>
      <w:r w:rsidRPr="00147F61">
        <w:t xml:space="preserve"> s celkovým počtom </w:t>
      </w:r>
      <w:r w:rsidRPr="00147F61">
        <w:rPr>
          <w:bCs/>
        </w:rPr>
        <w:t xml:space="preserve">5 738 </w:t>
      </w:r>
      <w:r w:rsidRPr="00147F61">
        <w:t xml:space="preserve">študentov. </w:t>
      </w:r>
    </w:p>
    <w:p w14:paraId="6A8DF65B" w14:textId="77777777" w:rsidR="00DE27B1" w:rsidRPr="00147F61" w:rsidRDefault="00DE27B1" w:rsidP="00DE27B1">
      <w:r w:rsidRPr="00147F61">
        <w:t xml:space="preserve">Počet navštívených základných škôl – 12 s účasťou 337 žiakov. </w:t>
      </w:r>
    </w:p>
    <w:p w14:paraId="6330F63F" w14:textId="77777777" w:rsidR="00DE27B1" w:rsidRPr="00147F61" w:rsidRDefault="00DE27B1" w:rsidP="00DE27B1">
      <w:r w:rsidRPr="00147F61">
        <w:t xml:space="preserve">Počet navštívených stredných škôl - 98 s účasťou 5 271 študentov. </w:t>
      </w:r>
    </w:p>
    <w:p w14:paraId="6863AC05" w14:textId="77777777" w:rsidR="00DE27B1" w:rsidRPr="00147F61" w:rsidRDefault="00DE27B1" w:rsidP="00DE27B1">
      <w:r w:rsidRPr="00147F61">
        <w:t xml:space="preserve">Počet navštívených vysokých škôl – 2 s účasťou 130 študentov. </w:t>
      </w:r>
    </w:p>
    <w:p w14:paraId="58858C1A" w14:textId="25AAE823" w:rsidR="00DE27B1" w:rsidRPr="00147F61" w:rsidRDefault="00DE27B1" w:rsidP="00147F61">
      <w:pPr>
        <w:spacing w:before="120" w:after="0"/>
        <w:ind w:hanging="6"/>
        <w:rPr>
          <w:b/>
        </w:rPr>
      </w:pPr>
      <w:r w:rsidRPr="00147F61">
        <w:rPr>
          <w:b/>
        </w:rPr>
        <w:t>Propagácia siete</w:t>
      </w:r>
      <w:r w:rsidR="00147F61">
        <w:rPr>
          <w:b/>
        </w:rPr>
        <w:t xml:space="preserve"> EURES na úradoch</w:t>
      </w:r>
    </w:p>
    <w:p w14:paraId="165CA028" w14:textId="23A48E4D" w:rsidR="00DE27B1" w:rsidRPr="00147F61" w:rsidRDefault="00DE27B1" w:rsidP="00DE27B1">
      <w:r w:rsidRPr="00147F61">
        <w:t>EURES poradcovia a EURES kontaktné osoby poskytovali informácie prostredníctvom prezentác</w:t>
      </w:r>
      <w:r w:rsidR="00147F61">
        <w:t>ií aj v priestoroch úradov</w:t>
      </w:r>
      <w:r w:rsidRPr="00147F61">
        <w:t xml:space="preserve">. </w:t>
      </w:r>
    </w:p>
    <w:p w14:paraId="7A78E8C8" w14:textId="77777777" w:rsidR="00DE27B1" w:rsidRPr="00147F61" w:rsidRDefault="00DE27B1" w:rsidP="00DE27B1">
      <w:r w:rsidRPr="00147F61">
        <w:t xml:space="preserve">Celkový počet účastníkov na prezentáciách bol </w:t>
      </w:r>
      <w:r w:rsidRPr="00147F61">
        <w:rPr>
          <w:bCs/>
        </w:rPr>
        <w:t xml:space="preserve">9 949 </w:t>
      </w:r>
      <w:r w:rsidRPr="00147F61">
        <w:t xml:space="preserve">v nasledujúcich cieľových skupinách: </w:t>
      </w:r>
    </w:p>
    <w:p w14:paraId="0B874116" w14:textId="77777777" w:rsidR="00DE27B1" w:rsidRPr="00147F61" w:rsidRDefault="00DE27B1" w:rsidP="00DE27B1">
      <w:r w:rsidRPr="00147F61">
        <w:t>38 prezentácií sa uskutočnilo pre cieľovú skupinu absolventi škôl v počte 817</w:t>
      </w:r>
      <w:r w:rsidRPr="00147F61">
        <w:rPr>
          <w:bCs/>
        </w:rPr>
        <w:t xml:space="preserve"> </w:t>
      </w:r>
      <w:r w:rsidRPr="00147F61">
        <w:t xml:space="preserve">účastníkov. </w:t>
      </w:r>
    </w:p>
    <w:p w14:paraId="5ED8A95B" w14:textId="77777777" w:rsidR="00DE27B1" w:rsidRPr="00147F61" w:rsidRDefault="00DE27B1" w:rsidP="00DE27B1">
      <w:r w:rsidRPr="00147F61">
        <w:t xml:space="preserve">402 prezentácií sa uskutočnilo pre cieľovú skupinu UoZ v počte 7 886 účastníkov. </w:t>
      </w:r>
    </w:p>
    <w:p w14:paraId="38E5E306" w14:textId="77777777" w:rsidR="00DE27B1" w:rsidRPr="00147F61" w:rsidRDefault="00DE27B1" w:rsidP="00DE27B1">
      <w:r w:rsidRPr="00147F61">
        <w:t xml:space="preserve">46 prezentácií sa uskutočnilo pre kolegov z úradov práce v počte 961 účastníkov. </w:t>
      </w:r>
    </w:p>
    <w:p w14:paraId="66432449" w14:textId="77777777" w:rsidR="00DE27B1" w:rsidRPr="00147F61" w:rsidRDefault="00DE27B1" w:rsidP="00DE27B1">
      <w:r w:rsidRPr="00147F61">
        <w:t xml:space="preserve">8 prezentácia sa uskutočnila pre slovenských zamestnávateľov v počte 91 účastníkov. </w:t>
      </w:r>
    </w:p>
    <w:p w14:paraId="38D3ECD2" w14:textId="77777777" w:rsidR="00DE27B1" w:rsidRPr="00820C12" w:rsidRDefault="00DE27B1" w:rsidP="00DE27B1">
      <w:r w:rsidRPr="00147F61">
        <w:lastRenderedPageBreak/>
        <w:t>12 prezentácií sa uskutočnilo pre partnerov (spolupracujúce inštitúcie) siete EURES v počte 194</w:t>
      </w:r>
      <w:r>
        <w:t xml:space="preserve"> účastníkov.</w:t>
      </w:r>
    </w:p>
    <w:p w14:paraId="35310823" w14:textId="77777777" w:rsidR="00DE27B1" w:rsidRDefault="00DE27B1" w:rsidP="00DE27B1">
      <w:pPr>
        <w:pStyle w:val="Nadpis20"/>
        <w:tabs>
          <w:tab w:val="left" w:pos="567"/>
        </w:tabs>
      </w:pPr>
      <w:bookmarkStart w:id="57" w:name="_Toc173741553"/>
      <w:r>
        <w:t>2.5</w:t>
      </w:r>
      <w:r>
        <w:tab/>
        <w:t>Projekty úradov v rámci partnerstiev</w:t>
      </w:r>
      <w:bookmarkEnd w:id="57"/>
    </w:p>
    <w:p w14:paraId="3511E402" w14:textId="77777777" w:rsidR="00DE27B1" w:rsidRPr="007139F8" w:rsidRDefault="00DE27B1" w:rsidP="00DE27B1">
      <w:pPr>
        <w:pStyle w:val="paragraph"/>
        <w:spacing w:before="0" w:beforeAutospacing="0" w:after="0" w:afterAutospacing="0"/>
        <w:jc w:val="both"/>
        <w:textAlignment w:val="baseline"/>
      </w:pPr>
      <w:r w:rsidRPr="007139F8">
        <w:rPr>
          <w:rStyle w:val="normaltextrun"/>
        </w:rPr>
        <w:t>V priebehu kalendárneho roka 2023 sa v rámci partnerstva podľa § 10 zákona o službách zamestnanosti zapojili úrady do nasledovných projektov a aktivít:  </w:t>
      </w:r>
      <w:r w:rsidRPr="007139F8">
        <w:rPr>
          <w:rStyle w:val="eop"/>
          <w:rFonts w:eastAsia="Calibri"/>
        </w:rPr>
        <w:t> </w:t>
      </w:r>
    </w:p>
    <w:p w14:paraId="0A64EA89" w14:textId="77777777" w:rsidR="00DE27B1" w:rsidRPr="007139F8" w:rsidRDefault="00DE27B1" w:rsidP="00DE27B1">
      <w:pPr>
        <w:pStyle w:val="paragraph"/>
        <w:spacing w:before="0" w:beforeAutospacing="0" w:after="0" w:afterAutospacing="0"/>
        <w:jc w:val="both"/>
        <w:textAlignment w:val="baseline"/>
        <w:rPr>
          <w:rStyle w:val="normaltextrun"/>
        </w:rPr>
      </w:pPr>
      <w:r w:rsidRPr="007139F8">
        <w:rPr>
          <w:rStyle w:val="normaltextrun"/>
        </w:rPr>
        <w:t xml:space="preserve">Úrad Čadca, Dolný Kubín, Námestovo, Žilina v období rokov 2021 až 2027 realizuje projekt „Cezhraničné partnerstvo EURES-T Beskydy“ v spolupráci s Ministerstvom práce v Poľsku, vybranými úradmi práce v Poľsku a Českej republike, Ministerstvom ekonomického rozvoja, práce a technológií v Poľsku a Komorou malých a stredných podnikateľov v Katoviciach. Cieľom projektu je rozvoj cezhraničnej spolupráce medzi SR, ČR a Poľskom a podpora cezhraničného zamestnávania, podpora inovatívnych metód sociálnej politiky a zamestnávania v rámci projektu zamestnanosť a sociálna inovácia. </w:t>
      </w:r>
    </w:p>
    <w:p w14:paraId="5C863A06" w14:textId="5E27A2B3" w:rsidR="00DE27B1" w:rsidRDefault="00DE27B1" w:rsidP="00147F61">
      <w:pPr>
        <w:spacing w:before="120" w:after="0"/>
        <w:ind w:hanging="6"/>
        <w:rPr>
          <w:rStyle w:val="normaltextrun"/>
        </w:rPr>
      </w:pPr>
      <w:r w:rsidRPr="007139F8">
        <w:rPr>
          <w:rStyle w:val="normaltextrun"/>
        </w:rPr>
        <w:t>Úrady Bardejov, Kežmarok, Poprad, Stará Ľubovňa v roku 2023 spolupracovali v rámci 5</w:t>
      </w:r>
      <w:r w:rsidR="00147F61">
        <w:rPr>
          <w:rStyle w:val="normaltextrun"/>
        </w:rPr>
        <w:t xml:space="preserve"> ročnej udržateľnosti projektu </w:t>
      </w:r>
      <w:r w:rsidRPr="00147F61">
        <w:rPr>
          <w:rStyle w:val="normaltextrun"/>
          <w:i/>
        </w:rPr>
        <w:t>Partner</w:t>
      </w:r>
      <w:r w:rsidR="00147F61" w:rsidRPr="00147F61">
        <w:rPr>
          <w:rStyle w:val="normaltextrun"/>
          <w:i/>
        </w:rPr>
        <w:t>stvo na cezhraničnom trhu práce Poľska a Slovenska - Poprad -</w:t>
      </w:r>
      <w:r w:rsidRPr="00147F61">
        <w:rPr>
          <w:rStyle w:val="normaltextrun"/>
          <w:i/>
        </w:rPr>
        <w:t>Dunajec</w:t>
      </w:r>
      <w:r w:rsidRPr="007139F8">
        <w:rPr>
          <w:rStyle w:val="normaltextrun"/>
        </w:rPr>
        <w:t>. Cieľom projektu je vypracovať spoločné systémy spolupráce a výmeny cezhraničných informácií v oblasti vzdelávania na trhu práce, pracovnej</w:t>
      </w:r>
      <w:r w:rsidR="00147F61">
        <w:rPr>
          <w:rStyle w:val="normaltextrun"/>
        </w:rPr>
        <w:t xml:space="preserve"> mobility a sociálnej a </w:t>
      </w:r>
      <w:r w:rsidRPr="007139F8">
        <w:rPr>
          <w:rStyle w:val="normaltextrun"/>
        </w:rPr>
        <w:t>pracovnej integrácie, ktoré prispejú k zlepšeniu fungovania cezhraničného trhu práce, k uľahčeniu pohybu na cezhraničnom trhu práce inštitúciám, zamestnávateľom a obyvateľom oboch regiónov.</w:t>
      </w:r>
    </w:p>
    <w:p w14:paraId="44E4C77B" w14:textId="77777777" w:rsidR="0041767F" w:rsidRPr="00C35CA8" w:rsidRDefault="00217524" w:rsidP="000737CD">
      <w:pPr>
        <w:pStyle w:val="Nadpis1"/>
        <w:numPr>
          <w:ilvl w:val="0"/>
          <w:numId w:val="0"/>
        </w:numPr>
        <w:spacing w:before="240"/>
        <w:ind w:left="425" w:hanging="425"/>
      </w:pPr>
      <w:bookmarkStart w:id="58" w:name="_Toc514941039"/>
      <w:bookmarkStart w:id="59" w:name="_Toc37094595"/>
      <w:bookmarkStart w:id="60" w:name="_Toc173741554"/>
      <w:bookmarkStart w:id="61" w:name="_Hlk103514011"/>
      <w:bookmarkEnd w:id="36"/>
      <w:bookmarkEnd w:id="37"/>
      <w:bookmarkEnd w:id="38"/>
      <w:bookmarkEnd w:id="39"/>
      <w:bookmarkEnd w:id="40"/>
      <w:r w:rsidRPr="00C35CA8">
        <w:t>3</w:t>
      </w:r>
      <w:r w:rsidRPr="00C35CA8">
        <w:tab/>
      </w:r>
      <w:r w:rsidR="004D1986" w:rsidRPr="00C35CA8">
        <w:t xml:space="preserve">VYHODNOTENIE UPLATŇOVANIA </w:t>
      </w:r>
      <w:r w:rsidR="00994E8F" w:rsidRPr="00C35CA8">
        <w:t>AKTÍVNYCH OPATRENÍ TRHU PRÁCE</w:t>
      </w:r>
      <w:r w:rsidRPr="00C35CA8">
        <w:t xml:space="preserve"> </w:t>
      </w:r>
      <w:r w:rsidR="004D1986" w:rsidRPr="00C35CA8">
        <w:t>NA PODPORU</w:t>
      </w:r>
      <w:r w:rsidR="001E576C" w:rsidRPr="00C35CA8">
        <w:t xml:space="preserve"> </w:t>
      </w:r>
      <w:r w:rsidR="004D1986" w:rsidRPr="000563DA">
        <w:rPr>
          <w:u w:val="single"/>
        </w:rPr>
        <w:t>ZAMESTNATEĽNOSTI</w:t>
      </w:r>
      <w:bookmarkStart w:id="62" w:name="_Toc514941040"/>
      <w:bookmarkStart w:id="63" w:name="_Toc37094596"/>
      <w:bookmarkEnd w:id="58"/>
      <w:bookmarkEnd w:id="59"/>
      <w:bookmarkEnd w:id="60"/>
    </w:p>
    <w:p w14:paraId="1459EF18" w14:textId="6E8DB1EB" w:rsidR="00CC754D" w:rsidRPr="00055F80" w:rsidRDefault="00BD3620" w:rsidP="00217524">
      <w:pPr>
        <w:pStyle w:val="Nadpis20"/>
        <w:tabs>
          <w:tab w:val="left" w:pos="567"/>
          <w:tab w:val="left" w:pos="851"/>
        </w:tabs>
        <w:spacing w:before="120"/>
        <w:jc w:val="both"/>
      </w:pPr>
      <w:bookmarkStart w:id="64" w:name="_Toc173741555"/>
      <w:bookmarkStart w:id="65" w:name="_Hlk103518935"/>
      <w:bookmarkEnd w:id="61"/>
      <w:r w:rsidRPr="00C35CA8">
        <w:rPr>
          <w:caps/>
        </w:rPr>
        <w:t>3</w:t>
      </w:r>
      <w:r w:rsidR="0041767F" w:rsidRPr="00C35CA8">
        <w:rPr>
          <w:caps/>
        </w:rPr>
        <w:t>.</w:t>
      </w:r>
      <w:r w:rsidR="0041767F" w:rsidRPr="00055F80">
        <w:rPr>
          <w:caps/>
        </w:rPr>
        <w:t>1</w:t>
      </w:r>
      <w:bookmarkEnd w:id="62"/>
      <w:bookmarkEnd w:id="63"/>
      <w:r w:rsidR="00403086" w:rsidRPr="00055F80">
        <w:rPr>
          <w:caps/>
        </w:rPr>
        <w:t xml:space="preserve">  </w:t>
      </w:r>
      <w:r w:rsidR="00CC754D" w:rsidRPr="00055F80">
        <w:t>Náhrada časti cestovných výdavkov UoZ, ktoré súvisia s absolvovaním vstupného</w:t>
      </w:r>
      <w:r w:rsidR="00E21CB1" w:rsidRPr="00055F80">
        <w:br/>
        <w:t xml:space="preserve">         </w:t>
      </w:r>
      <w:r w:rsidR="00CC754D" w:rsidRPr="00055F80">
        <w:t>pohovoru alebo VK u zamestnávateľa, alebo s účasťou na skupinovom</w:t>
      </w:r>
      <w:r w:rsidR="00E21CB1" w:rsidRPr="00055F80">
        <w:br/>
        <w:t xml:space="preserve">         </w:t>
      </w:r>
      <w:r w:rsidR="00CC754D" w:rsidRPr="00055F80">
        <w:t>sprostredkovaní</w:t>
      </w:r>
      <w:r w:rsidR="0054543F" w:rsidRPr="00055F80">
        <w:t xml:space="preserve"> </w:t>
      </w:r>
      <w:r w:rsidR="00CC754D" w:rsidRPr="00055F80">
        <w:t>zamestnania, ktoré organizuje ústredie alebo úrad</w:t>
      </w:r>
      <w:r w:rsidR="00E21CB1" w:rsidRPr="00055F80">
        <w:br/>
        <w:t xml:space="preserve">         </w:t>
      </w:r>
      <w:r w:rsidR="00CC754D" w:rsidRPr="00055F80">
        <w:t>na území SR pre zamestnávateľa, alebo pre zamestnávateľa z členského štátu EÚ</w:t>
      </w:r>
      <w:r w:rsidR="00E21CB1" w:rsidRPr="00055F80">
        <w:br/>
        <w:t xml:space="preserve">         </w:t>
      </w:r>
      <w:r w:rsidR="00055F80">
        <w:t>- § 32 ods. 11</w:t>
      </w:r>
      <w:r w:rsidR="00CC754D" w:rsidRPr="00055F80">
        <w:t xml:space="preserve"> písm. d) zákona o službách zamestnanosti</w:t>
      </w:r>
      <w:bookmarkEnd w:id="64"/>
    </w:p>
    <w:p w14:paraId="1585CB21" w14:textId="68621CF0" w:rsidR="00055F80" w:rsidRPr="00055F80" w:rsidRDefault="00055F80" w:rsidP="00055F80">
      <w:pPr>
        <w:spacing w:after="120"/>
        <w:ind w:hanging="6"/>
      </w:pPr>
      <w:bookmarkStart w:id="66" w:name="_Toc514941041"/>
      <w:bookmarkStart w:id="67" w:name="_Toc37094597"/>
      <w:bookmarkStart w:id="68" w:name="_Hlk103518956"/>
      <w:bookmarkEnd w:id="65"/>
      <w:r w:rsidRPr="00055F80">
        <w:t>V roku 2023 bola náhrada časti cestovných výdavkov poskytnutá celkom 683 UoZ, z toho 300 mužom (43,92 %) a 383 ženám (56,08 %)</w:t>
      </w:r>
      <w:r>
        <w:t>,</w:t>
      </w:r>
      <w:r w:rsidRPr="00055F80">
        <w:t xml:space="preserve"> v celkovej poskytnutej sume finančných prostriedkov 8 825 </w:t>
      </w:r>
      <w:r>
        <w:t>eur - v štruktúre podľa tabuľky</w:t>
      </w:r>
      <w:r w:rsidRPr="00055F80">
        <w:t xml:space="preserve">. V porovnaní s rokom 2022, celkový počet UoZ stúpol </w:t>
      </w:r>
      <w:r>
        <w:t xml:space="preserve">         </w:t>
      </w:r>
      <w:r w:rsidRPr="00055F80">
        <w:t>o 110 UoZ a vyčerpaných finančných prostriedkov bolo o 2 763 eur viac ako v roku 2022. Finančné prostriedky na náhradu časti cestovných výdavkov UoZ boli poskytované len zo ŠR SR.</w:t>
      </w:r>
    </w:p>
    <w:tbl>
      <w:tblPr>
        <w:tblStyle w:val="Mriekatabuky"/>
        <w:tblW w:w="9224" w:type="dxa"/>
        <w:jc w:val="center"/>
        <w:tblLook w:val="04A0" w:firstRow="1" w:lastRow="0" w:firstColumn="1" w:lastColumn="0" w:noHBand="0" w:noVBand="1"/>
      </w:tblPr>
      <w:tblGrid>
        <w:gridCol w:w="3074"/>
        <w:gridCol w:w="3075"/>
        <w:gridCol w:w="3075"/>
      </w:tblGrid>
      <w:tr w:rsidR="00055F80" w:rsidRPr="00055F80" w14:paraId="3FD94A08" w14:textId="77777777" w:rsidTr="00C471CF">
        <w:trPr>
          <w:trHeight w:val="772"/>
          <w:jc w:val="center"/>
        </w:trPr>
        <w:tc>
          <w:tcPr>
            <w:tcW w:w="3074" w:type="dxa"/>
            <w:shd w:val="clear" w:color="auto" w:fill="B8CCE4" w:themeFill="accent1" w:themeFillTint="66"/>
            <w:vAlign w:val="center"/>
          </w:tcPr>
          <w:p w14:paraId="33695E74" w14:textId="77777777"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Rok</w:t>
            </w:r>
          </w:p>
        </w:tc>
        <w:tc>
          <w:tcPr>
            <w:tcW w:w="3075" w:type="dxa"/>
            <w:shd w:val="clear" w:color="auto" w:fill="B8CCE4" w:themeFill="accent1" w:themeFillTint="66"/>
            <w:vAlign w:val="center"/>
          </w:tcPr>
          <w:p w14:paraId="6C594940" w14:textId="77777777"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Počet podporených UoZ</w:t>
            </w:r>
          </w:p>
        </w:tc>
        <w:tc>
          <w:tcPr>
            <w:tcW w:w="3075" w:type="dxa"/>
            <w:shd w:val="clear" w:color="auto" w:fill="B8CCE4" w:themeFill="accent1" w:themeFillTint="66"/>
            <w:vAlign w:val="center"/>
          </w:tcPr>
          <w:p w14:paraId="385C1689" w14:textId="6A74368D"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 xml:space="preserve">Čerpanie finančných prostriedkov </w:t>
            </w:r>
            <w:r w:rsidRPr="00055F80">
              <w:rPr>
                <w:rFonts w:asciiTheme="minorHAnsi" w:hAnsiTheme="minorHAnsi" w:cstheme="minorHAnsi"/>
                <w:sz w:val="20"/>
                <w:szCs w:val="20"/>
              </w:rPr>
              <w:t xml:space="preserve">(v </w:t>
            </w:r>
            <w:r w:rsidR="00E23598">
              <w:rPr>
                <w:rFonts w:asciiTheme="minorHAnsi" w:hAnsiTheme="minorHAnsi" w:cstheme="minorHAnsi"/>
                <w:sz w:val="20"/>
                <w:szCs w:val="20"/>
              </w:rPr>
              <w:t>eur</w:t>
            </w:r>
            <w:r w:rsidRPr="00055F80">
              <w:rPr>
                <w:rFonts w:asciiTheme="minorHAnsi" w:hAnsiTheme="minorHAnsi" w:cstheme="minorHAnsi"/>
                <w:sz w:val="20"/>
                <w:szCs w:val="20"/>
              </w:rPr>
              <w:t>)</w:t>
            </w:r>
          </w:p>
        </w:tc>
      </w:tr>
      <w:tr w:rsidR="00055F80" w:rsidRPr="00055F80" w14:paraId="22D0D6CA" w14:textId="77777777" w:rsidTr="00C471CF">
        <w:trPr>
          <w:trHeight w:val="375"/>
          <w:jc w:val="center"/>
        </w:trPr>
        <w:tc>
          <w:tcPr>
            <w:tcW w:w="3074" w:type="dxa"/>
            <w:shd w:val="clear" w:color="auto" w:fill="B8CCE4" w:themeFill="accent1" w:themeFillTint="66"/>
            <w:vAlign w:val="center"/>
          </w:tcPr>
          <w:p w14:paraId="0DF9DA98" w14:textId="77777777"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2022</w:t>
            </w:r>
          </w:p>
        </w:tc>
        <w:tc>
          <w:tcPr>
            <w:tcW w:w="3075" w:type="dxa"/>
            <w:vAlign w:val="center"/>
          </w:tcPr>
          <w:p w14:paraId="4543A9D9" w14:textId="77777777" w:rsidR="00055F80" w:rsidRPr="00055F80" w:rsidRDefault="00055F80" w:rsidP="00265A02">
            <w:pPr>
              <w:spacing w:after="0"/>
              <w:ind w:left="0" w:firstLine="0"/>
              <w:jc w:val="center"/>
              <w:rPr>
                <w:rFonts w:asciiTheme="minorHAnsi" w:hAnsiTheme="minorHAnsi" w:cstheme="minorHAnsi"/>
                <w:sz w:val="20"/>
                <w:szCs w:val="20"/>
              </w:rPr>
            </w:pPr>
            <w:r w:rsidRPr="00055F80">
              <w:rPr>
                <w:rFonts w:asciiTheme="minorHAnsi" w:hAnsiTheme="minorHAnsi" w:cstheme="minorHAnsi"/>
                <w:sz w:val="20"/>
                <w:szCs w:val="20"/>
              </w:rPr>
              <w:t>573</w:t>
            </w:r>
          </w:p>
        </w:tc>
        <w:tc>
          <w:tcPr>
            <w:tcW w:w="3075" w:type="dxa"/>
            <w:vAlign w:val="center"/>
          </w:tcPr>
          <w:p w14:paraId="4FD7BF40" w14:textId="77777777" w:rsidR="00055F80" w:rsidRPr="00055F80" w:rsidRDefault="00055F80" w:rsidP="00265A02">
            <w:pPr>
              <w:spacing w:after="0"/>
              <w:ind w:left="0" w:firstLine="0"/>
              <w:jc w:val="center"/>
              <w:rPr>
                <w:rFonts w:asciiTheme="minorHAnsi" w:hAnsiTheme="minorHAnsi" w:cstheme="minorHAnsi"/>
                <w:sz w:val="20"/>
                <w:szCs w:val="20"/>
              </w:rPr>
            </w:pPr>
            <w:r w:rsidRPr="00055F80">
              <w:rPr>
                <w:rFonts w:asciiTheme="minorHAnsi" w:hAnsiTheme="minorHAnsi" w:cstheme="minorHAnsi"/>
                <w:sz w:val="20"/>
                <w:szCs w:val="20"/>
              </w:rPr>
              <w:t>6 062</w:t>
            </w:r>
          </w:p>
        </w:tc>
      </w:tr>
      <w:tr w:rsidR="00055F80" w:rsidRPr="00055F80" w14:paraId="3724FFC3" w14:textId="77777777" w:rsidTr="00C471CF">
        <w:trPr>
          <w:trHeight w:val="375"/>
          <w:jc w:val="center"/>
        </w:trPr>
        <w:tc>
          <w:tcPr>
            <w:tcW w:w="3074" w:type="dxa"/>
            <w:shd w:val="clear" w:color="auto" w:fill="B8CCE4" w:themeFill="accent1" w:themeFillTint="66"/>
            <w:vAlign w:val="center"/>
          </w:tcPr>
          <w:p w14:paraId="40CCC35F" w14:textId="77777777" w:rsidR="00055F80" w:rsidRPr="00055F80" w:rsidRDefault="00055F80" w:rsidP="00265A02">
            <w:pPr>
              <w:spacing w:after="0"/>
              <w:ind w:left="0" w:firstLine="0"/>
              <w:jc w:val="center"/>
              <w:rPr>
                <w:rFonts w:asciiTheme="minorHAnsi" w:hAnsiTheme="minorHAnsi" w:cstheme="minorHAnsi"/>
                <w:b/>
                <w:sz w:val="20"/>
                <w:szCs w:val="20"/>
              </w:rPr>
            </w:pPr>
            <w:r w:rsidRPr="00055F80">
              <w:rPr>
                <w:rFonts w:asciiTheme="minorHAnsi" w:hAnsiTheme="minorHAnsi" w:cstheme="minorHAnsi"/>
                <w:b/>
                <w:sz w:val="20"/>
                <w:szCs w:val="20"/>
              </w:rPr>
              <w:t>2023</w:t>
            </w:r>
          </w:p>
        </w:tc>
        <w:tc>
          <w:tcPr>
            <w:tcW w:w="3075" w:type="dxa"/>
            <w:vAlign w:val="center"/>
          </w:tcPr>
          <w:p w14:paraId="0A6FF200" w14:textId="77777777" w:rsidR="00055F80" w:rsidRPr="00055F80" w:rsidRDefault="00055F80" w:rsidP="00265A02">
            <w:pPr>
              <w:spacing w:after="0"/>
              <w:ind w:left="0" w:firstLine="0"/>
              <w:jc w:val="center"/>
              <w:rPr>
                <w:rFonts w:asciiTheme="minorHAnsi" w:hAnsiTheme="minorHAnsi" w:cstheme="minorHAnsi"/>
                <w:sz w:val="20"/>
                <w:szCs w:val="20"/>
              </w:rPr>
            </w:pPr>
            <w:r w:rsidRPr="00055F80">
              <w:rPr>
                <w:rFonts w:asciiTheme="minorHAnsi" w:hAnsiTheme="minorHAnsi" w:cstheme="minorHAnsi"/>
                <w:sz w:val="20"/>
                <w:szCs w:val="20"/>
              </w:rPr>
              <w:t>683</w:t>
            </w:r>
          </w:p>
        </w:tc>
        <w:tc>
          <w:tcPr>
            <w:tcW w:w="3075" w:type="dxa"/>
            <w:vAlign w:val="center"/>
          </w:tcPr>
          <w:p w14:paraId="03A39F5A" w14:textId="77777777" w:rsidR="00055F80" w:rsidRPr="00055F80" w:rsidRDefault="00055F80" w:rsidP="00265A02">
            <w:pPr>
              <w:spacing w:after="0"/>
              <w:ind w:left="0" w:firstLine="0"/>
              <w:jc w:val="center"/>
              <w:rPr>
                <w:rFonts w:asciiTheme="minorHAnsi" w:hAnsiTheme="minorHAnsi" w:cstheme="minorHAnsi"/>
                <w:sz w:val="20"/>
                <w:szCs w:val="20"/>
              </w:rPr>
            </w:pPr>
            <w:r w:rsidRPr="00055F80">
              <w:rPr>
                <w:rFonts w:asciiTheme="minorHAnsi" w:hAnsiTheme="minorHAnsi" w:cstheme="minorHAnsi"/>
                <w:sz w:val="20"/>
                <w:szCs w:val="20"/>
              </w:rPr>
              <w:t>8 825</w:t>
            </w:r>
          </w:p>
        </w:tc>
      </w:tr>
    </w:tbl>
    <w:p w14:paraId="3506BBB1" w14:textId="77777777" w:rsidR="00055F80" w:rsidRPr="00055F80" w:rsidRDefault="00055F80" w:rsidP="00055F80"/>
    <w:p w14:paraId="7C96D99E" w14:textId="325290EF" w:rsidR="003D0F32" w:rsidRPr="00C35CA8" w:rsidRDefault="00BD3620" w:rsidP="003E3EC7">
      <w:pPr>
        <w:pStyle w:val="Nadpis20"/>
        <w:tabs>
          <w:tab w:val="left" w:pos="567"/>
          <w:tab w:val="left" w:pos="1134"/>
        </w:tabs>
        <w:spacing w:before="120" w:after="0"/>
        <w:ind w:left="567" w:hanging="567"/>
        <w:jc w:val="both"/>
      </w:pPr>
      <w:bookmarkStart w:id="69" w:name="_Toc173741556"/>
      <w:r w:rsidRPr="00C35CA8">
        <w:t>3</w:t>
      </w:r>
      <w:r w:rsidR="003D0F32" w:rsidRPr="00C35CA8">
        <w:t>.2</w:t>
      </w:r>
      <w:r w:rsidR="0041767F" w:rsidRPr="00C35CA8">
        <w:tab/>
      </w:r>
      <w:r w:rsidR="003D0F32" w:rsidRPr="00C35CA8">
        <w:t>Informačné a poraden</w:t>
      </w:r>
      <w:r w:rsidR="000728C5" w:rsidRPr="00C35CA8">
        <w:t>ské služby pri voľbe povolania</w:t>
      </w:r>
      <w:r w:rsidR="007F1A21" w:rsidRPr="00C35CA8">
        <w:t xml:space="preserve"> </w:t>
      </w:r>
      <w:r w:rsidR="006B113A" w:rsidRPr="00C35CA8">
        <w:t xml:space="preserve">- </w:t>
      </w:r>
      <w:r w:rsidR="003D0F32" w:rsidRPr="00C35CA8">
        <w:t>§ 42 ods. 2 písm. a</w:t>
      </w:r>
      <w:bookmarkEnd w:id="66"/>
      <w:r w:rsidR="00C420D9" w:rsidRPr="00C35CA8">
        <w:t> </w:t>
      </w:r>
      <w:r w:rsidR="006B113A" w:rsidRPr="00C35CA8">
        <w:t>zákona</w:t>
      </w:r>
      <w:bookmarkStart w:id="70" w:name="_Toc135059358"/>
      <w:bookmarkEnd w:id="67"/>
      <w:r w:rsidR="00C420D9" w:rsidRPr="00C35CA8">
        <w:t xml:space="preserve"> </w:t>
      </w:r>
      <w:r w:rsidR="00302EEF" w:rsidRPr="00C35CA8">
        <w:t>o službách zamestnanosti</w:t>
      </w:r>
      <w:bookmarkEnd w:id="69"/>
      <w:bookmarkEnd w:id="70"/>
    </w:p>
    <w:p w14:paraId="23EE5C8E" w14:textId="4ADD3D77" w:rsidR="002066A5" w:rsidRDefault="00EF593D" w:rsidP="00403086">
      <w:pPr>
        <w:spacing w:before="120" w:after="120"/>
        <w:ind w:firstLine="0"/>
      </w:pPr>
      <w:bookmarkStart w:id="71" w:name="_Toc451863343"/>
      <w:bookmarkStart w:id="72" w:name="_Toc37094598"/>
      <w:bookmarkEnd w:id="68"/>
      <w:r w:rsidRPr="00C35CA8">
        <w:t xml:space="preserve">Informačné a poradenské služby </w:t>
      </w:r>
      <w:r w:rsidR="002066A5">
        <w:t>(</w:t>
      </w:r>
      <w:r w:rsidR="002066A5" w:rsidRPr="002066A5">
        <w:t>IaPS</w:t>
      </w:r>
      <w:r w:rsidR="002066A5">
        <w:t>)</w:t>
      </w:r>
      <w:r w:rsidR="002066A5" w:rsidRPr="002066A5">
        <w:t xml:space="preserve"> pri voľbe povolania (ďalej len „preventívne poradenstvo“) sú služby pre žiakov a študentov škôl, ktorých hlavným cieľom je pomôcť im pri výbere vhodného štúdia alebo zamestnania predchádzaním nesprávnej voľby povolania a informovaním o situácii na TP a možnostiach ďalšieho štúdia. Preventívne poradenstvo pre žiakov základnej školy (ďalej len „ZŠ“) je zamerané najmä na oboznámenie sa s  charakteristikou povolaní, na identifikáciu predpokladov a požiadaviek na výkon určitého povolania a poskytovanie informácií o výbere typu strednej školy (ďalej len „SŠ“) a možnostiach ďalšieho štúdia. Preventí</w:t>
      </w:r>
      <w:r w:rsidR="002066A5">
        <w:t xml:space="preserve">vne poradenstvo  </w:t>
      </w:r>
      <w:r w:rsidR="002066A5" w:rsidRPr="002066A5">
        <w:t xml:space="preserve">pre žiakov SŠ, je zamerané najmä na poskytovanie informácií </w:t>
      </w:r>
      <w:r w:rsidR="002066A5" w:rsidRPr="002066A5">
        <w:lastRenderedPageBreak/>
        <w:t>o regionálnom TP, preferovaných profesiách, miere nezamestnanosti, počte absolventov jednotlivých škôl vedených v evidencii UoZ a o spôsoboch vhodnej komunikácie s potenciálnym zamestnávateľom. Preventívne poradenstvo bolo v roku 2023 poskytnuté pre 16 923 žiakov, z toho bolo 4 901 žiakov ZŠ (28,96 %) a 12 022 žiakov SŠ (71,04 %). Tieto služby boli poskytnuté 387 školám, z toho bolo 148 ZŠ a 239 SŠ. Preventívne poradenstvo pri voľbe povolania bolo poskytované v priestoroch ZŠ a SŠ a taktiež dištančne formou online video hovorov. Prehľad počtu žiakov, ktorým bolo poskytnuté preventívne poradenstvo v roku 2023, je uvedený v</w:t>
      </w:r>
      <w:r w:rsidR="002066A5">
        <w:t> nasledujúcom</w:t>
      </w:r>
      <w:r w:rsidR="002066A5" w:rsidRPr="002066A5">
        <w:t xml:space="preserve"> grafe.</w:t>
      </w:r>
    </w:p>
    <w:p w14:paraId="3FB12A71" w14:textId="6B63C0D8" w:rsidR="002066A5" w:rsidRDefault="002066A5" w:rsidP="00403086">
      <w:pPr>
        <w:spacing w:before="120" w:after="120"/>
        <w:ind w:firstLine="0"/>
      </w:pPr>
      <w:r>
        <w:rPr>
          <w:noProof/>
        </w:rPr>
        <w:drawing>
          <wp:inline distT="0" distB="0" distL="0" distR="0" wp14:anchorId="6CEA1F45" wp14:editId="29AFA198">
            <wp:extent cx="5843905" cy="2472855"/>
            <wp:effectExtent l="0" t="0" r="4445" b="381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726DEE" w14:textId="77777777" w:rsidR="002066A5" w:rsidRPr="0004365E" w:rsidRDefault="002066A5" w:rsidP="002066A5">
      <w:pPr>
        <w:spacing w:before="120" w:after="0"/>
        <w:ind w:hanging="6"/>
      </w:pPr>
      <w:r>
        <w:t xml:space="preserve">V rámci preventívneho poradenstva sú každoročne organizované BPaI pre žiakov ZŠ. Ich hlavným cieľom je najmä zvýšenie záujmu žiakov ZŠ o remeselné a technické  povolania                             v súvislosti s ich nedostatkom na TP. </w:t>
      </w:r>
    </w:p>
    <w:p w14:paraId="47F018F4" w14:textId="77777777" w:rsidR="002066A5" w:rsidRPr="00500B83" w:rsidRDefault="002066A5" w:rsidP="002066A5">
      <w:pPr>
        <w:spacing w:before="120" w:after="0"/>
        <w:ind w:hanging="6"/>
      </w:pPr>
      <w:r w:rsidRPr="00190A25">
        <w:rPr>
          <w:rFonts w:eastAsia="Calibri"/>
          <w:color w:val="000000" w:themeColor="text1"/>
        </w:rPr>
        <w:t>V roku 202</w:t>
      </w:r>
      <w:r>
        <w:rPr>
          <w:rFonts w:eastAsia="Calibri"/>
          <w:color w:val="000000" w:themeColor="text1"/>
        </w:rPr>
        <w:t>3</w:t>
      </w:r>
      <w:r w:rsidRPr="00190A25">
        <w:rPr>
          <w:rFonts w:eastAsia="Calibri"/>
          <w:color w:val="000000" w:themeColor="text1"/>
        </w:rPr>
        <w:t xml:space="preserve"> bolo zrealizovaných </w:t>
      </w:r>
      <w:r>
        <w:rPr>
          <w:rFonts w:eastAsia="Calibri"/>
        </w:rPr>
        <w:t>29</w:t>
      </w:r>
      <w:r w:rsidRPr="00190A25">
        <w:rPr>
          <w:rFonts w:eastAsia="Calibri"/>
        </w:rPr>
        <w:t xml:space="preserve"> búrz informácií, ktoré zorganizovalo celkovo </w:t>
      </w:r>
      <w:r>
        <w:rPr>
          <w:rFonts w:eastAsia="Calibri"/>
        </w:rPr>
        <w:t>28</w:t>
      </w:r>
      <w:r w:rsidRPr="00190A25">
        <w:rPr>
          <w:rFonts w:eastAsia="Calibri"/>
        </w:rPr>
        <w:t xml:space="preserve"> úradov. Búrz informácií sa zúčastnilo celkovo </w:t>
      </w:r>
      <w:r>
        <w:rPr>
          <w:rFonts w:eastAsiaTheme="minorEastAsia"/>
        </w:rPr>
        <w:t>262</w:t>
      </w:r>
      <w:r w:rsidRPr="00190A25">
        <w:rPr>
          <w:rFonts w:eastAsia="Calibri"/>
        </w:rPr>
        <w:t xml:space="preserve"> ZŠ a prezentovalo sa na nich </w:t>
      </w:r>
      <w:r>
        <w:rPr>
          <w:rFonts w:eastAsiaTheme="minorEastAsia"/>
        </w:rPr>
        <w:t>395</w:t>
      </w:r>
      <w:r w:rsidRPr="00190A25">
        <w:rPr>
          <w:rFonts w:eastAsia="Calibri"/>
        </w:rPr>
        <w:t xml:space="preserve"> SŠ a </w:t>
      </w:r>
      <w:r>
        <w:rPr>
          <w:rFonts w:eastAsiaTheme="minorEastAsia"/>
        </w:rPr>
        <w:t>143</w:t>
      </w:r>
      <w:r w:rsidRPr="00190A25">
        <w:rPr>
          <w:rFonts w:eastAsia="Calibri"/>
        </w:rPr>
        <w:t xml:space="preserve"> zamestnávateľov.</w:t>
      </w:r>
    </w:p>
    <w:p w14:paraId="787C69AB" w14:textId="7A5DBB73" w:rsidR="002066A5" w:rsidRPr="00B3394D" w:rsidRDefault="002066A5" w:rsidP="002066A5">
      <w:pPr>
        <w:pStyle w:val="Nadpis20"/>
      </w:pPr>
      <w:bookmarkStart w:id="73" w:name="_Toc104729992"/>
      <w:bookmarkStart w:id="74" w:name="_Toc173741557"/>
      <w:r w:rsidRPr="0029181E">
        <w:rPr>
          <w:bCs/>
          <w:iCs w:val="0"/>
          <w:color w:val="auto"/>
        </w:rPr>
        <w:t>3</w:t>
      </w:r>
      <w:r w:rsidR="00AB5C03">
        <w:rPr>
          <w:bCs/>
        </w:rPr>
        <w:t xml:space="preserve">.3 </w:t>
      </w:r>
      <w:r w:rsidRPr="00CA1272">
        <w:t xml:space="preserve">Odborné poradenské služby </w:t>
      </w:r>
      <w:r>
        <w:t>–</w:t>
      </w:r>
      <w:r w:rsidRPr="00CA1272">
        <w:t xml:space="preserve"> § 43 zákona o službách zamestnanosti</w:t>
      </w:r>
      <w:bookmarkEnd w:id="73"/>
      <w:bookmarkEnd w:id="74"/>
    </w:p>
    <w:p w14:paraId="57EECA58" w14:textId="0D405B52" w:rsidR="002066A5" w:rsidRDefault="002066A5" w:rsidP="002066A5">
      <w:pPr>
        <w:spacing w:before="120" w:after="0"/>
        <w:ind w:hanging="6"/>
      </w:pPr>
      <w:r>
        <w:t xml:space="preserve">Cieľom odborných poradenských služieb (ďalej len „OPS“) je poskytovanie poradenskej podpory pre UoZ a ZoZ využívaním metód kariérneho poradenstva, ktoré posilňujú motiváciu, ovplyvňujú postoje a rozvíjajú zručnosti pre riadenie vlastnej kariéry. OPS sú zamerané na riešenie problémov spojených s pracovným uplatnením UoZ, na vytváranie súladu medzi jeho osobnostnými predpokladmi a požiadavkami na vykonávanie určitého zamestnania, na ovplyvňovanie rozhodovania a správania sa UoZ, ako aj na jeho sociálnu a pracovnú adaptáciu. OPS môžu byť realizované prostredníctvom § 43 zákona, ale aj prostredníctvom projektov, resp. NP realizovaných v zmysle § 54 zákona. OPS poskytované v zmysle § 43 (ďalej len „neprojektové OPS“) sú zabezpečované prostredníctvom odborných poradcov, ktorí sú kmeňovými zamestnancami úradov. Charakter neprojektových OPS je rôznorodý, čo do formy, obsahu aj rozsahu (napr. individuálny akčný plán (ďalej len „IAP“), výbery do projektov a programov, výbery na vzdelávanie, bilancia kompetencií UoZ realizovaná výlučne individuálnou formou a hodnotiace a rozvojové centrum). Niektoré z týchto neprojektových OPS majú charakter krátkodobej, resp. jednorazovej intervencie a niektoré zasa poskytujú klientovi viac systematickú a dlhodobejšiu podporu. OPS poskytované v zmysle § 54 zákona v rámci projektov, resp. NP (ďalej aj „projektové OPS“) sú zabezpečované zvyčajne prostredníctvom odborných poradcov, ktorí sú projektovými zamestnancami úradov (sú zamestnaní na obdobie realizácie konkrétneho projektu), ale v prípade potreby aj kmeňovými zamestnancami úradov. Charakter projektových OPS vo väzbe k príslušnému poradenskému projektu je jednotný vo forme, obsahu aj rozsahu. Poradenské projekty a v ich rámci poskytované projektové OPS poskytujú klientovi systematickú podporu, ktorá je zvyčajne dlhodobejšieho charakteru. V roku </w:t>
      </w:r>
      <w:r>
        <w:lastRenderedPageBreak/>
        <w:t>2023 poskytovalo neprojektové OPS 169 kmeňových odborných poradcov (do tohto počtu nie sú zahrnutí projektoví odborní poradcovia). V priemere poskytol jeden kmeňový odborný poradca v roku 2023 neprojektové OPS pre 69 klientov</w:t>
      </w:r>
      <w:r w:rsidRPr="00545F3D">
        <w:t>. V roku 2023 boli neprojektové OPS poskytnuté pre 11 618 klientov, z toho 11 435 UoZ a 183 ZoZ. Z</w:t>
      </w:r>
      <w:r>
        <w:t xml:space="preserve"> celkového počtu klientov, ktorým boli v roku 2023 poskytnuté neprojektové OPS, bolo </w:t>
      </w:r>
      <w:r w:rsidRPr="001F5A90">
        <w:t>6</w:t>
      </w:r>
      <w:r>
        <w:t> </w:t>
      </w:r>
      <w:r w:rsidRPr="001F5A90">
        <w:t>852</w:t>
      </w:r>
      <w:r>
        <w:t xml:space="preserve"> žien (</w:t>
      </w:r>
      <w:r w:rsidRPr="001F5A90">
        <w:t>58,98</w:t>
      </w:r>
      <w:r>
        <w:t xml:space="preserve"> %) a </w:t>
      </w:r>
      <w:r w:rsidRPr="001F5A90">
        <w:t>4</w:t>
      </w:r>
      <w:r>
        <w:t> </w:t>
      </w:r>
      <w:r w:rsidRPr="001F5A90">
        <w:t>766</w:t>
      </w:r>
      <w:r w:rsidRPr="001F5A90" w:rsidDel="001F5A90">
        <w:t xml:space="preserve"> </w:t>
      </w:r>
      <w:r>
        <w:t>mužov (</w:t>
      </w:r>
      <w:r w:rsidRPr="001F5A90">
        <w:t>41,02</w:t>
      </w:r>
      <w:r w:rsidRPr="001F5A90" w:rsidDel="001F5A90">
        <w:t xml:space="preserve"> </w:t>
      </w:r>
      <w:r>
        <w:t xml:space="preserve">%). V roku 2023 bolo klientom poskytnutých celkovo </w:t>
      </w:r>
      <w:r w:rsidRPr="00B54541">
        <w:t>33</w:t>
      </w:r>
      <w:r>
        <w:t> </w:t>
      </w:r>
      <w:r w:rsidRPr="00B54541">
        <w:t>920</w:t>
      </w:r>
      <w:r>
        <w:t xml:space="preserve"> neprojektových OPS. Najpočetnejšou skupinou z pohľadu veku bola skupina klientov vo veku od 30 do 49 rokov </w:t>
      </w:r>
      <w:r w:rsidR="00842150">
        <w:t xml:space="preserve">             </w:t>
      </w:r>
      <w:r>
        <w:t xml:space="preserve">v celkovom počte </w:t>
      </w:r>
      <w:r w:rsidRPr="00E9771B">
        <w:t>5</w:t>
      </w:r>
      <w:r>
        <w:t> </w:t>
      </w:r>
      <w:r w:rsidRPr="00E9771B">
        <w:t>348</w:t>
      </w:r>
      <w:r>
        <w:t xml:space="preserve"> klientov (</w:t>
      </w:r>
      <w:r w:rsidRPr="00E9771B">
        <w:t>46,03</w:t>
      </w:r>
      <w:r>
        <w:t xml:space="preserve"> %). Druhou </w:t>
      </w:r>
      <w:r w:rsidRPr="00656678">
        <w:t xml:space="preserve">najpočetnejšou skupinou klientov, ktorým boli poskytované neprojektové OPS, boli klienti vo veku 50 rokov a viac </w:t>
      </w:r>
      <w:r>
        <w:t>–</w:t>
      </w:r>
      <w:r w:rsidRPr="00656678">
        <w:t xml:space="preserve"> </w:t>
      </w:r>
      <w:r>
        <w:t>3 151</w:t>
      </w:r>
      <w:r w:rsidRPr="00656678">
        <w:t xml:space="preserve"> klientov </w:t>
      </w:r>
      <w:r w:rsidR="002C4897">
        <w:t xml:space="preserve">     </w:t>
      </w:r>
      <w:r w:rsidRPr="00656678">
        <w:t>(</w:t>
      </w:r>
      <w:r>
        <w:t>27,12</w:t>
      </w:r>
      <w:r w:rsidRPr="00656678">
        <w:t xml:space="preserve"> %).</w:t>
      </w:r>
      <w:r>
        <w:t xml:space="preserve"> Celková veková štruktúra klientov je </w:t>
      </w:r>
      <w:r w:rsidR="002C4897">
        <w:t>znázornená v nasledujúcom grafe</w:t>
      </w:r>
      <w:r>
        <w:t xml:space="preserve">. </w:t>
      </w:r>
    </w:p>
    <w:bookmarkStart w:id="75" w:name="_MON_1776709990"/>
    <w:bookmarkEnd w:id="75"/>
    <w:p w14:paraId="5C5C3875" w14:textId="44476809" w:rsidR="002066A5" w:rsidRDefault="00064B9A" w:rsidP="002C4897">
      <w:pPr>
        <w:spacing w:before="120" w:after="60"/>
        <w:ind w:left="714" w:hanging="856"/>
        <w:jc w:val="center"/>
      </w:pPr>
      <w:r>
        <w:object w:dxaOrig="7512" w:dyaOrig="4321" w14:anchorId="1D16F7EF">
          <v:shape id="_x0000_i1026" type="#_x0000_t75" style="width:473.3pt;height:201.6pt" o:ole="">
            <v:imagedata r:id="rId20" o:title=""/>
          </v:shape>
          <o:OLEObject Type="Embed" ProgID="Excel.Sheet.12" ShapeID="_x0000_i1026" DrawAspect="Content" ObjectID="_1784364754" r:id="rId21"/>
        </w:object>
      </w:r>
    </w:p>
    <w:p w14:paraId="2C4D9C19" w14:textId="2B24FA5E" w:rsidR="002066A5" w:rsidRDefault="002066A5" w:rsidP="002066A5">
      <w:pPr>
        <w:spacing w:before="120" w:after="0"/>
        <w:ind w:hanging="6"/>
      </w:pPr>
      <w:r>
        <w:t xml:space="preserve">Z hľadiska vzdelanostnej štruktúry medzi klientmi neprojektových OPS dominovala skupina klientov s úplným stredným odborným vzdelaním (3 340 klientov - t. j. 28,75 %). Celková vzdelanostná štruktúra klientov je uvedená v nasledujúcom grafe. </w:t>
      </w:r>
    </w:p>
    <w:p w14:paraId="5C706B1C" w14:textId="291DBF8D" w:rsidR="002066A5" w:rsidRDefault="00064B9A" w:rsidP="002066A5">
      <w:r>
        <w:object w:dxaOrig="17255" w:dyaOrig="7500" w14:anchorId="1532503D">
          <v:shape id="_x0000_i1027" type="#_x0000_t75" style="width:469.55pt;height:211pt" o:ole="">
            <v:imagedata r:id="rId22" o:title=""/>
          </v:shape>
          <o:OLEObject Type="Embed" ProgID="Excel.Sheet.12" ShapeID="_x0000_i1027" DrawAspect="Content" ObjectID="_1784364755" r:id="rId23"/>
        </w:object>
      </w:r>
    </w:p>
    <w:p w14:paraId="316F4117" w14:textId="5BDCD999" w:rsidR="002066A5" w:rsidRDefault="002066A5" w:rsidP="002066A5">
      <w:pPr>
        <w:spacing w:before="120" w:after="0"/>
        <w:ind w:hanging="6"/>
      </w:pPr>
      <w:r>
        <w:t>Pokiaľ ide o štruktúru klientov, ktorí sa nachádzajú v evidencii UoZ, v roku 2023 boli neprojektové OPS vo výraznej väčšine poskytované predovšetkým ZUoZ, a to až 91,73 % (</w:t>
      </w:r>
      <w:r w:rsidRPr="002F1F49">
        <w:t>10</w:t>
      </w:r>
      <w:r>
        <w:t> </w:t>
      </w:r>
      <w:r w:rsidRPr="002F1F49">
        <w:t>489</w:t>
      </w:r>
      <w:r>
        <w:t xml:space="preserve"> UoZ) z celkového počtu UoZ, ktorým boli poskytnuté neprojektové OPS, malo minimálne jedno znevýhodnenie. Medzi nimi boli najviac zastúpení ZUoZ, ktorí 12 po sebe nasledujúcich kalendárnych mesiacov pred zaradením do evidencie UoZ nemali pravidelne platené zamestnanie (</w:t>
      </w:r>
      <w:r w:rsidRPr="00262C79">
        <w:t>7</w:t>
      </w:r>
      <w:r>
        <w:t xml:space="preserve"> </w:t>
      </w:r>
      <w:r w:rsidRPr="00262C79">
        <w:t>264</w:t>
      </w:r>
      <w:r>
        <w:t xml:space="preserve"> UoZ, t. j. 63,52 %), za nimi nasledovali DN UoZ (</w:t>
      </w:r>
      <w:r w:rsidRPr="00262C79">
        <w:t>6</w:t>
      </w:r>
      <w:r>
        <w:t xml:space="preserve"> </w:t>
      </w:r>
      <w:r w:rsidRPr="00262C79">
        <w:t>093</w:t>
      </w:r>
      <w:r>
        <w:t xml:space="preserve">, t. j. 53,28 %) a občania </w:t>
      </w:r>
      <w:r w:rsidRPr="00262C79">
        <w:t>s nižším vzdelaním ako stredné odborné</w:t>
      </w:r>
      <w:r w:rsidRPr="00262C79" w:rsidDel="00262C79">
        <w:t xml:space="preserve"> </w:t>
      </w:r>
      <w:r>
        <w:t>(</w:t>
      </w:r>
      <w:r w:rsidRPr="00262C79">
        <w:t>3</w:t>
      </w:r>
      <w:r>
        <w:t> </w:t>
      </w:r>
      <w:r w:rsidRPr="00262C79">
        <w:t>438</w:t>
      </w:r>
      <w:r w:rsidR="00D036C4">
        <w:t xml:space="preserve"> - </w:t>
      </w:r>
      <w:r>
        <w:t xml:space="preserve">30,07 %). Vyššie pomerné zastúpenie v neprojektových OPS týchto najčastejšie sa vyskytujúcich znevýhodnení v rámci evidencie UoZ </w:t>
      </w:r>
      <w:r>
        <w:lastRenderedPageBreak/>
        <w:t xml:space="preserve">poukazuje na cielenejší výber, a tým aj na zvýšenie dostupnosti OPS pre tieto skupiny UoZ prostredníctvom efektívnej profilácie. Štruktúra znevýhodnení je uvedená v grafe </w:t>
      </w:r>
      <w:r w:rsidR="002C4897">
        <w:t>nižšie</w:t>
      </w:r>
      <w:r>
        <w:t>.</w:t>
      </w:r>
      <w:r w:rsidRPr="00210AB7">
        <w:t xml:space="preserve"> </w:t>
      </w:r>
    </w:p>
    <w:p w14:paraId="1420D737" w14:textId="6B0DD827" w:rsidR="002066A5" w:rsidRDefault="00064B9A" w:rsidP="00D036C4">
      <w:pPr>
        <w:ind w:hanging="142"/>
      </w:pPr>
      <w:r>
        <w:object w:dxaOrig="10380" w:dyaOrig="5340" w14:anchorId="463CE16B">
          <v:shape id="_x0000_i1028" type="#_x0000_t75" style="width:472.05pt;height:214.1pt" o:ole="">
            <v:imagedata r:id="rId24" o:title=""/>
          </v:shape>
          <o:OLEObject Type="Embed" ProgID="Excel.Sheet.12" ShapeID="_x0000_i1028" DrawAspect="Content" ObjectID="_1784364756" r:id="rId25"/>
        </w:object>
      </w:r>
    </w:p>
    <w:p w14:paraId="4AED13E0" w14:textId="21156D81" w:rsidR="002066A5" w:rsidRDefault="002066A5" w:rsidP="002066A5">
      <w:pPr>
        <w:spacing w:before="120" w:after="0"/>
        <w:ind w:hanging="6"/>
      </w:pPr>
      <w:r>
        <w:t>OPS boli realizované individuálnou a skupinovou formou. V preva</w:t>
      </w:r>
      <w:r w:rsidR="00D036C4">
        <w:t xml:space="preserve">žnej miere boli OPS v roku 2023 </w:t>
      </w:r>
      <w:r>
        <w:t xml:space="preserve">poskytované individuálnou formou – bolo poskytnutých </w:t>
      </w:r>
      <w:r w:rsidRPr="00262C79">
        <w:t>22</w:t>
      </w:r>
      <w:r>
        <w:t> </w:t>
      </w:r>
      <w:r w:rsidRPr="00262C79">
        <w:t>364</w:t>
      </w:r>
      <w:r>
        <w:t xml:space="preserve"> individuálnych poradenských služieb (65,93 %) a </w:t>
      </w:r>
      <w:r w:rsidRPr="00262C79">
        <w:t>11</w:t>
      </w:r>
      <w:r>
        <w:t> </w:t>
      </w:r>
      <w:r w:rsidRPr="00262C79">
        <w:t>556</w:t>
      </w:r>
      <w:r>
        <w:t xml:space="preserve"> skupinových poradenských služieb (34,07 %). Štruktúru neprojektových OPS poskytnutých v roku 2023 v členení podľa formy realizácie (individuálna alebo skupinová forma) vyjadruje nasledujúci graf. </w:t>
      </w:r>
    </w:p>
    <w:p w14:paraId="057BE5F7" w14:textId="73F3232B" w:rsidR="002066A5" w:rsidRDefault="00064B9A" w:rsidP="00D036C4">
      <w:pPr>
        <w:spacing w:after="0"/>
        <w:ind w:hanging="142"/>
        <w:jc w:val="center"/>
      </w:pPr>
      <w:r w:rsidRPr="00171D48">
        <w:object w:dxaOrig="6125" w:dyaOrig="3694" w14:anchorId="28A0949F">
          <v:shape id="_x0000_i1029" type="#_x0000_t75" style="width:475.2pt;height:222.9pt" o:ole="">
            <v:imagedata r:id="rId26" o:title=""/>
          </v:shape>
          <o:OLEObject Type="Embed" ProgID="Excel.Sheet.12" ShapeID="_x0000_i1029" DrawAspect="Content" ObjectID="_1784364757" r:id="rId27"/>
        </w:object>
      </w:r>
    </w:p>
    <w:p w14:paraId="7C08490E" w14:textId="77777777" w:rsidR="002066A5" w:rsidRPr="00210AB7" w:rsidRDefault="002066A5" w:rsidP="002066A5">
      <w:pPr>
        <w:spacing w:before="120" w:after="0"/>
        <w:ind w:firstLine="0"/>
      </w:pPr>
      <w:r>
        <w:t>V rámci neprojektových OPS boli v roku 2023 poskytované najmä nasledovné aktivity:</w:t>
      </w:r>
    </w:p>
    <w:p w14:paraId="64E79F09" w14:textId="77777777" w:rsidR="002066A5" w:rsidRPr="00210AB7" w:rsidRDefault="002066A5" w:rsidP="002066A5">
      <w:pPr>
        <w:numPr>
          <w:ilvl w:val="0"/>
          <w:numId w:val="9"/>
        </w:numPr>
        <w:spacing w:before="120" w:after="0"/>
        <w:ind w:left="360"/>
      </w:pPr>
      <w:r w:rsidRPr="009729EB">
        <w:rPr>
          <w:b/>
          <w:bCs/>
        </w:rPr>
        <w:t>Vypracovávanie individuálnych akčných plánov</w:t>
      </w:r>
      <w:r>
        <w:t xml:space="preserve"> (ďalej len „IAP“) UoZ. IAP je písomný dokument, ktorý na základe činností a postupov OPS určuje opatrenia, postup a časový harmonogram plnenia jednotlivých opatrení na zvýšenie možností uplatnenia ZUoZ na TP. Celkovo boli v roku 2023 OPS formou IAP poskytnuté </w:t>
      </w:r>
      <w:r w:rsidRPr="002979B3">
        <w:t>4</w:t>
      </w:r>
      <w:r>
        <w:t> </w:t>
      </w:r>
      <w:r w:rsidRPr="002979B3">
        <w:t>004</w:t>
      </w:r>
      <w:r>
        <w:t xml:space="preserve"> ZUoZ, čo predstavuje </w:t>
      </w:r>
      <w:r w:rsidRPr="009729EB">
        <w:rPr>
          <w:rFonts w:eastAsia="Calibri"/>
        </w:rPr>
        <w:t>nárast oproti roku 202</w:t>
      </w:r>
      <w:r>
        <w:rPr>
          <w:rFonts w:eastAsia="Calibri"/>
        </w:rPr>
        <w:t>2</w:t>
      </w:r>
      <w:r w:rsidRPr="009729EB">
        <w:rPr>
          <w:rFonts w:eastAsia="Calibri"/>
        </w:rPr>
        <w:t xml:space="preserve"> o </w:t>
      </w:r>
      <w:r>
        <w:rPr>
          <w:rFonts w:eastAsia="Calibri"/>
        </w:rPr>
        <w:t>33</w:t>
      </w:r>
      <w:r>
        <w:t xml:space="preserve"> vypracovaných IAP. Celkovo bolo v rámci zrealizovaných IAP uskutočnených </w:t>
      </w:r>
      <w:r w:rsidRPr="002979B3">
        <w:t>14</w:t>
      </w:r>
      <w:r>
        <w:t> </w:t>
      </w:r>
      <w:r w:rsidRPr="002979B3">
        <w:t>704</w:t>
      </w:r>
      <w:r>
        <w:t xml:space="preserve"> individuálnych stretnutí, t. j. v priemere takmer 3 stretnutia na jedného ZUoZ. V prípade dokončenia  poradenského procesu v rámci IAP je výstupom z poradenského procesu vypracovanie plánu opatrení na zvýšenie možností uplatnenia sa na TP, resp. akčného plánu. V roku 2023 ukončilo realizáciu IAP vypracovaním záverečného výstupu z poradenského procesu, t. j. plánom opatrení </w:t>
      </w:r>
      <w:r w:rsidRPr="0090341F">
        <w:t>3</w:t>
      </w:r>
      <w:r>
        <w:t> </w:t>
      </w:r>
      <w:r w:rsidRPr="0090341F">
        <w:t>846</w:t>
      </w:r>
      <w:r>
        <w:t xml:space="preserve"> ZUoZ. </w:t>
      </w:r>
    </w:p>
    <w:p w14:paraId="24CD0D57" w14:textId="77777777" w:rsidR="002066A5" w:rsidRDefault="002066A5" w:rsidP="002066A5">
      <w:pPr>
        <w:numPr>
          <w:ilvl w:val="0"/>
          <w:numId w:val="9"/>
        </w:numPr>
        <w:spacing w:before="120" w:after="0"/>
        <w:ind w:left="360"/>
      </w:pPr>
      <w:r w:rsidRPr="0CFFCD44">
        <w:rPr>
          <w:b/>
          <w:bCs/>
        </w:rPr>
        <w:t>Skupinové poradenské aktivity – opakované</w:t>
      </w:r>
      <w:r w:rsidRPr="0CFFCD44">
        <w:t xml:space="preserve">, ktoré boli poskytnuté </w:t>
      </w:r>
      <w:r w:rsidRPr="00DE5421">
        <w:t>3</w:t>
      </w:r>
      <w:r>
        <w:t> </w:t>
      </w:r>
      <w:r w:rsidRPr="00DE5421">
        <w:t>117</w:t>
      </w:r>
      <w:r>
        <w:t xml:space="preserve"> </w:t>
      </w:r>
      <w:r w:rsidRPr="0CFFCD44">
        <w:t xml:space="preserve">klientom.  </w:t>
      </w:r>
    </w:p>
    <w:p w14:paraId="698579C0" w14:textId="77777777" w:rsidR="002066A5" w:rsidRPr="00210AB7" w:rsidRDefault="002066A5" w:rsidP="002066A5">
      <w:pPr>
        <w:numPr>
          <w:ilvl w:val="0"/>
          <w:numId w:val="9"/>
        </w:numPr>
        <w:spacing w:before="120" w:after="0"/>
        <w:ind w:left="360"/>
      </w:pPr>
      <w:r w:rsidRPr="009729EB">
        <w:rPr>
          <w:b/>
          <w:bCs/>
        </w:rPr>
        <w:lastRenderedPageBreak/>
        <w:t>Skupinové poradenské aktivity – jednorazové</w:t>
      </w:r>
      <w:r>
        <w:t xml:space="preserve">, ktoré boli poskytnuté </w:t>
      </w:r>
      <w:r w:rsidRPr="00DE5421">
        <w:t>2</w:t>
      </w:r>
      <w:r>
        <w:t> </w:t>
      </w:r>
      <w:r w:rsidRPr="00DE5421">
        <w:t>058</w:t>
      </w:r>
      <w:r>
        <w:t xml:space="preserve"> klientom. </w:t>
      </w:r>
    </w:p>
    <w:p w14:paraId="409CAEF7" w14:textId="77777777" w:rsidR="002066A5" w:rsidRDefault="002066A5" w:rsidP="002066A5">
      <w:pPr>
        <w:numPr>
          <w:ilvl w:val="0"/>
          <w:numId w:val="9"/>
        </w:numPr>
        <w:spacing w:before="120" w:after="0"/>
        <w:ind w:left="360"/>
      </w:pPr>
      <w:r w:rsidRPr="0CFFCD44">
        <w:rPr>
          <w:b/>
          <w:bCs/>
        </w:rPr>
        <w:t>Poradenský rozhovor mimo IAP – opakovaný</w:t>
      </w:r>
      <w:r>
        <w:t xml:space="preserve"> je forma OPS, ktorá je obdobná ako IAP, avšak môže byť poskytovaná UoZ, ktorí nie sú znevýhodnení. Celkovo boli v roku 2023 individuálne poradenstvo opakované realizované mimo IAP poskytnuté </w:t>
      </w:r>
      <w:r w:rsidRPr="00DE5421">
        <w:t>1</w:t>
      </w:r>
      <w:r>
        <w:t> </w:t>
      </w:r>
      <w:r w:rsidRPr="00DE5421">
        <w:t>835</w:t>
      </w:r>
      <w:r>
        <w:t xml:space="preserve"> UoZ. Celkovo bolo v rámci opakovaných poradenských rozhovorov mimo IAP uskutočnených </w:t>
      </w:r>
      <w:r w:rsidRPr="00DE5421">
        <w:t>4</w:t>
      </w:r>
      <w:r>
        <w:t> </w:t>
      </w:r>
      <w:r w:rsidRPr="00DE5421">
        <w:t>073</w:t>
      </w:r>
      <w:r>
        <w:t xml:space="preserve"> individuálnych stretnutí, t. j. v priemere približne 2 a pol stretnutia na jedného UoZ. Podobne ako pri IAP, aj pri tejto forme OPS je v prípade dokončenia poradenského procesu výstupom z poradenského procesu vypracovanie plánu opatrení na zvýšenie možností uplatnenia sa na TP. V roku 2023 ukončilo realizáciu individuálneho poradenstva opakovaného realizovaného mimo IAP vypracovaním záverečného výstupu z poradenského procesu, t. j. plánom opatrení </w:t>
      </w:r>
      <w:r w:rsidRPr="00DE5421">
        <w:t>963</w:t>
      </w:r>
      <w:r>
        <w:t xml:space="preserve"> UoZ.  </w:t>
      </w:r>
    </w:p>
    <w:p w14:paraId="55F10901" w14:textId="77777777" w:rsidR="002066A5" w:rsidRDefault="002066A5" w:rsidP="002066A5">
      <w:pPr>
        <w:numPr>
          <w:ilvl w:val="0"/>
          <w:numId w:val="9"/>
        </w:numPr>
        <w:spacing w:before="120" w:after="0"/>
        <w:ind w:left="360"/>
      </w:pPr>
      <w:r w:rsidRPr="0CFFCD44">
        <w:rPr>
          <w:b/>
          <w:bCs/>
        </w:rPr>
        <w:t>Poradenský rozhovor mimo IAP – jednorazový</w:t>
      </w:r>
      <w:r w:rsidRPr="0CFFCD44">
        <w:t xml:space="preserve">, ktorý bol poskytnutý </w:t>
      </w:r>
      <w:r w:rsidRPr="00DE5421">
        <w:t>961</w:t>
      </w:r>
      <w:r w:rsidRPr="0CFFCD44">
        <w:t xml:space="preserve"> klientom.</w:t>
      </w:r>
    </w:p>
    <w:p w14:paraId="1AF34BF3" w14:textId="77777777" w:rsidR="002066A5" w:rsidRPr="00210AB7" w:rsidRDefault="002066A5" w:rsidP="002066A5">
      <w:pPr>
        <w:numPr>
          <w:ilvl w:val="0"/>
          <w:numId w:val="9"/>
        </w:numPr>
        <w:spacing w:before="120" w:after="0"/>
        <w:ind w:left="284" w:hanging="284"/>
      </w:pPr>
      <w:r w:rsidRPr="009729EB">
        <w:rPr>
          <w:b/>
          <w:bCs/>
        </w:rPr>
        <w:t>Výber do projektov a programov</w:t>
      </w:r>
      <w:r>
        <w:t xml:space="preserve"> je individuálna alebo skupinová aktivita s klientmi s cieľom výberu do poradenských programov, projektov, výcvikov alebo iných aktivít, ktorá bola poskytnutá pre 95 klientov. </w:t>
      </w:r>
    </w:p>
    <w:p w14:paraId="02B561ED" w14:textId="77777777" w:rsidR="002066A5" w:rsidRPr="00210AB7" w:rsidRDefault="002066A5" w:rsidP="002066A5">
      <w:pPr>
        <w:numPr>
          <w:ilvl w:val="0"/>
          <w:numId w:val="9"/>
        </w:numPr>
        <w:spacing w:before="120" w:after="0"/>
        <w:ind w:left="284" w:hanging="284"/>
      </w:pPr>
      <w:r w:rsidRPr="009729EB">
        <w:rPr>
          <w:b/>
          <w:bCs/>
        </w:rPr>
        <w:t>Výber na vzdelávanie</w:t>
      </w:r>
      <w:r>
        <w:t xml:space="preserve"> je individuálnou alebo skupinovou formou realizovaný výber klientov na vzdelávanie realizovaný odborným poradcom, ktorý bol poskytnutý 63 klientom. </w:t>
      </w:r>
    </w:p>
    <w:p w14:paraId="037A80DE" w14:textId="77777777" w:rsidR="002066A5" w:rsidRDefault="002066A5" w:rsidP="002066A5">
      <w:pPr>
        <w:numPr>
          <w:ilvl w:val="0"/>
          <w:numId w:val="9"/>
        </w:numPr>
        <w:spacing w:before="120" w:after="0"/>
        <w:ind w:left="284" w:hanging="284"/>
      </w:pPr>
      <w:r w:rsidRPr="00225993">
        <w:rPr>
          <w:b/>
          <w:bCs/>
        </w:rPr>
        <w:t>Hodnotiace a rozvojové centrum</w:t>
      </w:r>
      <w:r>
        <w:t xml:space="preserve"> je jednodňová intenzívna služba, ktorá umožňuje účastníkom zhodnotiť svoje kompetencie a osobnostné predpoklady a pripraviť sa                                 na VK realizované formou assessment centra. Hodnotiace a rozvojové centrum bolo poskytnuté pre 21 klientov.</w:t>
      </w:r>
    </w:p>
    <w:p w14:paraId="0DAE67DF" w14:textId="77777777" w:rsidR="002066A5" w:rsidRDefault="002066A5" w:rsidP="002066A5">
      <w:pPr>
        <w:numPr>
          <w:ilvl w:val="0"/>
          <w:numId w:val="9"/>
        </w:numPr>
        <w:spacing w:before="120" w:after="0"/>
        <w:ind w:left="284" w:hanging="284"/>
      </w:pPr>
      <w:r>
        <w:rPr>
          <w:b/>
          <w:bCs/>
        </w:rPr>
        <w:t xml:space="preserve">Hodnotenie digitálnej gramotnosti </w:t>
      </w:r>
      <w:r w:rsidRPr="009729EB">
        <w:rPr>
          <w:bCs/>
        </w:rPr>
        <w:t>je</w:t>
      </w:r>
      <w:r>
        <w:rPr>
          <w:b/>
          <w:bCs/>
        </w:rPr>
        <w:t xml:space="preserve"> </w:t>
      </w:r>
      <w:r>
        <w:t>špecifický nástroj OPS, ktorý je zameraný na zhodnotenie úrovne digitálnych zručností UoZ v prípade, ak v rámci poradenského procesu boli identifikované náznaky toho, že UoZ nedosahuje ani minimálnu úroveň digitálnych zručností. Hodnotenie digitálnej gramotnosti bolo poskytnuté pre 21 UoZ.</w:t>
      </w:r>
    </w:p>
    <w:p w14:paraId="76D3885A" w14:textId="77777777" w:rsidR="002066A5" w:rsidRDefault="002066A5" w:rsidP="002066A5">
      <w:pPr>
        <w:numPr>
          <w:ilvl w:val="0"/>
          <w:numId w:val="9"/>
        </w:numPr>
        <w:spacing w:before="120" w:after="0"/>
        <w:ind w:left="284" w:hanging="284"/>
      </w:pPr>
      <w:r w:rsidRPr="009729EB">
        <w:rPr>
          <w:b/>
          <w:bCs/>
        </w:rPr>
        <w:t xml:space="preserve">Bilancia kompetencií </w:t>
      </w:r>
      <w:r>
        <w:t xml:space="preserve">UoZ je OPS, ktorou sa analyzujú nadobudnuté vedomosti, zručnosti, osobnostné predpoklady a motivácie UoZ, s cieľom vypracovať realistický plán budúceho profesijného smerovania. Bilancia kompetencií bola zrealizovaná kmeňovými odbornými poradcami individuálnou formou pre 15 UoZ. </w:t>
      </w:r>
    </w:p>
    <w:p w14:paraId="2C22D80D" w14:textId="32EBE098" w:rsidR="002066A5" w:rsidRDefault="002066A5" w:rsidP="002066A5">
      <w:pPr>
        <w:spacing w:before="120" w:after="0"/>
        <w:ind w:firstLine="0"/>
        <w:rPr>
          <w:bCs/>
        </w:rPr>
      </w:pPr>
      <w:r w:rsidRPr="001515E8">
        <w:rPr>
          <w:bCs/>
        </w:rPr>
        <w:t>Na účely hodnotenia kvality poskytovania neprojektových OPS sa využíva</w:t>
      </w:r>
      <w:r w:rsidRPr="004D71A4">
        <w:rPr>
          <w:b/>
          <w:bCs/>
        </w:rPr>
        <w:t xml:space="preserve"> Analýza situácie UoZ, </w:t>
      </w:r>
      <w:r w:rsidRPr="001515E8">
        <w:rPr>
          <w:bCs/>
        </w:rPr>
        <w:t>ktorá sa robí iba v prípadoch, ak ide o</w:t>
      </w:r>
      <w:r w:rsidRPr="004D71A4">
        <w:rPr>
          <w:b/>
          <w:bCs/>
        </w:rPr>
        <w:t> </w:t>
      </w:r>
      <w:r w:rsidRPr="001515E8">
        <w:rPr>
          <w:bCs/>
        </w:rPr>
        <w:t>IAP, alebo opakované OPS dlhodobého charakteru, ktorých súčasťou sú viaceré individuálne stretnutia</w:t>
      </w:r>
      <w:r w:rsidRPr="004D71A4">
        <w:rPr>
          <w:b/>
          <w:bCs/>
        </w:rPr>
        <w:t xml:space="preserve"> </w:t>
      </w:r>
      <w:r w:rsidRPr="001515E8">
        <w:rPr>
          <w:bCs/>
        </w:rPr>
        <w:t>s UoZ.</w:t>
      </w:r>
      <w:r w:rsidRPr="004D71A4">
        <w:rPr>
          <w:bCs/>
        </w:rPr>
        <w:t xml:space="preserve"> Odborný poradca monitoruje úroveň zručností UoZ pre riadenie vlastnej kariéry pred vstupom do a po skončení OPS</w:t>
      </w:r>
      <w:r>
        <w:rPr>
          <w:bCs/>
        </w:rPr>
        <w:t xml:space="preserve">, pričom </w:t>
      </w:r>
      <w:r w:rsidRPr="003E73DE">
        <w:rPr>
          <w:bCs/>
        </w:rPr>
        <w:t>každý UoZ</w:t>
      </w:r>
      <w:r>
        <w:rPr>
          <w:b/>
          <w:bCs/>
        </w:rPr>
        <w:t xml:space="preserve"> </w:t>
      </w:r>
      <w:r>
        <w:rPr>
          <w:bCs/>
        </w:rPr>
        <w:t>môže pri vstupe aj výstupe získať 16 bodov z 16 posudzovaných položiek. Kompletná a</w:t>
      </w:r>
      <w:r w:rsidRPr="001515E8">
        <w:rPr>
          <w:bCs/>
        </w:rPr>
        <w:t>nalýza situácie UoZ</w:t>
      </w:r>
      <w:r>
        <w:rPr>
          <w:bCs/>
        </w:rPr>
        <w:t>, t. j. obsahujúca vstupné aj výstupné údaje,</w:t>
      </w:r>
      <w:r w:rsidRPr="004D71A4">
        <w:rPr>
          <w:b/>
          <w:bCs/>
        </w:rPr>
        <w:t xml:space="preserve"> </w:t>
      </w:r>
      <w:r w:rsidRPr="001515E8">
        <w:rPr>
          <w:bCs/>
        </w:rPr>
        <w:t xml:space="preserve">bola </w:t>
      </w:r>
      <w:r>
        <w:rPr>
          <w:bCs/>
        </w:rPr>
        <w:t xml:space="preserve">v roku 2023 </w:t>
      </w:r>
      <w:r w:rsidRPr="001515E8">
        <w:rPr>
          <w:bCs/>
        </w:rPr>
        <w:t xml:space="preserve">vypracovaná pre </w:t>
      </w:r>
      <w:r>
        <w:rPr>
          <w:bCs/>
        </w:rPr>
        <w:t xml:space="preserve">3 775 </w:t>
      </w:r>
      <w:r w:rsidRPr="001515E8">
        <w:rPr>
          <w:bCs/>
        </w:rPr>
        <w:t>UoZ.</w:t>
      </w:r>
      <w:r w:rsidRPr="00FF6328">
        <w:t xml:space="preserve"> </w:t>
      </w:r>
      <w:r>
        <w:t>Všetkých 3 775 UoZ pri vstupe do OPS získalo spolu 23 735 bodov zo 60 400 možných bodov,</w:t>
      </w:r>
      <w:r w:rsidRPr="00D72A2C">
        <w:t xml:space="preserve"> </w:t>
      </w:r>
      <w:r>
        <w:t>čo znamená, že</w:t>
      </w:r>
      <w:r w:rsidRPr="00D72A2C">
        <w:t xml:space="preserve"> </w:t>
      </w:r>
      <w:r>
        <w:t>c</w:t>
      </w:r>
      <w:r w:rsidRPr="00D72A2C">
        <w:t>elková úroveň zručností pre riadenie vlastnej kariéry u sledovaných UoZ</w:t>
      </w:r>
      <w:r>
        <w:t xml:space="preserve"> </w:t>
      </w:r>
      <w:r w:rsidRPr="00D72A2C">
        <w:t>bol</w:t>
      </w:r>
      <w:r>
        <w:t>a</w:t>
      </w:r>
      <w:r w:rsidRPr="00D72A2C">
        <w:t xml:space="preserve"> </w:t>
      </w:r>
      <w:r>
        <w:t>na začiatku poradenského procesu</w:t>
      </w:r>
      <w:r w:rsidRPr="00D72A2C">
        <w:t xml:space="preserve"> </w:t>
      </w:r>
      <w:r>
        <w:t>na úrovni v priemere 39,30 </w:t>
      </w:r>
      <w:r w:rsidRPr="007F7A9E">
        <w:t>%</w:t>
      </w:r>
      <w:r>
        <w:t xml:space="preserve">. Po skončení poradenského procesu týchto 3 775 UoZ získalo spolu 40 478 bodov, čo predstavuje nárast o 16 743 bodov, takže celková úroveň </w:t>
      </w:r>
      <w:r w:rsidRPr="00D72A2C">
        <w:t>zručností pre riadenie vlastnej kariéry u sledovaných UoZ</w:t>
      </w:r>
      <w:r>
        <w:t xml:space="preserve"> na konci poradenského procesu</w:t>
      </w:r>
      <w:r w:rsidRPr="00D72A2C">
        <w:t xml:space="preserve"> </w:t>
      </w:r>
      <w:r>
        <w:t>vzrástla o 27,7</w:t>
      </w:r>
      <w:r w:rsidR="003E3EC7">
        <w:t xml:space="preserve">2 % - </w:t>
      </w:r>
      <w:r>
        <w:t>na úroveň v priemere</w:t>
      </w:r>
      <w:r w:rsidRPr="00D72A2C">
        <w:t xml:space="preserve"> </w:t>
      </w:r>
      <w:r>
        <w:t>67,02 %.</w:t>
      </w:r>
    </w:p>
    <w:p w14:paraId="4FC72371" w14:textId="77777777" w:rsidR="002066A5" w:rsidRDefault="002066A5" w:rsidP="00C57D41">
      <w:pPr>
        <w:spacing w:before="120" w:after="0"/>
        <w:ind w:firstLine="0"/>
        <w:rPr>
          <w:bCs/>
        </w:rPr>
      </w:pPr>
      <w:r>
        <w:rPr>
          <w:bCs/>
        </w:rPr>
        <w:t>Pri porovnaní vstupných a výstupných údajov sme z celkového počtu 3 775 vypracovaných analýz zaznamenali najvyšší posun úrovne zručností UoZ v týchto konkrétnych položkách:</w:t>
      </w:r>
    </w:p>
    <w:p w14:paraId="25A79326" w14:textId="77777777" w:rsidR="002066A5" w:rsidRPr="0018489F" w:rsidRDefault="002066A5" w:rsidP="006C526F">
      <w:pPr>
        <w:pStyle w:val="Odsekzoznamu"/>
        <w:numPr>
          <w:ilvl w:val="0"/>
          <w:numId w:val="22"/>
        </w:numPr>
        <w:spacing w:before="0" w:after="0"/>
        <w:ind w:left="284" w:hanging="284"/>
        <w:rPr>
          <w:bCs/>
        </w:rPr>
      </w:pPr>
      <w:r w:rsidRPr="0018489F">
        <w:rPr>
          <w:bCs/>
        </w:rPr>
        <w:t xml:space="preserve">Dokáže popísať vlastné silné stránky – nárast o 54,17 %, </w:t>
      </w:r>
    </w:p>
    <w:p w14:paraId="28C4DE44" w14:textId="77777777" w:rsidR="002066A5" w:rsidRPr="0018489F" w:rsidRDefault="002066A5" w:rsidP="006C526F">
      <w:pPr>
        <w:pStyle w:val="Odsekzoznamu"/>
        <w:numPr>
          <w:ilvl w:val="0"/>
          <w:numId w:val="22"/>
        </w:numPr>
        <w:spacing w:after="0"/>
        <w:ind w:left="284" w:hanging="284"/>
        <w:contextualSpacing/>
        <w:rPr>
          <w:bCs/>
        </w:rPr>
      </w:pPr>
      <w:r w:rsidRPr="0018489F">
        <w:rPr>
          <w:bCs/>
        </w:rPr>
        <w:t>Vie, čo musí urobiť pre to, aby sa zamestnal (akčný plán) – nárast o 52,13 %,</w:t>
      </w:r>
    </w:p>
    <w:p w14:paraId="238F98CB" w14:textId="77777777" w:rsidR="002066A5" w:rsidRPr="00867949" w:rsidRDefault="002066A5" w:rsidP="006C526F">
      <w:pPr>
        <w:pStyle w:val="Odsekzoznamu"/>
        <w:numPr>
          <w:ilvl w:val="0"/>
          <w:numId w:val="22"/>
        </w:numPr>
        <w:spacing w:after="0"/>
        <w:ind w:left="284" w:hanging="284"/>
        <w:contextualSpacing/>
        <w:rPr>
          <w:bCs/>
        </w:rPr>
      </w:pPr>
      <w:r w:rsidRPr="0018489F">
        <w:rPr>
          <w:bCs/>
        </w:rPr>
        <w:t>Dokáže efektívne absolvovať pracovný pohovor –</w:t>
      </w:r>
      <w:r w:rsidRPr="00867949">
        <w:rPr>
          <w:bCs/>
        </w:rPr>
        <w:t xml:space="preserve"> </w:t>
      </w:r>
      <w:r>
        <w:rPr>
          <w:bCs/>
        </w:rPr>
        <w:t>nárast o 36,48</w:t>
      </w:r>
      <w:r w:rsidRPr="00867949">
        <w:rPr>
          <w:bCs/>
        </w:rPr>
        <w:t xml:space="preserve"> %.</w:t>
      </w:r>
    </w:p>
    <w:p w14:paraId="56E55F2A" w14:textId="77777777" w:rsidR="002066A5" w:rsidRPr="0074583F" w:rsidRDefault="002066A5" w:rsidP="002066A5">
      <w:pPr>
        <w:spacing w:before="120" w:after="0"/>
        <w:ind w:hanging="6"/>
        <w:rPr>
          <w:bCs/>
        </w:rPr>
      </w:pPr>
      <w:r>
        <w:rPr>
          <w:bCs/>
        </w:rPr>
        <w:lastRenderedPageBreak/>
        <w:t xml:space="preserve">Pri týchto položkách bola vstupná úroveň na úrovni v rozpätí od 23,18 % do 33,35 %, čo značí pomerne nízku úroveň, avšak po skončení poradenského procesu bola výstupná úroveň na úrovni v rozpätí od 60,98 % do 87,52 %, čo predstavuje značný nárast úrovne týchto konkrétnych položiek v rámci zručností pre riadenie vlastnej kariéry. </w:t>
      </w:r>
    </w:p>
    <w:p w14:paraId="3880A9AC" w14:textId="77777777" w:rsidR="002066A5" w:rsidRPr="00210AB7" w:rsidRDefault="002066A5" w:rsidP="002066A5">
      <w:pPr>
        <w:spacing w:before="120" w:after="0"/>
        <w:ind w:firstLine="0"/>
      </w:pPr>
      <w:r w:rsidRPr="00210AB7">
        <w:t xml:space="preserve">UoZ, ktorý sa zúčastňuje neprojektových OPS, </w:t>
      </w:r>
      <w:r w:rsidRPr="0091785E">
        <w:t>môže</w:t>
      </w:r>
      <w:r w:rsidRPr="00210AB7">
        <w:t xml:space="preserve"> byť poskytnutá náhrada výdavkov</w:t>
      </w:r>
      <w:r>
        <w:t xml:space="preserve"> </w:t>
      </w:r>
      <w:r w:rsidRPr="00210AB7">
        <w:t>na</w:t>
      </w:r>
      <w:r>
        <w:t> </w:t>
      </w:r>
      <w:r w:rsidRPr="00210AB7">
        <w:t>strav</w:t>
      </w:r>
      <w:r>
        <w:t>né</w:t>
      </w:r>
      <w:r w:rsidRPr="00210AB7">
        <w:t xml:space="preserve">, ubytovanie a výdavkov na </w:t>
      </w:r>
      <w:r>
        <w:t>dopravu</w:t>
      </w:r>
      <w:r w:rsidRPr="00210AB7">
        <w:t xml:space="preserve"> z miesta trvalého pobytu alebo prechodného pobytu do miesta poskytovania OPS a späť podľa zákona č. 283/2002 Z. z. o cestovných náhradách v znení neskorších predpisov. </w:t>
      </w:r>
    </w:p>
    <w:p w14:paraId="3AF9F60A" w14:textId="77777777" w:rsidR="002066A5" w:rsidRPr="00210AB7" w:rsidRDefault="002066A5" w:rsidP="002066A5">
      <w:pPr>
        <w:spacing w:before="120" w:after="0"/>
        <w:ind w:firstLine="0"/>
      </w:pPr>
      <w:r>
        <w:t xml:space="preserve">Finančné prostriedky na účastníkov neprojektových OPS boli v roku 2023 vynaložené vo výške </w:t>
      </w:r>
      <w:r w:rsidRPr="00932597">
        <w:t>120</w:t>
      </w:r>
      <w:r>
        <w:t> </w:t>
      </w:r>
      <w:r w:rsidRPr="00932597">
        <w:t>609,17</w:t>
      </w:r>
      <w:r>
        <w:t xml:space="preserve"> eura, a to na náhradu výdavkov na stravné, ubytovanie a výdavky na cestovné.</w:t>
      </w:r>
    </w:p>
    <w:p w14:paraId="2260AD35" w14:textId="3BB8E3B0" w:rsidR="002066A5" w:rsidRDefault="002066A5" w:rsidP="002066A5">
      <w:pPr>
        <w:spacing w:before="120" w:after="0"/>
        <w:ind w:firstLine="0"/>
      </w:pPr>
      <w:r>
        <w:t>Celková úspešnosť neprojektových OPS bola 70,82 % (z </w:t>
      </w:r>
      <w:r w:rsidRPr="00BB14C8">
        <w:t>11</w:t>
      </w:r>
      <w:r>
        <w:t> </w:t>
      </w:r>
      <w:r w:rsidRPr="00BB14C8">
        <w:t>435</w:t>
      </w:r>
      <w:r>
        <w:t xml:space="preserve"> UoZ, ktorým boli poskytnuté neprojektové OPS, bolo </w:t>
      </w:r>
      <w:r w:rsidRPr="00BB14C8">
        <w:t>8</w:t>
      </w:r>
      <w:r>
        <w:t> </w:t>
      </w:r>
      <w:r w:rsidRPr="00BB14C8">
        <w:t>098</w:t>
      </w:r>
      <w:r>
        <w:t xml:space="preserve"> UoZ umiestnených na TP do šesť mesiacov po skončení účasti UoZ v OPS). </w:t>
      </w:r>
    </w:p>
    <w:p w14:paraId="7E5B0939" w14:textId="004AFD3F" w:rsidR="00F97718" w:rsidRDefault="00BD3620" w:rsidP="0018489F">
      <w:pPr>
        <w:pStyle w:val="Nadpis20"/>
        <w:ind w:left="567" w:hanging="567"/>
        <w:jc w:val="both"/>
      </w:pPr>
      <w:bookmarkStart w:id="76" w:name="_Toc514941043"/>
      <w:bookmarkStart w:id="77" w:name="_Toc37094599"/>
      <w:bookmarkStart w:id="78" w:name="_Toc173741558"/>
      <w:bookmarkEnd w:id="71"/>
      <w:bookmarkEnd w:id="72"/>
      <w:r w:rsidRPr="00C35CA8">
        <w:t>3</w:t>
      </w:r>
      <w:r w:rsidR="002C1D02" w:rsidRPr="00C35CA8">
        <w:t>.4</w:t>
      </w:r>
      <w:r w:rsidR="002C1D02" w:rsidRPr="00C35CA8">
        <w:tab/>
      </w:r>
      <w:bookmarkStart w:id="79" w:name="_Toc514941045"/>
      <w:bookmarkStart w:id="80" w:name="_Toc37094603"/>
      <w:bookmarkStart w:id="81" w:name="_Hlk103521264"/>
      <w:bookmarkEnd w:id="76"/>
      <w:bookmarkEnd w:id="77"/>
      <w:r w:rsidR="00F97718" w:rsidRPr="00C35CA8">
        <w:t>Príspevok na aktivačnú činnosť formou menších obecných služieb pre obec alebo</w:t>
      </w:r>
      <w:r w:rsidR="00C420D9" w:rsidRPr="00C35CA8">
        <w:t xml:space="preserve"> </w:t>
      </w:r>
      <w:r w:rsidR="00F97718" w:rsidRPr="00C35CA8">
        <w:t>formou menších služieb pre samosprávny kraj - § 52 zákona</w:t>
      </w:r>
      <w:bookmarkEnd w:id="79"/>
      <w:bookmarkEnd w:id="80"/>
      <w:r w:rsidR="002A7E0C" w:rsidRPr="00C35CA8">
        <w:t xml:space="preserve"> o</w:t>
      </w:r>
      <w:r w:rsidR="00C420D9" w:rsidRPr="00C35CA8">
        <w:t> </w:t>
      </w:r>
      <w:r w:rsidR="002A7E0C" w:rsidRPr="00C35CA8">
        <w:t>službách</w:t>
      </w:r>
      <w:r w:rsidR="00C420D9" w:rsidRPr="00C35CA8">
        <w:t xml:space="preserve"> </w:t>
      </w:r>
      <w:r w:rsidR="002A7E0C" w:rsidRPr="00C35CA8">
        <w:t>zamestnanosti</w:t>
      </w:r>
      <w:bookmarkEnd w:id="78"/>
    </w:p>
    <w:p w14:paraId="3E99589F" w14:textId="3DB40B30" w:rsidR="00BD511D" w:rsidRDefault="00BD511D" w:rsidP="00BD511D">
      <w:r>
        <w:t xml:space="preserve">Aktivačná činnosť (AČ) formou menších obecných služieb pre obec alebo formou menších služieb pre samosprávny kraj je podpora udržiavania pracovných návykov dlhodobo nezamestnaného občana, ktorý je poberateľom dávky v hmotnej núdzi a príspevkov k dávke </w:t>
      </w:r>
      <w:r w:rsidR="008D7279">
        <w:t xml:space="preserve">   </w:t>
      </w:r>
      <w:r>
        <w:t>v hmotnej núdzi. Menšie obecné služby pre obec alebo menšie služby pre samosprávny kraj dlhodobo nezamestnaný občan vykonáva nepretržite, najviac počas šiestich kalendárnych mesiacov v rozsahu najviac 20 hodín týždenne, okrem týždňa, v ktorom sa AČ začala, s možnosťou jej opakovaného vykonávania najviac počas ďalších dvanástich kalendárnych mesiacov. Úrad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(ďalej len „CCP“) zamestnanca, ktorý organizuje AČ.</w:t>
      </w:r>
    </w:p>
    <w:p w14:paraId="1BE99EB6" w14:textId="3286A3CA" w:rsidR="00BD511D" w:rsidRDefault="00BD511D" w:rsidP="00BD511D">
      <w:pPr>
        <w:spacing w:before="120" w:after="0"/>
        <w:ind w:hanging="6"/>
      </w:pPr>
      <w:r>
        <w:t xml:space="preserve">Na AČ formou menších obecných služieb pre obec alebo formou menších služieb pre samosprávny kraj bolo v roku 2023 zaradených 56 UoZ, </w:t>
      </w:r>
      <w:r w:rsidR="00E4499B">
        <w:t>vyčerpaná</w:t>
      </w:r>
      <w:r>
        <w:t xml:space="preserve"> suma finančných prostriedkov bola 260 951 eur. V zmysle novely zákona o službách zamestnanosti</w:t>
      </w:r>
      <w:r w:rsidR="00E4499B">
        <w:t>, s</w:t>
      </w:r>
      <w:r>
        <w:t xml:space="preserve"> účinnou od 1.</w:t>
      </w:r>
      <w:r w:rsidR="00E4499B">
        <w:t xml:space="preserve"> </w:t>
      </w:r>
      <w:r>
        <w:t>1.</w:t>
      </w:r>
      <w:r w:rsidR="00E4499B">
        <w:t xml:space="preserve"> </w:t>
      </w:r>
      <w:r>
        <w:t>2023, na príspevok poskytovaný podľa § 52 nie je právny nárok.</w:t>
      </w:r>
    </w:p>
    <w:p w14:paraId="6C7A6283" w14:textId="1FCB5FEF" w:rsidR="00BD511D" w:rsidRDefault="00BD511D" w:rsidP="008D7279">
      <w:pPr>
        <w:spacing w:before="120" w:after="120"/>
        <w:ind w:hanging="6"/>
      </w:pPr>
      <w:r>
        <w:t xml:space="preserve">V roku 2023 </w:t>
      </w:r>
      <w:r w:rsidR="007E7837">
        <w:t xml:space="preserve">nebola na AČ uzatvorená žiadna nová dohoda podľa § 52, avšak z dohôd uzatvorených ešte koncom roka 2022 </w:t>
      </w:r>
      <w:r>
        <w:t xml:space="preserve">bolo na AČ </w:t>
      </w:r>
      <w:r w:rsidR="007E7837">
        <w:t>umiestnených celkom 56 UoZ, z toho 25  mužov a 31 žien. V</w:t>
      </w:r>
      <w:r w:rsidR="007E7837" w:rsidRPr="00BD511D">
        <w:t> rámci § 52 </w:t>
      </w:r>
      <w:r w:rsidR="007E7837">
        <w:t>bolo čerpanie</w:t>
      </w:r>
      <w:r w:rsidR="007E7837" w:rsidRPr="00BD511D">
        <w:t xml:space="preserve"> finančných pro</w:t>
      </w:r>
      <w:r w:rsidR="007E7837">
        <w:t>striedkov</w:t>
      </w:r>
      <w:r w:rsidR="007E7837" w:rsidRPr="00BD511D">
        <w:t xml:space="preserve"> </w:t>
      </w:r>
      <w:r w:rsidR="007E7837">
        <w:t xml:space="preserve">v sume </w:t>
      </w:r>
      <w:r w:rsidR="007E7837" w:rsidRPr="00BD511D">
        <w:t>260 951 eur</w:t>
      </w:r>
      <w:r w:rsidR="007E7837">
        <w:t xml:space="preserve">, pričom väčšina týchto prostriedkov bola viazaná na dohody z roku 2022. </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55"/>
        <w:gridCol w:w="2765"/>
        <w:gridCol w:w="2757"/>
      </w:tblGrid>
      <w:tr w:rsidR="00BD511D" w:rsidRPr="00BD511D" w14:paraId="047F17A5" w14:textId="77777777" w:rsidTr="00064B9A">
        <w:trPr>
          <w:trHeight w:val="587"/>
          <w:jc w:val="center"/>
        </w:trPr>
        <w:tc>
          <w:tcPr>
            <w:tcW w:w="69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3F66653" w14:textId="77777777" w:rsidR="00BD511D" w:rsidRPr="00BD511D" w:rsidRDefault="00BD511D" w:rsidP="00BD511D">
            <w:pPr>
              <w:spacing w:after="0"/>
              <w:ind w:firstLine="0"/>
              <w:jc w:val="center"/>
              <w:rPr>
                <w:rFonts w:ascii="Calibri" w:hAnsi="Calibri" w:cs="Calibri"/>
                <w:b/>
                <w:bCs/>
                <w:sz w:val="20"/>
                <w:szCs w:val="20"/>
              </w:rPr>
            </w:pPr>
            <w:bookmarkStart w:id="82" w:name="_Toc514941046"/>
            <w:bookmarkStart w:id="83" w:name="_Toc37094604"/>
            <w:bookmarkStart w:id="84" w:name="_Hlk103522189"/>
            <w:bookmarkEnd w:id="81"/>
            <w:r w:rsidRPr="00BD511D">
              <w:rPr>
                <w:rFonts w:ascii="Calibri" w:hAnsi="Calibri" w:cs="Calibri"/>
                <w:b/>
                <w:bCs/>
                <w:sz w:val="20"/>
                <w:szCs w:val="20"/>
              </w:rPr>
              <w:t>Rok</w:t>
            </w:r>
          </w:p>
        </w:tc>
        <w:tc>
          <w:tcPr>
            <w:tcW w:w="128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EC06D44" w14:textId="6CEAE701" w:rsidR="00BD511D" w:rsidRPr="00BD511D" w:rsidRDefault="00BD511D" w:rsidP="008D7279">
            <w:pPr>
              <w:spacing w:after="0"/>
              <w:ind w:left="53" w:firstLine="0"/>
              <w:jc w:val="center"/>
              <w:rPr>
                <w:rFonts w:ascii="Calibri" w:hAnsi="Calibri" w:cs="Calibri"/>
                <w:b/>
                <w:bCs/>
                <w:sz w:val="20"/>
                <w:szCs w:val="20"/>
              </w:rPr>
            </w:pPr>
            <w:r w:rsidRPr="00BD511D">
              <w:rPr>
                <w:rFonts w:ascii="Calibri" w:hAnsi="Calibri" w:cs="Calibri"/>
                <w:b/>
                <w:bCs/>
                <w:sz w:val="20"/>
                <w:szCs w:val="20"/>
              </w:rPr>
              <w:t xml:space="preserve">Počet </w:t>
            </w:r>
            <w:r w:rsidR="008D7279">
              <w:rPr>
                <w:rFonts w:ascii="Calibri" w:hAnsi="Calibri" w:cs="Calibri"/>
                <w:b/>
                <w:bCs/>
                <w:sz w:val="20"/>
                <w:szCs w:val="20"/>
              </w:rPr>
              <w:t>zaradených UoZ</w:t>
            </w:r>
          </w:p>
        </w:tc>
        <w:tc>
          <w:tcPr>
            <w:tcW w:w="1511"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72CD838" w14:textId="6C2CE11A" w:rsidR="00BD511D" w:rsidRPr="00BD511D" w:rsidRDefault="00A17257" w:rsidP="00BD511D">
            <w:pPr>
              <w:spacing w:after="0"/>
              <w:ind w:left="246" w:firstLine="283"/>
              <w:jc w:val="center"/>
              <w:rPr>
                <w:rFonts w:ascii="Calibri" w:hAnsi="Calibri" w:cs="Calibri"/>
                <w:b/>
                <w:bCs/>
                <w:sz w:val="20"/>
                <w:szCs w:val="20"/>
              </w:rPr>
            </w:pPr>
            <w:r>
              <w:rPr>
                <w:rFonts w:ascii="Calibri" w:hAnsi="Calibri" w:cs="Calibri"/>
                <w:b/>
                <w:bCs/>
                <w:sz w:val="20"/>
                <w:szCs w:val="20"/>
              </w:rPr>
              <w:t xml:space="preserve">z toho </w:t>
            </w:r>
            <w:r w:rsidR="00BD511D" w:rsidRPr="00BD511D">
              <w:rPr>
                <w:rFonts w:ascii="Calibri" w:hAnsi="Calibri" w:cs="Calibri"/>
                <w:b/>
                <w:bCs/>
                <w:sz w:val="20"/>
                <w:szCs w:val="20"/>
              </w:rPr>
              <w:t>žien</w:t>
            </w:r>
          </w:p>
        </w:tc>
        <w:tc>
          <w:tcPr>
            <w:tcW w:w="150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E6FA267" w14:textId="77777777"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Čerpanie finančných</w:t>
            </w:r>
          </w:p>
          <w:p w14:paraId="2BB61CE4" w14:textId="31B0D3D7" w:rsidR="00BD511D" w:rsidRPr="00BD511D" w:rsidRDefault="00BD511D" w:rsidP="00BD511D">
            <w:pPr>
              <w:spacing w:after="0"/>
              <w:ind w:left="15" w:firstLine="0"/>
              <w:jc w:val="center"/>
              <w:rPr>
                <w:rFonts w:ascii="Calibri" w:hAnsi="Calibri" w:cs="Calibri"/>
                <w:b/>
                <w:bCs/>
                <w:sz w:val="20"/>
                <w:szCs w:val="20"/>
              </w:rPr>
            </w:pPr>
            <w:r w:rsidRPr="00BD511D">
              <w:rPr>
                <w:rFonts w:ascii="Calibri" w:hAnsi="Calibri" w:cs="Calibri"/>
                <w:b/>
                <w:bCs/>
                <w:sz w:val="20"/>
                <w:szCs w:val="20"/>
              </w:rPr>
              <w:t xml:space="preserve">prostriedkov </w:t>
            </w:r>
            <w:r w:rsidRPr="00BD511D">
              <w:rPr>
                <w:rFonts w:ascii="Calibri" w:hAnsi="Calibri" w:cs="Calibri"/>
                <w:sz w:val="20"/>
                <w:szCs w:val="20"/>
              </w:rPr>
              <w:t xml:space="preserve">(v </w:t>
            </w:r>
            <w:r w:rsidR="00E23598">
              <w:rPr>
                <w:rFonts w:ascii="Calibri" w:hAnsi="Calibri" w:cs="Calibri"/>
                <w:sz w:val="20"/>
                <w:szCs w:val="20"/>
              </w:rPr>
              <w:t>eur</w:t>
            </w:r>
            <w:r w:rsidRPr="00BD511D">
              <w:rPr>
                <w:rFonts w:ascii="Calibri" w:hAnsi="Calibri" w:cs="Calibri"/>
                <w:sz w:val="20"/>
                <w:szCs w:val="20"/>
              </w:rPr>
              <w:t>)</w:t>
            </w:r>
          </w:p>
        </w:tc>
      </w:tr>
      <w:tr w:rsidR="00BD511D" w:rsidRPr="00BD511D" w14:paraId="78A84C8F" w14:textId="77777777" w:rsidTr="00064B9A">
        <w:trPr>
          <w:trHeight w:hRule="exact" w:val="335"/>
          <w:jc w:val="center"/>
        </w:trPr>
        <w:tc>
          <w:tcPr>
            <w:tcW w:w="69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ABACCFE" w14:textId="77777777"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2022</w:t>
            </w:r>
          </w:p>
        </w:tc>
        <w:tc>
          <w:tcPr>
            <w:tcW w:w="1287" w:type="pct"/>
            <w:tcBorders>
              <w:top w:val="single" w:sz="4" w:space="0" w:color="auto"/>
              <w:left w:val="single" w:sz="4" w:space="0" w:color="auto"/>
              <w:bottom w:val="single" w:sz="4" w:space="0" w:color="auto"/>
              <w:right w:val="single" w:sz="4" w:space="0" w:color="auto"/>
            </w:tcBorders>
            <w:vAlign w:val="center"/>
            <w:hideMark/>
          </w:tcPr>
          <w:p w14:paraId="0B56DAA8"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743</w:t>
            </w:r>
          </w:p>
        </w:tc>
        <w:tc>
          <w:tcPr>
            <w:tcW w:w="1511" w:type="pct"/>
            <w:tcBorders>
              <w:top w:val="single" w:sz="4" w:space="0" w:color="auto"/>
              <w:left w:val="single" w:sz="4" w:space="0" w:color="auto"/>
              <w:bottom w:val="single" w:sz="4" w:space="0" w:color="auto"/>
              <w:right w:val="single" w:sz="4" w:space="0" w:color="auto"/>
            </w:tcBorders>
            <w:vAlign w:val="center"/>
            <w:hideMark/>
          </w:tcPr>
          <w:p w14:paraId="1E0F2338"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447</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6DA0F"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96 009</w:t>
            </w:r>
          </w:p>
        </w:tc>
      </w:tr>
      <w:tr w:rsidR="00BD511D" w:rsidRPr="00BD511D" w14:paraId="5F1D2C04" w14:textId="77777777" w:rsidTr="00064B9A">
        <w:trPr>
          <w:trHeight w:hRule="exact" w:val="335"/>
          <w:jc w:val="center"/>
        </w:trPr>
        <w:tc>
          <w:tcPr>
            <w:tcW w:w="69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B8E055B" w14:textId="77777777"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2023</w:t>
            </w:r>
          </w:p>
        </w:tc>
        <w:tc>
          <w:tcPr>
            <w:tcW w:w="1287" w:type="pct"/>
            <w:tcBorders>
              <w:top w:val="single" w:sz="4" w:space="0" w:color="auto"/>
              <w:left w:val="single" w:sz="4" w:space="0" w:color="auto"/>
              <w:bottom w:val="single" w:sz="4" w:space="0" w:color="auto"/>
              <w:right w:val="single" w:sz="4" w:space="0" w:color="auto"/>
            </w:tcBorders>
            <w:vAlign w:val="center"/>
            <w:hideMark/>
          </w:tcPr>
          <w:p w14:paraId="42705431"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56</w:t>
            </w:r>
          </w:p>
        </w:tc>
        <w:tc>
          <w:tcPr>
            <w:tcW w:w="1511" w:type="pct"/>
            <w:tcBorders>
              <w:top w:val="single" w:sz="4" w:space="0" w:color="auto"/>
              <w:left w:val="single" w:sz="4" w:space="0" w:color="auto"/>
              <w:bottom w:val="single" w:sz="4" w:space="0" w:color="auto"/>
              <w:right w:val="single" w:sz="4" w:space="0" w:color="auto"/>
            </w:tcBorders>
            <w:vAlign w:val="center"/>
            <w:hideMark/>
          </w:tcPr>
          <w:p w14:paraId="6A5AB770"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31</w:t>
            </w:r>
          </w:p>
        </w:tc>
        <w:tc>
          <w:tcPr>
            <w:tcW w:w="1507" w:type="pct"/>
            <w:tcBorders>
              <w:top w:val="single" w:sz="4" w:space="0" w:color="auto"/>
              <w:left w:val="single" w:sz="4" w:space="0" w:color="auto"/>
              <w:bottom w:val="single" w:sz="4" w:space="0" w:color="auto"/>
              <w:right w:val="single" w:sz="4" w:space="0" w:color="auto"/>
            </w:tcBorders>
            <w:vAlign w:val="center"/>
            <w:hideMark/>
          </w:tcPr>
          <w:p w14:paraId="353C2326"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260 951</w:t>
            </w:r>
          </w:p>
        </w:tc>
      </w:tr>
    </w:tbl>
    <w:p w14:paraId="1ED42206" w14:textId="6523748E" w:rsidR="00BD511D" w:rsidRPr="00BD511D" w:rsidRDefault="00BD511D" w:rsidP="00BD511D">
      <w:pPr>
        <w:spacing w:before="120" w:after="0"/>
        <w:ind w:hanging="6"/>
      </w:pPr>
      <w:r w:rsidRPr="00BD511D">
        <w:t xml:space="preserve">Na realizáciu AČ formou menších obecných služieb </w:t>
      </w:r>
      <w:r w:rsidRPr="007E7837">
        <w:rPr>
          <w:u w:val="single"/>
        </w:rPr>
        <w:t>v rámci NP Podpora zamestnanosti</w:t>
      </w:r>
      <w:r w:rsidR="007E7837">
        <w:rPr>
          <w:u w:val="single"/>
        </w:rPr>
        <w:t xml:space="preserve"> podľa    § 54</w:t>
      </w:r>
      <w:r w:rsidRPr="00BD511D">
        <w:t xml:space="preserve"> bolo zaradených 2 112 UoZ (2022 3 478 UoZ), teda celkom vrátane § 52, je to 2 168 UoZ, čo za rok 2023 je o 2 053 UoZ menej ako v roku 2022.</w:t>
      </w:r>
    </w:p>
    <w:p w14:paraId="24585B7D" w14:textId="50A28EA9" w:rsidR="00BD511D" w:rsidRPr="00BD511D" w:rsidRDefault="00BD511D" w:rsidP="00BD511D">
      <w:pPr>
        <w:spacing w:before="120" w:after="0"/>
        <w:ind w:hanging="6"/>
      </w:pPr>
      <w:r w:rsidRPr="00BD511D">
        <w:t>.</w:t>
      </w:r>
    </w:p>
    <w:p w14:paraId="4C5EFDE6" w14:textId="3A56B94E" w:rsidR="00BD511D" w:rsidRPr="00BD511D" w:rsidRDefault="00BD511D" w:rsidP="00BD511D">
      <w:pPr>
        <w:spacing w:before="120" w:after="0"/>
        <w:ind w:hanging="6"/>
      </w:pPr>
      <w:r w:rsidRPr="00BD511D">
        <w:lastRenderedPageBreak/>
        <w:t xml:space="preserve">V rámci </w:t>
      </w:r>
      <w:r w:rsidRPr="00A17257">
        <w:rPr>
          <w:b/>
          <w:i/>
        </w:rPr>
        <w:t>NP Podpora zamestnanosti</w:t>
      </w:r>
      <w:r w:rsidRPr="00BD511D">
        <w:t xml:space="preserve"> bolo v roku </w:t>
      </w:r>
      <w:r w:rsidR="00795931">
        <w:t>2023</w:t>
      </w:r>
      <w:r w:rsidRPr="00795931">
        <w:t xml:space="preserve"> č</w:t>
      </w:r>
      <w:r w:rsidRPr="00BD511D">
        <w:t xml:space="preserve">erpanie vo výške 1 063 615 eur (v roku 2022 vo výške 1 713 170 eur), spolu v sume 1 324 566 eur,  čo je o 484 613 eur menej ako </w:t>
      </w:r>
      <w:r w:rsidR="00A17257">
        <w:t xml:space="preserve">              </w:t>
      </w:r>
      <w:r w:rsidRPr="00BD511D">
        <w:t>v roku 2</w:t>
      </w:r>
      <w:r>
        <w:t>022, v štruktúre podľa tabuľky</w:t>
      </w:r>
      <w:r w:rsidRPr="00BD511D">
        <w:t>.</w:t>
      </w:r>
    </w:p>
    <w:p w14:paraId="790BC671" w14:textId="0F6A5978" w:rsidR="00BD511D" w:rsidRPr="00BD511D" w:rsidRDefault="007E7837" w:rsidP="00BD511D">
      <w:pPr>
        <w:spacing w:before="120" w:after="120"/>
        <w:ind w:firstLine="0"/>
      </w:pPr>
      <w:r>
        <w:t xml:space="preserve">AČ </w:t>
      </w:r>
      <w:r w:rsidR="00BD511D" w:rsidRPr="00BD511D">
        <w:t xml:space="preserve">realizovaná </w:t>
      </w:r>
      <w:r>
        <w:t>spolu</w:t>
      </w:r>
      <w:r w:rsidRPr="00BD511D">
        <w:t xml:space="preserve"> </w:t>
      </w:r>
      <w:r w:rsidR="00BD511D" w:rsidRPr="00BD511D">
        <w:t>podľa § 52 zákona o službách zamestnanosti a</w:t>
      </w:r>
      <w:r w:rsidR="00E4417B">
        <w:t xml:space="preserve"> prostredníctvom </w:t>
      </w:r>
      <w:r w:rsidR="00BD511D" w:rsidRPr="00BD511D">
        <w:t xml:space="preserve">NP Podpora zamestnanosti </w:t>
      </w:r>
      <w:r>
        <w:t>podľa § 54 vyzerala podľa nasledujúcej tabuľky</w:t>
      </w:r>
      <w:r w:rsidR="00E4417B">
        <w:t>.</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615"/>
        <w:gridCol w:w="2337"/>
        <w:gridCol w:w="2553"/>
      </w:tblGrid>
      <w:tr w:rsidR="00BD511D" w:rsidRPr="00BD511D" w14:paraId="2779E987" w14:textId="77777777" w:rsidTr="00064B9A">
        <w:trPr>
          <w:trHeight w:val="554"/>
          <w:jc w:val="center"/>
        </w:trPr>
        <w:tc>
          <w:tcPr>
            <w:tcW w:w="8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3C8D3A9" w14:textId="78DB2F97"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Rok</w:t>
            </w:r>
          </w:p>
        </w:tc>
        <w:tc>
          <w:tcPr>
            <w:tcW w:w="142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A6CE8EA" w14:textId="082485C0" w:rsidR="00BD511D" w:rsidRPr="00BD511D" w:rsidRDefault="00A17257" w:rsidP="00BD511D">
            <w:pPr>
              <w:spacing w:after="0"/>
              <w:ind w:left="53" w:firstLine="0"/>
              <w:jc w:val="center"/>
              <w:rPr>
                <w:rFonts w:ascii="Calibri" w:hAnsi="Calibri" w:cs="Calibri"/>
                <w:b/>
                <w:bCs/>
                <w:sz w:val="20"/>
                <w:szCs w:val="20"/>
              </w:rPr>
            </w:pPr>
            <w:r>
              <w:rPr>
                <w:rFonts w:ascii="Calibri" w:hAnsi="Calibri" w:cs="Calibri"/>
                <w:b/>
                <w:bCs/>
                <w:sz w:val="20"/>
                <w:szCs w:val="20"/>
              </w:rPr>
              <w:t>Počet zaradených UoZ</w:t>
            </w:r>
          </w:p>
        </w:tc>
        <w:tc>
          <w:tcPr>
            <w:tcW w:w="127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F302FC7" w14:textId="2103DACA" w:rsidR="00BD511D" w:rsidRPr="00BD511D" w:rsidRDefault="00A17257" w:rsidP="00BD511D">
            <w:pPr>
              <w:spacing w:after="0"/>
              <w:ind w:left="246" w:firstLine="283"/>
              <w:jc w:val="center"/>
              <w:rPr>
                <w:rFonts w:ascii="Calibri" w:hAnsi="Calibri" w:cs="Calibri"/>
                <w:b/>
                <w:bCs/>
                <w:sz w:val="20"/>
                <w:szCs w:val="20"/>
              </w:rPr>
            </w:pPr>
            <w:r>
              <w:rPr>
                <w:rFonts w:ascii="Calibri" w:hAnsi="Calibri" w:cs="Calibri"/>
                <w:b/>
                <w:bCs/>
                <w:sz w:val="20"/>
                <w:szCs w:val="20"/>
              </w:rPr>
              <w:t xml:space="preserve">z toho </w:t>
            </w:r>
            <w:r w:rsidR="00BD511D" w:rsidRPr="00BD511D">
              <w:rPr>
                <w:rFonts w:ascii="Calibri" w:hAnsi="Calibri" w:cs="Calibri"/>
                <w:b/>
                <w:bCs/>
                <w:sz w:val="20"/>
                <w:szCs w:val="20"/>
              </w:rPr>
              <w:t xml:space="preserve"> žien</w:t>
            </w:r>
          </w:p>
        </w:tc>
        <w:tc>
          <w:tcPr>
            <w:tcW w:w="139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6A5A5CF" w14:textId="77777777"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Čerpanie finančných</w:t>
            </w:r>
          </w:p>
          <w:p w14:paraId="6BD6B8BC" w14:textId="2756F1BA" w:rsidR="00BD511D" w:rsidRPr="00BD511D" w:rsidRDefault="00BD511D" w:rsidP="00BD511D">
            <w:pPr>
              <w:spacing w:after="0"/>
              <w:ind w:left="15" w:firstLine="0"/>
              <w:jc w:val="center"/>
              <w:rPr>
                <w:rFonts w:ascii="Calibri" w:hAnsi="Calibri" w:cs="Calibri"/>
                <w:b/>
                <w:bCs/>
                <w:sz w:val="20"/>
                <w:szCs w:val="20"/>
              </w:rPr>
            </w:pPr>
            <w:r w:rsidRPr="00BD511D">
              <w:rPr>
                <w:rFonts w:ascii="Calibri" w:hAnsi="Calibri" w:cs="Calibri"/>
                <w:b/>
                <w:bCs/>
                <w:sz w:val="20"/>
                <w:szCs w:val="20"/>
              </w:rPr>
              <w:t xml:space="preserve">prostriedkov </w:t>
            </w:r>
            <w:r w:rsidRPr="00BD511D">
              <w:rPr>
                <w:rFonts w:ascii="Calibri" w:hAnsi="Calibri" w:cs="Calibri"/>
                <w:sz w:val="20"/>
                <w:szCs w:val="20"/>
              </w:rPr>
              <w:t xml:space="preserve">(v </w:t>
            </w:r>
            <w:r w:rsidR="00E23598">
              <w:rPr>
                <w:rFonts w:ascii="Calibri" w:hAnsi="Calibri" w:cs="Calibri"/>
                <w:sz w:val="20"/>
                <w:szCs w:val="20"/>
              </w:rPr>
              <w:t>eur</w:t>
            </w:r>
            <w:r w:rsidRPr="00BD511D">
              <w:rPr>
                <w:rFonts w:ascii="Calibri" w:hAnsi="Calibri" w:cs="Calibri"/>
                <w:sz w:val="20"/>
                <w:szCs w:val="20"/>
              </w:rPr>
              <w:t>)</w:t>
            </w:r>
          </w:p>
        </w:tc>
      </w:tr>
      <w:tr w:rsidR="00BD511D" w:rsidRPr="00BD511D" w14:paraId="4A72E08E" w14:textId="77777777" w:rsidTr="00064B9A">
        <w:trPr>
          <w:trHeight w:hRule="exact" w:val="317"/>
          <w:jc w:val="center"/>
        </w:trPr>
        <w:tc>
          <w:tcPr>
            <w:tcW w:w="8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B00A2CF" w14:textId="2BFA8279"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 52</w:t>
            </w:r>
          </w:p>
        </w:tc>
        <w:tc>
          <w:tcPr>
            <w:tcW w:w="1429" w:type="pct"/>
            <w:tcBorders>
              <w:top w:val="single" w:sz="4" w:space="0" w:color="auto"/>
              <w:left w:val="single" w:sz="4" w:space="0" w:color="auto"/>
              <w:bottom w:val="single" w:sz="4" w:space="0" w:color="auto"/>
              <w:right w:val="single" w:sz="4" w:space="0" w:color="auto"/>
            </w:tcBorders>
            <w:vAlign w:val="center"/>
            <w:hideMark/>
          </w:tcPr>
          <w:p w14:paraId="32728C9B"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56</w:t>
            </w:r>
          </w:p>
        </w:tc>
        <w:tc>
          <w:tcPr>
            <w:tcW w:w="1277" w:type="pct"/>
            <w:tcBorders>
              <w:top w:val="single" w:sz="4" w:space="0" w:color="auto"/>
              <w:left w:val="single" w:sz="4" w:space="0" w:color="auto"/>
              <w:bottom w:val="single" w:sz="4" w:space="0" w:color="auto"/>
              <w:right w:val="single" w:sz="4" w:space="0" w:color="auto"/>
            </w:tcBorders>
            <w:vAlign w:val="center"/>
            <w:hideMark/>
          </w:tcPr>
          <w:p w14:paraId="6F88F2FE" w14:textId="593AF25A"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31</w:t>
            </w:r>
          </w:p>
        </w:tc>
        <w:tc>
          <w:tcPr>
            <w:tcW w:w="1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EEE8F"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260 951</w:t>
            </w:r>
          </w:p>
        </w:tc>
      </w:tr>
      <w:tr w:rsidR="00BD511D" w:rsidRPr="00BD511D" w14:paraId="0976A571" w14:textId="77777777" w:rsidTr="00064B9A">
        <w:trPr>
          <w:trHeight w:hRule="exact" w:val="324"/>
          <w:jc w:val="center"/>
        </w:trPr>
        <w:tc>
          <w:tcPr>
            <w:tcW w:w="899" w:type="pct"/>
            <w:tcBorders>
              <w:top w:val="single" w:sz="4" w:space="0" w:color="auto"/>
              <w:left w:val="single" w:sz="4" w:space="0" w:color="auto"/>
              <w:bottom w:val="single" w:sz="4" w:space="0" w:color="auto"/>
              <w:right w:val="single" w:sz="4" w:space="0" w:color="auto"/>
            </w:tcBorders>
            <w:shd w:val="clear" w:color="auto" w:fill="DBE5F1"/>
            <w:vAlign w:val="center"/>
          </w:tcPr>
          <w:p w14:paraId="6B627F9D" w14:textId="5258138C"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 xml:space="preserve">NP PZ </w:t>
            </w:r>
            <w:r>
              <w:rPr>
                <w:rFonts w:ascii="Calibri" w:hAnsi="Calibri" w:cs="Calibri"/>
                <w:b/>
                <w:bCs/>
                <w:sz w:val="20"/>
                <w:szCs w:val="20"/>
              </w:rPr>
              <w:t xml:space="preserve"> </w:t>
            </w:r>
            <w:r w:rsidRPr="00BD511D">
              <w:rPr>
                <w:rFonts w:ascii="Calibri" w:hAnsi="Calibri" w:cs="Calibri"/>
                <w:bCs/>
                <w:sz w:val="20"/>
                <w:szCs w:val="20"/>
              </w:rPr>
              <w:t>§ 54/52</w:t>
            </w:r>
          </w:p>
        </w:tc>
        <w:tc>
          <w:tcPr>
            <w:tcW w:w="1429" w:type="pct"/>
            <w:tcBorders>
              <w:top w:val="single" w:sz="4" w:space="0" w:color="auto"/>
              <w:left w:val="single" w:sz="4" w:space="0" w:color="auto"/>
              <w:bottom w:val="single" w:sz="4" w:space="0" w:color="auto"/>
              <w:right w:val="single" w:sz="4" w:space="0" w:color="auto"/>
            </w:tcBorders>
            <w:vAlign w:val="center"/>
          </w:tcPr>
          <w:p w14:paraId="3CC68885"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2 112</w:t>
            </w:r>
          </w:p>
        </w:tc>
        <w:tc>
          <w:tcPr>
            <w:tcW w:w="1277" w:type="pct"/>
            <w:tcBorders>
              <w:top w:val="single" w:sz="4" w:space="0" w:color="auto"/>
              <w:left w:val="single" w:sz="4" w:space="0" w:color="auto"/>
              <w:bottom w:val="single" w:sz="4" w:space="0" w:color="auto"/>
              <w:right w:val="single" w:sz="4" w:space="0" w:color="auto"/>
            </w:tcBorders>
            <w:vAlign w:val="center"/>
          </w:tcPr>
          <w:p w14:paraId="2770321B" w14:textId="55F80523"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1 273</w:t>
            </w:r>
          </w:p>
        </w:tc>
        <w:tc>
          <w:tcPr>
            <w:tcW w:w="1395" w:type="pct"/>
            <w:tcBorders>
              <w:top w:val="single" w:sz="4" w:space="0" w:color="auto"/>
              <w:left w:val="single" w:sz="4" w:space="0" w:color="auto"/>
              <w:bottom w:val="single" w:sz="4" w:space="0" w:color="auto"/>
              <w:right w:val="single" w:sz="4" w:space="0" w:color="auto"/>
            </w:tcBorders>
            <w:vAlign w:val="center"/>
          </w:tcPr>
          <w:p w14:paraId="163EFCD8" w14:textId="77777777" w:rsidR="00BD511D" w:rsidRPr="00BD511D" w:rsidRDefault="00BD511D" w:rsidP="00BD511D">
            <w:pPr>
              <w:spacing w:after="0"/>
              <w:ind w:firstLine="0"/>
              <w:jc w:val="center"/>
              <w:rPr>
                <w:rFonts w:ascii="Calibri" w:hAnsi="Calibri" w:cs="Calibri"/>
                <w:sz w:val="20"/>
                <w:szCs w:val="20"/>
              </w:rPr>
            </w:pPr>
            <w:r w:rsidRPr="00BD511D">
              <w:rPr>
                <w:rFonts w:ascii="Calibri" w:hAnsi="Calibri" w:cs="Calibri"/>
                <w:sz w:val="20"/>
                <w:szCs w:val="20"/>
              </w:rPr>
              <w:t>1 063 615</w:t>
            </w:r>
          </w:p>
        </w:tc>
      </w:tr>
      <w:tr w:rsidR="00BD511D" w:rsidRPr="00BD511D" w14:paraId="509808B0" w14:textId="77777777" w:rsidTr="00064B9A">
        <w:trPr>
          <w:trHeight w:hRule="exact" w:val="305"/>
          <w:jc w:val="center"/>
        </w:trPr>
        <w:tc>
          <w:tcPr>
            <w:tcW w:w="89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7B591A8" w14:textId="76E5118A" w:rsidR="00BD511D" w:rsidRPr="00BD511D" w:rsidRDefault="00BD511D" w:rsidP="00BD511D">
            <w:pPr>
              <w:spacing w:after="0"/>
              <w:ind w:firstLine="0"/>
              <w:jc w:val="center"/>
              <w:rPr>
                <w:rFonts w:ascii="Calibri" w:hAnsi="Calibri" w:cs="Calibri"/>
                <w:b/>
                <w:bCs/>
                <w:sz w:val="20"/>
                <w:szCs w:val="20"/>
              </w:rPr>
            </w:pPr>
            <w:r w:rsidRPr="00BD511D">
              <w:rPr>
                <w:rFonts w:ascii="Calibri" w:hAnsi="Calibri" w:cs="Calibri"/>
                <w:b/>
                <w:bCs/>
                <w:sz w:val="20"/>
                <w:szCs w:val="20"/>
              </w:rPr>
              <w:t>Spolu</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BA196F2" w14:textId="637931AC" w:rsidR="00BD511D" w:rsidRPr="00BD511D" w:rsidRDefault="00BD511D" w:rsidP="00BD511D">
            <w:pPr>
              <w:spacing w:after="0"/>
              <w:ind w:firstLine="0"/>
              <w:jc w:val="center"/>
              <w:rPr>
                <w:rFonts w:ascii="Calibri" w:hAnsi="Calibri" w:cs="Calibri"/>
                <w:b/>
                <w:sz w:val="20"/>
                <w:szCs w:val="20"/>
              </w:rPr>
            </w:pPr>
            <w:r w:rsidRPr="00BD511D">
              <w:rPr>
                <w:rFonts w:ascii="Calibri" w:hAnsi="Calibri" w:cs="Calibri"/>
                <w:b/>
                <w:sz w:val="20"/>
                <w:szCs w:val="20"/>
              </w:rPr>
              <w:t>2</w:t>
            </w:r>
            <w:r>
              <w:rPr>
                <w:rFonts w:ascii="Calibri" w:hAnsi="Calibri" w:cs="Calibri"/>
                <w:b/>
                <w:sz w:val="20"/>
                <w:szCs w:val="20"/>
              </w:rPr>
              <w:t xml:space="preserve"> </w:t>
            </w:r>
            <w:r w:rsidRPr="00BD511D">
              <w:rPr>
                <w:rFonts w:ascii="Calibri" w:hAnsi="Calibri" w:cs="Calibri"/>
                <w:b/>
                <w:sz w:val="20"/>
                <w:szCs w:val="20"/>
              </w:rPr>
              <w:t>168</w:t>
            </w:r>
          </w:p>
        </w:tc>
        <w:tc>
          <w:tcPr>
            <w:tcW w:w="1277" w:type="pct"/>
            <w:tcBorders>
              <w:top w:val="single" w:sz="4" w:space="0" w:color="auto"/>
              <w:left w:val="single" w:sz="4" w:space="0" w:color="auto"/>
              <w:bottom w:val="single" w:sz="4" w:space="0" w:color="auto"/>
              <w:right w:val="single" w:sz="4" w:space="0" w:color="auto"/>
            </w:tcBorders>
            <w:vAlign w:val="center"/>
            <w:hideMark/>
          </w:tcPr>
          <w:p w14:paraId="0128B59C" w14:textId="01EFD939" w:rsidR="00BD511D" w:rsidRPr="00BD511D" w:rsidRDefault="00BD511D" w:rsidP="00BD511D">
            <w:pPr>
              <w:spacing w:after="0"/>
              <w:ind w:firstLine="0"/>
              <w:jc w:val="center"/>
              <w:rPr>
                <w:rFonts w:ascii="Calibri" w:hAnsi="Calibri" w:cs="Calibri"/>
                <w:b/>
                <w:sz w:val="20"/>
                <w:szCs w:val="20"/>
              </w:rPr>
            </w:pPr>
            <w:r w:rsidRPr="00BD511D">
              <w:rPr>
                <w:rFonts w:ascii="Calibri" w:hAnsi="Calibri" w:cs="Calibri"/>
                <w:b/>
                <w:sz w:val="20"/>
                <w:szCs w:val="20"/>
              </w:rPr>
              <w:t>1 304</w:t>
            </w:r>
          </w:p>
        </w:tc>
        <w:tc>
          <w:tcPr>
            <w:tcW w:w="1395" w:type="pct"/>
            <w:tcBorders>
              <w:top w:val="single" w:sz="4" w:space="0" w:color="auto"/>
              <w:left w:val="single" w:sz="4" w:space="0" w:color="auto"/>
              <w:bottom w:val="single" w:sz="4" w:space="0" w:color="auto"/>
              <w:right w:val="single" w:sz="4" w:space="0" w:color="auto"/>
            </w:tcBorders>
            <w:vAlign w:val="center"/>
            <w:hideMark/>
          </w:tcPr>
          <w:p w14:paraId="11CBC02C" w14:textId="77777777" w:rsidR="00BD511D" w:rsidRPr="00BD511D" w:rsidRDefault="00BD511D" w:rsidP="00BD511D">
            <w:pPr>
              <w:spacing w:after="0"/>
              <w:ind w:firstLine="0"/>
              <w:jc w:val="center"/>
              <w:rPr>
                <w:rFonts w:ascii="Calibri" w:hAnsi="Calibri" w:cs="Calibri"/>
                <w:b/>
                <w:sz w:val="20"/>
                <w:szCs w:val="20"/>
              </w:rPr>
            </w:pPr>
            <w:r w:rsidRPr="00BD511D">
              <w:rPr>
                <w:rFonts w:ascii="Calibri" w:hAnsi="Calibri" w:cs="Calibri"/>
                <w:b/>
                <w:sz w:val="20"/>
                <w:szCs w:val="20"/>
              </w:rPr>
              <w:t>1 324 566</w:t>
            </w:r>
          </w:p>
        </w:tc>
      </w:tr>
    </w:tbl>
    <w:p w14:paraId="595E1DF2" w14:textId="13550BFA" w:rsidR="00BD511D" w:rsidRPr="00CB424E" w:rsidRDefault="00C471CF" w:rsidP="00CB424E">
      <w:pPr>
        <w:spacing w:before="120" w:after="120"/>
        <w:ind w:firstLine="0"/>
      </w:pPr>
      <w:r w:rsidRPr="00BD511D">
        <w:rPr>
          <w:noProof/>
          <w:color w:val="FF0000"/>
          <w:sz w:val="20"/>
          <w:szCs w:val="20"/>
        </w:rPr>
        <w:drawing>
          <wp:anchor distT="0" distB="0" distL="114300" distR="114300" simplePos="0" relativeHeight="252525056" behindDoc="1" locked="0" layoutInCell="1" allowOverlap="1" wp14:anchorId="4112FC4E" wp14:editId="4D79AF72">
            <wp:simplePos x="0" y="0"/>
            <wp:positionH relativeFrom="margin">
              <wp:posOffset>21921</wp:posOffset>
            </wp:positionH>
            <wp:positionV relativeFrom="paragraph">
              <wp:posOffset>834997</wp:posOffset>
            </wp:positionV>
            <wp:extent cx="5803900" cy="2361538"/>
            <wp:effectExtent l="0" t="0" r="6350" b="1270"/>
            <wp:wrapNone/>
            <wp:docPr id="231" name="Graf 23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BD511D" w:rsidRPr="00BD511D">
        <w:t>Z hľadiska vekovej štruktúry, zo zaradených 56 UoZ podľa § 52 zákona o službách zamestnanosti, bolo 35 UoZ (62,50%) vo veku od 30 do 49 rokov vrátane, 17 UoZ (30,36%) vo veku nad 50 rokov, 1 UoZ (1,79%) vo veku od 25 do 29 rokov vrátane a 3 UoZ (5,36 %) vo</w:t>
      </w:r>
      <w:r w:rsidR="00BD511D" w:rsidRPr="00CB424E">
        <w:t xml:space="preserve"> veku do 2</w:t>
      </w:r>
      <w:r w:rsidR="00CB424E">
        <w:t>4 rokov vrátane</w:t>
      </w:r>
      <w:r w:rsidR="00BD511D" w:rsidRPr="00CB424E">
        <w:t>, viď nasledujúci graf</w:t>
      </w:r>
      <w:r w:rsidR="00BD511D" w:rsidRPr="00BD511D">
        <w:t>.</w:t>
      </w:r>
    </w:p>
    <w:p w14:paraId="37E2614D" w14:textId="16B405F3" w:rsidR="00CB424E" w:rsidRDefault="00CB424E" w:rsidP="00BD511D">
      <w:pPr>
        <w:spacing w:after="0"/>
        <w:ind w:firstLine="0"/>
        <w:rPr>
          <w:color w:val="FF0000"/>
        </w:rPr>
      </w:pPr>
    </w:p>
    <w:p w14:paraId="7AA7AECD" w14:textId="0CC752B5" w:rsidR="00CB424E" w:rsidRDefault="00CB424E" w:rsidP="00BD511D">
      <w:pPr>
        <w:spacing w:after="0"/>
        <w:ind w:firstLine="0"/>
        <w:rPr>
          <w:color w:val="FF0000"/>
        </w:rPr>
      </w:pPr>
    </w:p>
    <w:p w14:paraId="55BC93F0" w14:textId="7AE41788" w:rsidR="00CB424E" w:rsidRDefault="00CB424E" w:rsidP="00BD511D">
      <w:pPr>
        <w:spacing w:after="0"/>
        <w:ind w:firstLine="0"/>
        <w:rPr>
          <w:color w:val="FF0000"/>
        </w:rPr>
      </w:pPr>
    </w:p>
    <w:p w14:paraId="1B67AC6D" w14:textId="4087EC44" w:rsidR="00CB424E" w:rsidRDefault="00CB424E" w:rsidP="00BD511D">
      <w:pPr>
        <w:spacing w:after="0"/>
        <w:ind w:firstLine="0"/>
        <w:rPr>
          <w:color w:val="FF0000"/>
        </w:rPr>
      </w:pPr>
    </w:p>
    <w:p w14:paraId="397FC7E4" w14:textId="0326EF43" w:rsidR="00CB424E" w:rsidRDefault="00CB424E" w:rsidP="00BD511D">
      <w:pPr>
        <w:spacing w:after="0"/>
        <w:ind w:firstLine="0"/>
        <w:rPr>
          <w:color w:val="FF0000"/>
        </w:rPr>
      </w:pPr>
    </w:p>
    <w:p w14:paraId="07B599E3" w14:textId="4403731B" w:rsidR="00CB424E" w:rsidRDefault="00CB424E" w:rsidP="00BD511D">
      <w:pPr>
        <w:spacing w:after="0"/>
        <w:ind w:firstLine="0"/>
        <w:rPr>
          <w:color w:val="FF0000"/>
        </w:rPr>
      </w:pPr>
    </w:p>
    <w:p w14:paraId="5363B796" w14:textId="654E8EE1" w:rsidR="00CB424E" w:rsidRDefault="00CB424E" w:rsidP="00BD511D">
      <w:pPr>
        <w:spacing w:after="0"/>
        <w:ind w:firstLine="0"/>
        <w:rPr>
          <w:color w:val="FF0000"/>
        </w:rPr>
      </w:pPr>
    </w:p>
    <w:p w14:paraId="11CC43C1" w14:textId="15378DD8" w:rsidR="00CB424E" w:rsidRDefault="00CB424E" w:rsidP="00BD511D">
      <w:pPr>
        <w:spacing w:after="0"/>
        <w:ind w:firstLine="0"/>
        <w:rPr>
          <w:color w:val="FF0000"/>
        </w:rPr>
      </w:pPr>
    </w:p>
    <w:p w14:paraId="0F495FC7" w14:textId="69FDA914" w:rsidR="00CB424E" w:rsidRDefault="00CB424E" w:rsidP="00BD511D">
      <w:pPr>
        <w:spacing w:after="0"/>
        <w:ind w:firstLine="0"/>
        <w:rPr>
          <w:color w:val="FF0000"/>
        </w:rPr>
      </w:pPr>
    </w:p>
    <w:p w14:paraId="5598CD4E" w14:textId="77777777" w:rsidR="00AB5C03" w:rsidRDefault="00AB5C03" w:rsidP="00CB424E">
      <w:pPr>
        <w:spacing w:before="120" w:after="0"/>
        <w:ind w:firstLine="0"/>
      </w:pPr>
    </w:p>
    <w:p w14:paraId="56A6A420" w14:textId="77777777" w:rsidR="00AB5C03" w:rsidRDefault="00AB5C03" w:rsidP="00CB424E">
      <w:pPr>
        <w:spacing w:before="120" w:after="0"/>
        <w:ind w:firstLine="0"/>
      </w:pPr>
    </w:p>
    <w:p w14:paraId="5FA2E6CE" w14:textId="77777777" w:rsidR="000563DA" w:rsidRDefault="000563DA" w:rsidP="00CB424E">
      <w:pPr>
        <w:spacing w:before="120" w:after="0"/>
        <w:ind w:firstLine="0"/>
      </w:pPr>
    </w:p>
    <w:p w14:paraId="05A5A85A" w14:textId="16D56442" w:rsidR="00064B9A" w:rsidRPr="00BD511D" w:rsidRDefault="008818F0" w:rsidP="00064B9A">
      <w:pPr>
        <w:spacing w:before="240" w:after="240"/>
        <w:ind w:firstLine="0"/>
      </w:pPr>
      <w:r w:rsidRPr="00BD511D">
        <w:rPr>
          <w:noProof/>
          <w:color w:val="FF0000"/>
          <w:sz w:val="20"/>
          <w:szCs w:val="20"/>
        </w:rPr>
        <w:drawing>
          <wp:anchor distT="0" distB="0" distL="114300" distR="114300" simplePos="0" relativeHeight="252526080" behindDoc="1" locked="0" layoutInCell="1" allowOverlap="1" wp14:anchorId="370BD26B" wp14:editId="661CA4B0">
            <wp:simplePos x="0" y="0"/>
            <wp:positionH relativeFrom="margin">
              <wp:posOffset>-17311</wp:posOffset>
            </wp:positionH>
            <wp:positionV relativeFrom="paragraph">
              <wp:posOffset>1436094</wp:posOffset>
            </wp:positionV>
            <wp:extent cx="5843905" cy="2679590"/>
            <wp:effectExtent l="0" t="0" r="4445" b="6985"/>
            <wp:wrapNone/>
            <wp:docPr id="27" name="Graf 2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BD511D" w:rsidRPr="00BD511D">
        <w:t>Z hľadiska dosiahnutého stupňa vzdelania, najväčšiu skupinu zaradených na AČ podľa § 52 zákona o službách zamestnanosti, tvorili UoZ so základným vzdelaním 33 UoZ (58,93%), nasledujúcu skupinu tvorili UoZ so stredným odborným vzdelaním 15 UoZ (26,79%), neukončené základné vzdelanie mali 2 UoZ (3,57%), 5 UoZ (8,93%), ktorí dosiahli úplné stredné odborné vzdelanie, nižšie stredné odborné vzdelanie 1 UoZ  (1,79%), úplné stredné všeobecné vzdelanie 0 UoZ (0 %) a VŠ druhéh</w:t>
      </w:r>
      <w:bookmarkStart w:id="85" w:name="_GoBack"/>
      <w:bookmarkEnd w:id="85"/>
      <w:r w:rsidR="00BD511D" w:rsidRPr="00BD511D">
        <w:t xml:space="preserve">o stupňa 0 UoZ (0 %), VŠ tretieho stupňa 0 UoZ (0 %) </w:t>
      </w:r>
      <w:r w:rsidR="00CB424E" w:rsidRPr="00CB424E">
        <w:t>- v </w:t>
      </w:r>
      <w:r w:rsidR="00CB424E">
        <w:t>štruktúre podľa grafu nižšie.</w:t>
      </w:r>
    </w:p>
    <w:p w14:paraId="43B58A5E" w14:textId="7F025074" w:rsidR="00CB424E" w:rsidRDefault="00CB424E" w:rsidP="00BD511D">
      <w:pPr>
        <w:spacing w:before="120"/>
        <w:ind w:firstLine="0"/>
        <w:rPr>
          <w:color w:val="FF0000"/>
        </w:rPr>
      </w:pPr>
    </w:p>
    <w:p w14:paraId="621F401C" w14:textId="33AE24DA" w:rsidR="00CB424E" w:rsidRDefault="00CB424E" w:rsidP="00BD511D">
      <w:pPr>
        <w:spacing w:before="120"/>
        <w:ind w:firstLine="0"/>
        <w:rPr>
          <w:color w:val="FF0000"/>
        </w:rPr>
      </w:pPr>
    </w:p>
    <w:p w14:paraId="640B1F50" w14:textId="25C8711D" w:rsidR="00CB424E" w:rsidRDefault="00CB424E" w:rsidP="00BD511D">
      <w:pPr>
        <w:spacing w:before="120"/>
        <w:ind w:firstLine="0"/>
        <w:rPr>
          <w:color w:val="FF0000"/>
        </w:rPr>
      </w:pPr>
    </w:p>
    <w:p w14:paraId="2DE54267" w14:textId="2C37DDEC" w:rsidR="00CB424E" w:rsidRDefault="00CB424E" w:rsidP="00BD511D">
      <w:pPr>
        <w:spacing w:before="120"/>
        <w:ind w:firstLine="0"/>
        <w:rPr>
          <w:color w:val="FF0000"/>
        </w:rPr>
      </w:pPr>
    </w:p>
    <w:p w14:paraId="493A05B7" w14:textId="4EFF6B13" w:rsidR="00CB424E" w:rsidRDefault="00CB424E" w:rsidP="00BD511D">
      <w:pPr>
        <w:spacing w:before="120"/>
        <w:ind w:firstLine="0"/>
        <w:rPr>
          <w:color w:val="FF0000"/>
        </w:rPr>
      </w:pPr>
    </w:p>
    <w:p w14:paraId="3D54BD3C" w14:textId="77777777" w:rsidR="00CB424E" w:rsidRDefault="00CB424E" w:rsidP="00BD511D">
      <w:pPr>
        <w:spacing w:before="120"/>
        <w:ind w:firstLine="0"/>
        <w:rPr>
          <w:color w:val="FF0000"/>
        </w:rPr>
      </w:pPr>
    </w:p>
    <w:p w14:paraId="60467361" w14:textId="77777777" w:rsidR="000563DA" w:rsidRDefault="000563DA" w:rsidP="00C471CF">
      <w:pPr>
        <w:spacing w:before="120" w:after="120"/>
        <w:ind w:firstLine="0"/>
      </w:pPr>
    </w:p>
    <w:p w14:paraId="576DB374" w14:textId="77777777" w:rsidR="000563DA" w:rsidRDefault="000563DA" w:rsidP="00C471CF">
      <w:pPr>
        <w:spacing w:before="120" w:after="120"/>
        <w:ind w:firstLine="0"/>
      </w:pPr>
    </w:p>
    <w:p w14:paraId="2E84E7B4" w14:textId="77777777" w:rsidR="000563DA" w:rsidRDefault="000563DA" w:rsidP="00C471CF">
      <w:pPr>
        <w:spacing w:before="120" w:after="120"/>
        <w:ind w:firstLine="0"/>
      </w:pPr>
    </w:p>
    <w:p w14:paraId="52689C54" w14:textId="77777777" w:rsidR="000563DA" w:rsidRDefault="000563DA" w:rsidP="00C471CF">
      <w:pPr>
        <w:spacing w:before="120" w:after="120"/>
        <w:ind w:firstLine="0"/>
      </w:pPr>
    </w:p>
    <w:p w14:paraId="1AD2E318" w14:textId="775DB9DF" w:rsidR="00BD511D" w:rsidRDefault="008818F0" w:rsidP="00064B9A">
      <w:pPr>
        <w:spacing w:before="240" w:after="120"/>
        <w:ind w:firstLine="0"/>
      </w:pPr>
      <w:r w:rsidRPr="00BD511D">
        <w:rPr>
          <w:noProof/>
          <w:color w:val="FF0000"/>
          <w:sz w:val="20"/>
          <w:szCs w:val="20"/>
        </w:rPr>
        <w:lastRenderedPageBreak/>
        <w:drawing>
          <wp:anchor distT="0" distB="0" distL="114300" distR="114300" simplePos="0" relativeHeight="252527104" behindDoc="1" locked="0" layoutInCell="1" allowOverlap="1" wp14:anchorId="5C732B95" wp14:editId="3F8BAE71">
            <wp:simplePos x="0" y="0"/>
            <wp:positionH relativeFrom="margin">
              <wp:posOffset>-1546</wp:posOffset>
            </wp:positionH>
            <wp:positionV relativeFrom="paragraph">
              <wp:posOffset>1430627</wp:posOffset>
            </wp:positionV>
            <wp:extent cx="5843905" cy="2631882"/>
            <wp:effectExtent l="0" t="0" r="4445" b="16510"/>
            <wp:wrapNone/>
            <wp:docPr id="229" name="Graf 22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BD511D" w:rsidRPr="00BD511D">
        <w:t>Z hľadiska znevýhodnenia UoZ, zo zaradených na AČ formou menších obecných služieb pre obec alebo formou menších služieb pre samosprávny kraj podľa § 52 zákona o službách zamestnanosti, bola väčšina UoZ viacnásobne znevýhodnených UoZ . Najvyšší podiel tvorili dlhodobo nezamestnaní občania v počte 50 UoZ (49,50 %), 34 UoZ (33,66 %), ktorí najmenej 12 po sebe nasledujúcich kalendárnych mesiacov pred zaradením do evidencie, nemali pravidelne platené zamestnanie, 15 UoZ (14,85 %), ktorí boli starší ako 50 rokov veku, 1 UoZ (0,99 %) občan starajúci sa o dieťa, 0 UoZ občanov so ZP (0 %) a 1 UoZ (0,99 %) absolven</w:t>
      </w:r>
      <w:r w:rsidR="00CB424E">
        <w:t>ti, v štruktúre podľa grafu</w:t>
      </w:r>
      <w:r w:rsidR="00AB5C03">
        <w:t xml:space="preserve"> dole</w:t>
      </w:r>
      <w:r w:rsidR="00CB424E">
        <w:t>.</w:t>
      </w:r>
    </w:p>
    <w:p w14:paraId="33729D87" w14:textId="60FE4CB5" w:rsidR="008818F0" w:rsidRDefault="008818F0" w:rsidP="00064B9A">
      <w:pPr>
        <w:spacing w:before="240" w:after="120"/>
        <w:ind w:firstLine="0"/>
      </w:pPr>
    </w:p>
    <w:p w14:paraId="4325E798" w14:textId="38ED0175" w:rsidR="00CB424E" w:rsidRDefault="00CB424E" w:rsidP="00BD511D">
      <w:pPr>
        <w:spacing w:before="120"/>
        <w:ind w:firstLine="0"/>
      </w:pPr>
    </w:p>
    <w:p w14:paraId="2753510C" w14:textId="6BD9A60B" w:rsidR="00CB424E" w:rsidRDefault="00CB424E" w:rsidP="00BD511D">
      <w:pPr>
        <w:spacing w:before="120"/>
        <w:ind w:firstLine="0"/>
      </w:pPr>
    </w:p>
    <w:p w14:paraId="69667EBA" w14:textId="63C2B21F" w:rsidR="00CB424E" w:rsidRDefault="00CB424E" w:rsidP="00BD511D">
      <w:pPr>
        <w:spacing w:before="120"/>
        <w:ind w:firstLine="0"/>
      </w:pPr>
    </w:p>
    <w:p w14:paraId="3ED47F7E" w14:textId="72F744AD" w:rsidR="00CB424E" w:rsidRPr="00BD511D" w:rsidRDefault="00CB424E" w:rsidP="00BD511D">
      <w:pPr>
        <w:spacing w:before="120"/>
        <w:ind w:firstLine="0"/>
      </w:pPr>
    </w:p>
    <w:p w14:paraId="6FD5D9A1" w14:textId="28FF9E64" w:rsidR="00CB424E" w:rsidRPr="00CB424E" w:rsidRDefault="00CB424E" w:rsidP="00BD511D">
      <w:pPr>
        <w:spacing w:before="120" w:after="0"/>
        <w:ind w:firstLine="0"/>
        <w:rPr>
          <w:sz w:val="20"/>
          <w:szCs w:val="20"/>
        </w:rPr>
      </w:pPr>
    </w:p>
    <w:p w14:paraId="37E6C4F1" w14:textId="7446A23E" w:rsidR="00CB424E" w:rsidRDefault="00CB424E" w:rsidP="00BD511D">
      <w:pPr>
        <w:spacing w:before="120" w:after="0"/>
        <w:ind w:firstLine="0"/>
        <w:rPr>
          <w:color w:val="FF0000"/>
          <w:sz w:val="20"/>
          <w:szCs w:val="20"/>
        </w:rPr>
      </w:pPr>
    </w:p>
    <w:p w14:paraId="64CA95B5" w14:textId="081DBEEE" w:rsidR="00CB424E" w:rsidRDefault="00CB424E" w:rsidP="00BD511D">
      <w:pPr>
        <w:spacing w:before="120" w:after="0"/>
        <w:ind w:firstLine="0"/>
        <w:rPr>
          <w:color w:val="FF0000"/>
          <w:sz w:val="20"/>
          <w:szCs w:val="20"/>
        </w:rPr>
      </w:pPr>
    </w:p>
    <w:p w14:paraId="02C629DC" w14:textId="202E33C1" w:rsidR="00CB424E" w:rsidRDefault="00CB424E" w:rsidP="00BD511D">
      <w:pPr>
        <w:spacing w:before="120" w:after="0"/>
        <w:ind w:firstLine="0"/>
        <w:rPr>
          <w:color w:val="FF0000"/>
          <w:sz w:val="20"/>
          <w:szCs w:val="20"/>
        </w:rPr>
      </w:pPr>
    </w:p>
    <w:p w14:paraId="12CFF394" w14:textId="08E25ED4" w:rsidR="00CB424E" w:rsidRDefault="00CB424E" w:rsidP="00BD511D">
      <w:pPr>
        <w:spacing w:before="120" w:after="0"/>
        <w:ind w:firstLine="0"/>
        <w:rPr>
          <w:color w:val="FF0000"/>
          <w:sz w:val="20"/>
          <w:szCs w:val="20"/>
        </w:rPr>
      </w:pPr>
    </w:p>
    <w:p w14:paraId="65C30A93" w14:textId="47333068" w:rsidR="00CB424E" w:rsidRDefault="00CB424E" w:rsidP="00BD511D">
      <w:pPr>
        <w:spacing w:before="120" w:after="0"/>
        <w:ind w:firstLine="0"/>
        <w:rPr>
          <w:color w:val="FF0000"/>
          <w:sz w:val="20"/>
          <w:szCs w:val="20"/>
        </w:rPr>
      </w:pPr>
    </w:p>
    <w:p w14:paraId="7E331021" w14:textId="416EE557" w:rsidR="00BD511D" w:rsidRDefault="00BD511D" w:rsidP="00970F64">
      <w:pPr>
        <w:spacing w:before="120" w:after="0"/>
        <w:ind w:firstLine="0"/>
      </w:pPr>
      <w:r w:rsidRPr="00BD511D">
        <w:t>Z hľadiska dĺžky evidencie, z celkového počtu 56 UoZ bolo evidovaných dlhšie ako 24 mesiacov 46 UoZ (82,14%) a 9 UoZ (16,07%) zaradených na AČ formou menších obecných služieb pre obec alebo formou menších služieb pre samosprávny kraj vedených v evidencii UoZ dlhšie ako 12 mesiacov, 1 UoZ vedený v evidencii 7</w:t>
      </w:r>
      <w:r w:rsidR="00CB424E">
        <w:t xml:space="preserve"> </w:t>
      </w:r>
      <w:r w:rsidRPr="00BD511D">
        <w:t>-</w:t>
      </w:r>
      <w:r w:rsidR="00CB424E">
        <w:t xml:space="preserve"> </w:t>
      </w:r>
      <w:r w:rsidRPr="00BD511D">
        <w:t xml:space="preserve">12 mesiacov (1,79%), 0 UoZ vedený v evidencii </w:t>
      </w:r>
      <w:r w:rsidR="00CB424E">
        <w:t xml:space="preserve">           0 - </w:t>
      </w:r>
      <w:r w:rsidRPr="00BD511D">
        <w:t>3 mesiacov (0</w:t>
      </w:r>
      <w:r w:rsidR="00CB424E">
        <w:t xml:space="preserve"> </w:t>
      </w:r>
      <w:r w:rsidRPr="00BD511D">
        <w:t>%) 0 UoZ vedený v evidencii 4-6 mesia</w:t>
      </w:r>
      <w:r w:rsidR="00CB424E">
        <w:t>cov (0%), čo znázorňuje nasledujúci graf.</w:t>
      </w:r>
    </w:p>
    <w:p w14:paraId="1AE48247" w14:textId="1F5E87D9" w:rsidR="00A17257" w:rsidRDefault="00064B9A" w:rsidP="00CB424E">
      <w:pPr>
        <w:spacing w:after="0"/>
        <w:ind w:firstLine="0"/>
      </w:pPr>
      <w:r w:rsidRPr="00BD511D">
        <w:rPr>
          <w:noProof/>
          <w:color w:val="FF0000"/>
          <w:sz w:val="20"/>
          <w:szCs w:val="20"/>
        </w:rPr>
        <w:drawing>
          <wp:anchor distT="0" distB="0" distL="114300" distR="114300" simplePos="0" relativeHeight="252528128" behindDoc="1" locked="0" layoutInCell="1" allowOverlap="1" wp14:anchorId="6628A5D8" wp14:editId="48FE5C54">
            <wp:simplePos x="0" y="0"/>
            <wp:positionH relativeFrom="margin">
              <wp:posOffset>-25787</wp:posOffset>
            </wp:positionH>
            <wp:positionV relativeFrom="paragraph">
              <wp:posOffset>78380</wp:posOffset>
            </wp:positionV>
            <wp:extent cx="5807075" cy="2918129"/>
            <wp:effectExtent l="0" t="0" r="3175" b="15875"/>
            <wp:wrapNone/>
            <wp:docPr id="472" name="Graf 47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BCD6713" w14:textId="1B3CB972" w:rsidR="00A17257" w:rsidRDefault="00A17257" w:rsidP="00CB424E">
      <w:pPr>
        <w:spacing w:after="0"/>
        <w:ind w:firstLine="0"/>
      </w:pPr>
    </w:p>
    <w:p w14:paraId="75694C32" w14:textId="39B2E741" w:rsidR="00A17257" w:rsidRPr="00BD511D" w:rsidRDefault="00A17257" w:rsidP="00CB424E">
      <w:pPr>
        <w:spacing w:after="0"/>
        <w:ind w:firstLine="0"/>
      </w:pPr>
    </w:p>
    <w:p w14:paraId="16508F44" w14:textId="7B95C91A" w:rsidR="00C471CF" w:rsidRDefault="00C471CF" w:rsidP="009B37C7">
      <w:pPr>
        <w:spacing w:before="120" w:after="0"/>
        <w:ind w:firstLine="0"/>
      </w:pPr>
    </w:p>
    <w:p w14:paraId="3854D080" w14:textId="0A9A214B" w:rsidR="00C471CF" w:rsidRDefault="00C471CF" w:rsidP="009B37C7">
      <w:pPr>
        <w:spacing w:before="120" w:after="0"/>
        <w:ind w:firstLine="0"/>
      </w:pPr>
    </w:p>
    <w:p w14:paraId="239FC498" w14:textId="77777777" w:rsidR="00C471CF" w:rsidRDefault="00C471CF" w:rsidP="009B37C7">
      <w:pPr>
        <w:spacing w:before="120" w:after="0"/>
        <w:ind w:firstLine="0"/>
      </w:pPr>
    </w:p>
    <w:p w14:paraId="2C96A4C2" w14:textId="5A0C57CA" w:rsidR="00C471CF" w:rsidRDefault="00C471CF" w:rsidP="009B37C7">
      <w:pPr>
        <w:spacing w:before="120" w:after="0"/>
        <w:ind w:firstLine="0"/>
      </w:pPr>
    </w:p>
    <w:p w14:paraId="41A61D81" w14:textId="06CB8C4F" w:rsidR="00C471CF" w:rsidRDefault="00C471CF" w:rsidP="009B37C7">
      <w:pPr>
        <w:spacing w:before="120" w:after="0"/>
        <w:ind w:firstLine="0"/>
      </w:pPr>
    </w:p>
    <w:p w14:paraId="25116518" w14:textId="4A9680EC" w:rsidR="00C471CF" w:rsidRDefault="00C471CF" w:rsidP="009B37C7">
      <w:pPr>
        <w:spacing w:before="120" w:after="0"/>
        <w:ind w:firstLine="0"/>
      </w:pPr>
    </w:p>
    <w:p w14:paraId="030E3B31" w14:textId="0E73E601" w:rsidR="00C471CF" w:rsidRDefault="00C471CF" w:rsidP="009B37C7">
      <w:pPr>
        <w:spacing w:before="120" w:after="0"/>
        <w:ind w:firstLine="0"/>
      </w:pPr>
    </w:p>
    <w:p w14:paraId="454AF927" w14:textId="4965502F" w:rsidR="00C471CF" w:rsidRDefault="00C471CF" w:rsidP="009B37C7">
      <w:pPr>
        <w:spacing w:before="120" w:after="0"/>
        <w:ind w:firstLine="0"/>
      </w:pPr>
    </w:p>
    <w:p w14:paraId="2E852113" w14:textId="77777777" w:rsidR="008818F0" w:rsidRDefault="008818F0" w:rsidP="009B37C7">
      <w:pPr>
        <w:spacing w:before="120" w:after="0"/>
        <w:ind w:firstLine="0"/>
      </w:pPr>
    </w:p>
    <w:p w14:paraId="0D9967E1" w14:textId="77777777" w:rsidR="008818F0" w:rsidRDefault="008818F0" w:rsidP="009B37C7">
      <w:pPr>
        <w:spacing w:before="120" w:after="0"/>
        <w:ind w:firstLine="0"/>
      </w:pPr>
    </w:p>
    <w:p w14:paraId="083EA59B" w14:textId="1CF903FE" w:rsidR="00BD511D" w:rsidRDefault="00BD511D" w:rsidP="009B37C7">
      <w:pPr>
        <w:spacing w:before="120" w:after="0"/>
        <w:ind w:firstLine="0"/>
      </w:pPr>
      <w:r w:rsidRPr="00BD511D">
        <w:t>Z hľadiska profesie, ktorú UoZ vykonávali na uvedenej AČ, z 56 UoZ bol 1 UoZ (1,79%) technický a odborný pracovník, 9 UoZ administratívni pracovníci (16,07%), 1 UoZ pracovník v službách a obchode (1,79%) a 45 UoZ (80,36%) ako UoZ pomocní a nekvalifikovaní pracovní</w:t>
      </w:r>
      <w:r w:rsidR="00064B9A">
        <w:t xml:space="preserve">ci, </w:t>
      </w:r>
      <w:r w:rsidR="004D2547">
        <w:t>v štruktúre podľa grafu nižšie.</w:t>
      </w:r>
    </w:p>
    <w:p w14:paraId="181AEFA8" w14:textId="77777777" w:rsidR="008818F0" w:rsidRPr="00BD511D" w:rsidRDefault="008818F0" w:rsidP="009B37C7">
      <w:pPr>
        <w:spacing w:before="120" w:after="0"/>
        <w:ind w:firstLine="0"/>
      </w:pPr>
    </w:p>
    <w:p w14:paraId="619A7434" w14:textId="1B889B29" w:rsidR="00A17257" w:rsidRDefault="00795931" w:rsidP="00BD511D">
      <w:pPr>
        <w:spacing w:before="120"/>
        <w:ind w:firstLine="0"/>
      </w:pPr>
      <w:r w:rsidRPr="00BD511D">
        <w:rPr>
          <w:noProof/>
          <w:color w:val="FF0000"/>
          <w:sz w:val="20"/>
          <w:szCs w:val="20"/>
        </w:rPr>
        <w:lastRenderedPageBreak/>
        <w:drawing>
          <wp:anchor distT="0" distB="0" distL="114300" distR="114300" simplePos="0" relativeHeight="252529152" behindDoc="1" locked="0" layoutInCell="1" allowOverlap="1" wp14:anchorId="0692EAB7" wp14:editId="6FD90F50">
            <wp:simplePos x="0" y="0"/>
            <wp:positionH relativeFrom="margin">
              <wp:posOffset>-1933</wp:posOffset>
            </wp:positionH>
            <wp:positionV relativeFrom="paragraph">
              <wp:posOffset>72418</wp:posOffset>
            </wp:positionV>
            <wp:extent cx="5862955" cy="2433099"/>
            <wp:effectExtent l="0" t="0" r="4445" b="5715"/>
            <wp:wrapNone/>
            <wp:docPr id="230" name="Graf 23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4131F22" w14:textId="1C1BE589" w:rsidR="00A17257" w:rsidRDefault="00A17257" w:rsidP="00BD511D">
      <w:pPr>
        <w:spacing w:before="120"/>
        <w:ind w:firstLine="0"/>
      </w:pPr>
    </w:p>
    <w:p w14:paraId="4664683C" w14:textId="651F76ED" w:rsidR="00A17257" w:rsidRDefault="00A17257" w:rsidP="00BD511D">
      <w:pPr>
        <w:spacing w:before="120"/>
        <w:ind w:firstLine="0"/>
      </w:pPr>
    </w:p>
    <w:p w14:paraId="67074C17" w14:textId="70A7E983" w:rsidR="00A17257" w:rsidRDefault="00A17257" w:rsidP="00BD511D">
      <w:pPr>
        <w:spacing w:before="120"/>
        <w:ind w:firstLine="0"/>
      </w:pPr>
    </w:p>
    <w:p w14:paraId="226FE90D" w14:textId="6AEC1FC7" w:rsidR="00A17257" w:rsidRDefault="00A17257" w:rsidP="00BD511D">
      <w:pPr>
        <w:spacing w:before="120"/>
        <w:ind w:firstLine="0"/>
      </w:pPr>
    </w:p>
    <w:p w14:paraId="7D8638EA" w14:textId="2E9E816E" w:rsidR="00A17257" w:rsidRDefault="00A17257" w:rsidP="00BD511D">
      <w:pPr>
        <w:spacing w:before="120"/>
        <w:ind w:firstLine="0"/>
      </w:pPr>
    </w:p>
    <w:p w14:paraId="1334171B" w14:textId="77777777" w:rsidR="00795931" w:rsidRDefault="00795931" w:rsidP="00BD511D">
      <w:pPr>
        <w:spacing w:before="120"/>
        <w:ind w:firstLine="0"/>
      </w:pPr>
    </w:p>
    <w:p w14:paraId="764C32AC" w14:textId="77777777" w:rsidR="00795931" w:rsidRDefault="00795931" w:rsidP="00BD511D">
      <w:pPr>
        <w:spacing w:before="120"/>
        <w:ind w:firstLine="0"/>
      </w:pPr>
    </w:p>
    <w:p w14:paraId="0B240502" w14:textId="77777777" w:rsidR="00795931" w:rsidRDefault="00795931" w:rsidP="00BD511D">
      <w:pPr>
        <w:spacing w:before="120"/>
        <w:ind w:firstLine="0"/>
      </w:pPr>
    </w:p>
    <w:p w14:paraId="766A6FED" w14:textId="77777777" w:rsidR="00795931" w:rsidRDefault="00795931" w:rsidP="00BD511D">
      <w:pPr>
        <w:spacing w:before="120"/>
        <w:ind w:firstLine="0"/>
      </w:pPr>
    </w:p>
    <w:p w14:paraId="22F03977" w14:textId="717777B8" w:rsidR="00BD511D" w:rsidRDefault="00BD511D" w:rsidP="008818F0">
      <w:pPr>
        <w:spacing w:before="240" w:after="0"/>
        <w:ind w:firstLine="0"/>
      </w:pPr>
      <w:r w:rsidRPr="00BD511D">
        <w:t xml:space="preserve">Všetci UoZ zaradení na vykonávanie AČ formou menších obecných služieb pre obec alebo formou menších služieb pre samosprávny kraj podľa § 52 zákona o službách zamestnanosti pracovali v oblasti verejnej správy a sociálneho zabezpečenia. </w:t>
      </w:r>
    </w:p>
    <w:p w14:paraId="51376B5A" w14:textId="16BA825B" w:rsidR="00BD511D" w:rsidRPr="00BD511D" w:rsidRDefault="00BD511D" w:rsidP="007477FE">
      <w:pPr>
        <w:spacing w:before="120" w:after="120"/>
        <w:ind w:firstLine="0"/>
        <w:rPr>
          <w:color w:val="FF0000"/>
          <w:sz w:val="20"/>
          <w:szCs w:val="20"/>
        </w:rPr>
      </w:pPr>
      <w:r w:rsidRPr="00BD511D">
        <w:t>Väčšina zaradených UoZ považovala tento nástroj AOTP predovšetkým za možnosť získať aktivačný príspevok. Z hľadiska hodnotenia účinnosti tohto opatrenia bol dôležitý ukazovateľ umiestnenia UoZ na TP po jeho ukončení. V roku 2023 ukončilo AČ formou menších obecných služieb celkovo 607 UoZ. Na T</w:t>
      </w:r>
      <w:r w:rsidR="009B37C7">
        <w:t xml:space="preserve">P sa umiestnilo spolu 183 UoZ, podľa </w:t>
      </w:r>
      <w:r w:rsidR="00AB0FF5">
        <w:t xml:space="preserve">počtu mesiacov do umiestnenia na trhu práce po skončení AČ podľa </w:t>
      </w:r>
      <w:r w:rsidR="009B37C7">
        <w:t>nasledujúcej  tabuľky.</w:t>
      </w:r>
      <w:r w:rsidR="009B37C7" w:rsidRPr="00BD511D">
        <w:rPr>
          <w:color w:val="FF0000"/>
          <w:sz w:val="20"/>
          <w:szCs w:val="20"/>
        </w:rPr>
        <w:t xml:space="preserve"> </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1356"/>
        <w:gridCol w:w="1768"/>
        <w:gridCol w:w="1733"/>
        <w:gridCol w:w="1878"/>
        <w:gridCol w:w="1967"/>
      </w:tblGrid>
      <w:tr w:rsidR="009B37C7" w:rsidRPr="00AB0FF5" w14:paraId="05083BDF" w14:textId="77777777" w:rsidTr="00CD753A">
        <w:trPr>
          <w:trHeight w:val="485"/>
          <w:jc w:val="center"/>
        </w:trPr>
        <w:tc>
          <w:tcPr>
            <w:tcW w:w="626" w:type="dxa"/>
            <w:vMerge w:val="restart"/>
            <w:shd w:val="clear" w:color="auto" w:fill="DBE5F1"/>
            <w:vAlign w:val="center"/>
            <w:hideMark/>
          </w:tcPr>
          <w:p w14:paraId="2D63638C"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Rok</w:t>
            </w:r>
          </w:p>
        </w:tc>
        <w:tc>
          <w:tcPr>
            <w:tcW w:w="1356" w:type="dxa"/>
            <w:vMerge w:val="restart"/>
            <w:shd w:val="clear" w:color="auto" w:fill="DBE5F1"/>
            <w:vAlign w:val="center"/>
            <w:hideMark/>
          </w:tcPr>
          <w:p w14:paraId="58EEC747"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Počet UoZ, ktorí skončili AČ</w:t>
            </w:r>
          </w:p>
        </w:tc>
        <w:tc>
          <w:tcPr>
            <w:tcW w:w="7346" w:type="dxa"/>
            <w:gridSpan w:val="4"/>
            <w:shd w:val="clear" w:color="auto" w:fill="DBE5F1"/>
            <w:vAlign w:val="center"/>
          </w:tcPr>
          <w:p w14:paraId="5B5FCB54"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Umiestnení UoZ na TP po ukončení AČ formou menších obecných služieb</w:t>
            </w:r>
          </w:p>
        </w:tc>
      </w:tr>
      <w:tr w:rsidR="009B37C7" w:rsidRPr="00AB0FF5" w14:paraId="761A168E" w14:textId="77777777" w:rsidTr="00CD753A">
        <w:trPr>
          <w:trHeight w:val="314"/>
          <w:jc w:val="center"/>
        </w:trPr>
        <w:tc>
          <w:tcPr>
            <w:tcW w:w="626" w:type="dxa"/>
            <w:vMerge/>
            <w:vAlign w:val="center"/>
            <w:hideMark/>
          </w:tcPr>
          <w:p w14:paraId="27ED9223" w14:textId="77777777" w:rsidR="009B37C7" w:rsidRPr="009B37C7" w:rsidRDefault="009B37C7" w:rsidP="009B37C7">
            <w:pPr>
              <w:spacing w:after="0"/>
              <w:rPr>
                <w:rFonts w:ascii="Calibri" w:hAnsi="Calibri" w:cs="Calibri"/>
                <w:b/>
                <w:bCs/>
                <w:sz w:val="20"/>
                <w:szCs w:val="20"/>
              </w:rPr>
            </w:pPr>
          </w:p>
        </w:tc>
        <w:tc>
          <w:tcPr>
            <w:tcW w:w="1356" w:type="dxa"/>
            <w:vMerge/>
            <w:vAlign w:val="center"/>
            <w:hideMark/>
          </w:tcPr>
          <w:p w14:paraId="600BFE10" w14:textId="77777777" w:rsidR="009B37C7" w:rsidRPr="009B37C7" w:rsidRDefault="009B37C7" w:rsidP="009B37C7">
            <w:pPr>
              <w:spacing w:after="0"/>
              <w:rPr>
                <w:rFonts w:ascii="Calibri" w:hAnsi="Calibri" w:cs="Calibri"/>
                <w:b/>
                <w:bCs/>
                <w:sz w:val="20"/>
                <w:szCs w:val="20"/>
              </w:rPr>
            </w:pPr>
          </w:p>
        </w:tc>
        <w:tc>
          <w:tcPr>
            <w:tcW w:w="1768" w:type="dxa"/>
            <w:shd w:val="clear" w:color="auto" w:fill="DBE5F1"/>
            <w:vAlign w:val="center"/>
            <w:hideMark/>
          </w:tcPr>
          <w:p w14:paraId="471E923D"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do 1 mesiaca</w:t>
            </w:r>
          </w:p>
        </w:tc>
        <w:tc>
          <w:tcPr>
            <w:tcW w:w="1733" w:type="dxa"/>
            <w:shd w:val="clear" w:color="auto" w:fill="DBE5F1"/>
            <w:vAlign w:val="center"/>
            <w:hideMark/>
          </w:tcPr>
          <w:p w14:paraId="7ADD139C"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do 3</w:t>
            </w:r>
          </w:p>
          <w:p w14:paraId="0E4645A1"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mesiacov</w:t>
            </w:r>
          </w:p>
        </w:tc>
        <w:tc>
          <w:tcPr>
            <w:tcW w:w="1878" w:type="dxa"/>
            <w:shd w:val="clear" w:color="auto" w:fill="DBE5F1"/>
            <w:vAlign w:val="center"/>
            <w:hideMark/>
          </w:tcPr>
          <w:p w14:paraId="38E9F201"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do 6</w:t>
            </w:r>
          </w:p>
          <w:p w14:paraId="01F5D2E7"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mesiacov</w:t>
            </w:r>
          </w:p>
        </w:tc>
        <w:tc>
          <w:tcPr>
            <w:tcW w:w="1967" w:type="dxa"/>
            <w:shd w:val="clear" w:color="auto" w:fill="DBE5F1"/>
            <w:vAlign w:val="center"/>
          </w:tcPr>
          <w:p w14:paraId="4EA8A6C8"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 xml:space="preserve">Úspešnosť </w:t>
            </w:r>
          </w:p>
          <w:p w14:paraId="37132FB5" w14:textId="77777777" w:rsidR="009B37C7" w:rsidRPr="009B37C7" w:rsidRDefault="009B37C7" w:rsidP="009B37C7">
            <w:pPr>
              <w:spacing w:after="0"/>
              <w:jc w:val="center"/>
              <w:rPr>
                <w:rFonts w:ascii="Calibri" w:hAnsi="Calibri" w:cs="Calibri"/>
                <w:sz w:val="20"/>
                <w:szCs w:val="20"/>
              </w:rPr>
            </w:pPr>
            <w:r w:rsidRPr="009B37C7">
              <w:rPr>
                <w:rFonts w:ascii="Calibri" w:hAnsi="Calibri" w:cs="Calibri"/>
                <w:sz w:val="20"/>
                <w:szCs w:val="20"/>
              </w:rPr>
              <w:t>(v %)</w:t>
            </w:r>
          </w:p>
        </w:tc>
      </w:tr>
      <w:tr w:rsidR="009B37C7" w:rsidRPr="00AB0FF5" w14:paraId="0619D7F7" w14:textId="77777777" w:rsidTr="00CD753A">
        <w:trPr>
          <w:trHeight w:val="417"/>
          <w:jc w:val="center"/>
        </w:trPr>
        <w:tc>
          <w:tcPr>
            <w:tcW w:w="626" w:type="dxa"/>
            <w:shd w:val="clear" w:color="auto" w:fill="DBE5F1"/>
            <w:vAlign w:val="center"/>
            <w:hideMark/>
          </w:tcPr>
          <w:p w14:paraId="61E043B0" w14:textId="77777777" w:rsidR="009B37C7" w:rsidRPr="009B37C7" w:rsidRDefault="009B37C7" w:rsidP="009B37C7">
            <w:pPr>
              <w:spacing w:after="0"/>
              <w:jc w:val="center"/>
              <w:rPr>
                <w:rFonts w:ascii="Calibri" w:hAnsi="Calibri" w:cs="Calibri"/>
                <w:b/>
                <w:bCs/>
                <w:sz w:val="20"/>
                <w:szCs w:val="20"/>
              </w:rPr>
            </w:pPr>
            <w:r w:rsidRPr="009B37C7">
              <w:rPr>
                <w:rFonts w:ascii="Calibri" w:hAnsi="Calibri" w:cs="Calibri"/>
                <w:b/>
                <w:bCs/>
                <w:sz w:val="20"/>
                <w:szCs w:val="20"/>
              </w:rPr>
              <w:t>2023</w:t>
            </w:r>
          </w:p>
        </w:tc>
        <w:tc>
          <w:tcPr>
            <w:tcW w:w="1356" w:type="dxa"/>
            <w:vAlign w:val="center"/>
          </w:tcPr>
          <w:p w14:paraId="7391ABBF" w14:textId="77777777" w:rsidR="009B37C7" w:rsidRPr="009B37C7" w:rsidRDefault="009B37C7" w:rsidP="009B37C7">
            <w:pPr>
              <w:spacing w:after="0"/>
              <w:jc w:val="center"/>
              <w:rPr>
                <w:rFonts w:ascii="Calibri" w:hAnsi="Calibri" w:cs="Calibri"/>
                <w:sz w:val="20"/>
                <w:szCs w:val="20"/>
              </w:rPr>
            </w:pPr>
            <w:r w:rsidRPr="009B37C7">
              <w:rPr>
                <w:rFonts w:ascii="Calibri" w:hAnsi="Calibri" w:cs="Calibri"/>
                <w:sz w:val="20"/>
                <w:szCs w:val="20"/>
              </w:rPr>
              <w:t>607</w:t>
            </w:r>
          </w:p>
        </w:tc>
        <w:tc>
          <w:tcPr>
            <w:tcW w:w="1768" w:type="dxa"/>
            <w:vAlign w:val="center"/>
          </w:tcPr>
          <w:p w14:paraId="3676C569" w14:textId="77777777" w:rsidR="009B37C7" w:rsidRPr="009B37C7" w:rsidRDefault="009B37C7" w:rsidP="009B37C7">
            <w:pPr>
              <w:spacing w:after="0"/>
              <w:jc w:val="center"/>
              <w:rPr>
                <w:rFonts w:ascii="Calibri" w:hAnsi="Calibri" w:cs="Calibri"/>
                <w:sz w:val="20"/>
                <w:szCs w:val="20"/>
              </w:rPr>
            </w:pPr>
            <w:r w:rsidRPr="009B37C7">
              <w:rPr>
                <w:rFonts w:ascii="Calibri" w:hAnsi="Calibri" w:cs="Calibri"/>
                <w:sz w:val="20"/>
                <w:szCs w:val="20"/>
              </w:rPr>
              <w:t>53</w:t>
            </w:r>
          </w:p>
        </w:tc>
        <w:tc>
          <w:tcPr>
            <w:tcW w:w="1733" w:type="dxa"/>
            <w:vAlign w:val="center"/>
          </w:tcPr>
          <w:p w14:paraId="05800CEA" w14:textId="77777777" w:rsidR="009B37C7" w:rsidRPr="009B37C7" w:rsidRDefault="009B37C7" w:rsidP="009B37C7">
            <w:pPr>
              <w:spacing w:after="0"/>
              <w:jc w:val="center"/>
              <w:rPr>
                <w:rFonts w:ascii="Calibri" w:hAnsi="Calibri" w:cs="Calibri"/>
                <w:sz w:val="20"/>
                <w:szCs w:val="20"/>
              </w:rPr>
            </w:pPr>
            <w:r w:rsidRPr="009B37C7">
              <w:rPr>
                <w:rFonts w:ascii="Calibri" w:hAnsi="Calibri" w:cs="Calibri"/>
                <w:sz w:val="20"/>
                <w:szCs w:val="20"/>
              </w:rPr>
              <w:t>59</w:t>
            </w:r>
          </w:p>
        </w:tc>
        <w:tc>
          <w:tcPr>
            <w:tcW w:w="1878" w:type="dxa"/>
            <w:vAlign w:val="center"/>
          </w:tcPr>
          <w:p w14:paraId="1C7C103A" w14:textId="77777777" w:rsidR="009B37C7" w:rsidRPr="009B37C7" w:rsidRDefault="009B37C7" w:rsidP="009B37C7">
            <w:pPr>
              <w:spacing w:after="0"/>
              <w:ind w:left="-269" w:firstLine="269"/>
              <w:jc w:val="center"/>
              <w:rPr>
                <w:rFonts w:ascii="Calibri" w:hAnsi="Calibri" w:cs="Calibri"/>
                <w:sz w:val="20"/>
                <w:szCs w:val="20"/>
              </w:rPr>
            </w:pPr>
            <w:r w:rsidRPr="009B37C7">
              <w:rPr>
                <w:rFonts w:ascii="Calibri" w:hAnsi="Calibri" w:cs="Calibri"/>
                <w:sz w:val="20"/>
                <w:szCs w:val="20"/>
              </w:rPr>
              <w:t>71</w:t>
            </w:r>
          </w:p>
        </w:tc>
        <w:tc>
          <w:tcPr>
            <w:tcW w:w="1967" w:type="dxa"/>
            <w:vAlign w:val="center"/>
          </w:tcPr>
          <w:p w14:paraId="5E8742C8" w14:textId="77777777" w:rsidR="009B37C7" w:rsidRPr="009B37C7" w:rsidRDefault="009B37C7" w:rsidP="009B37C7">
            <w:pPr>
              <w:spacing w:after="0"/>
              <w:ind w:left="-190" w:firstLine="190"/>
              <w:jc w:val="center"/>
              <w:rPr>
                <w:rFonts w:ascii="Calibri" w:hAnsi="Calibri" w:cs="Calibri"/>
                <w:sz w:val="20"/>
                <w:szCs w:val="20"/>
              </w:rPr>
            </w:pPr>
            <w:r w:rsidRPr="009B37C7">
              <w:rPr>
                <w:rFonts w:ascii="Calibri" w:hAnsi="Calibri" w:cs="Calibri"/>
                <w:sz w:val="20"/>
                <w:szCs w:val="20"/>
              </w:rPr>
              <w:t xml:space="preserve">30,15 </w:t>
            </w:r>
          </w:p>
        </w:tc>
      </w:tr>
    </w:tbl>
    <w:p w14:paraId="668A95E4" w14:textId="3F2247EB" w:rsidR="005D01BC" w:rsidRPr="00C35CA8" w:rsidRDefault="006A074D" w:rsidP="006A074D">
      <w:pPr>
        <w:pStyle w:val="Nadpis20"/>
        <w:tabs>
          <w:tab w:val="left" w:pos="0"/>
        </w:tabs>
        <w:jc w:val="both"/>
        <w:rPr>
          <w:rFonts w:eastAsia="Calibri"/>
          <w:lang w:eastAsia="en-US"/>
        </w:rPr>
      </w:pPr>
      <w:bookmarkStart w:id="86" w:name="_Hlk103520761"/>
      <w:bookmarkStart w:id="87" w:name="_Toc514941047"/>
      <w:bookmarkStart w:id="88" w:name="_Toc37094605"/>
      <w:bookmarkStart w:id="89" w:name="_Toc173741559"/>
      <w:bookmarkStart w:id="90" w:name="_Hlk103523172"/>
      <w:bookmarkStart w:id="91" w:name="_Hlk103523147"/>
      <w:bookmarkEnd w:id="82"/>
      <w:bookmarkEnd w:id="83"/>
      <w:bookmarkEnd w:id="84"/>
      <w:r w:rsidRPr="006A074D">
        <w:t>3.5</w:t>
      </w:r>
      <w:r w:rsidRPr="006A074D">
        <w:tab/>
        <w:t xml:space="preserve">Príspevok na </w:t>
      </w:r>
      <w:bookmarkEnd w:id="86"/>
      <w:r w:rsidR="001C4753" w:rsidRPr="00C35CA8">
        <w:rPr>
          <w:rFonts w:eastAsia="Calibri"/>
          <w:lang w:eastAsia="en-US"/>
        </w:rPr>
        <w:t>rekvalifikačný kurz (</w:t>
      </w:r>
      <w:r w:rsidR="005D01BC" w:rsidRPr="00C35CA8">
        <w:rPr>
          <w:rFonts w:eastAsia="Calibri"/>
          <w:lang w:eastAsia="en-US"/>
        </w:rPr>
        <w:t>REPAS</w:t>
      </w:r>
      <w:bookmarkEnd w:id="87"/>
      <w:r w:rsidR="000D400B" w:rsidRPr="00C35CA8">
        <w:rPr>
          <w:rFonts w:eastAsia="Calibri"/>
          <w:lang w:eastAsia="en-US"/>
        </w:rPr>
        <w:t>+</w:t>
      </w:r>
      <w:r w:rsidR="001C4753" w:rsidRPr="00C35CA8">
        <w:rPr>
          <w:rFonts w:eastAsia="Calibri"/>
          <w:lang w:eastAsia="en-US"/>
        </w:rPr>
        <w:t>)</w:t>
      </w:r>
      <w:r w:rsidR="006F6BB6" w:rsidRPr="00C35CA8">
        <w:rPr>
          <w:rFonts w:eastAsia="Calibri"/>
          <w:lang w:eastAsia="en-US"/>
        </w:rPr>
        <w:t xml:space="preserve"> </w:t>
      </w:r>
      <w:r w:rsidR="00E82759" w:rsidRPr="00C35CA8">
        <w:rPr>
          <w:rFonts w:eastAsia="Calibri"/>
          <w:lang w:eastAsia="en-US"/>
        </w:rPr>
        <w:t>-</w:t>
      </w:r>
      <w:r w:rsidR="006F6BB6" w:rsidRPr="00C35CA8">
        <w:rPr>
          <w:rFonts w:eastAsia="Calibri"/>
          <w:lang w:eastAsia="en-US"/>
        </w:rPr>
        <w:t xml:space="preserve"> </w:t>
      </w:r>
      <w:r w:rsidR="000C0272" w:rsidRPr="00C35CA8">
        <w:rPr>
          <w:rFonts w:eastAsia="Calibri"/>
          <w:lang w:eastAsia="en-US"/>
        </w:rPr>
        <w:t>§ 54 ods. 1 písm. d</w:t>
      </w:r>
      <w:r w:rsidR="00BA5170" w:rsidRPr="00C35CA8">
        <w:rPr>
          <w:rFonts w:eastAsia="Calibri"/>
          <w:lang w:eastAsia="en-US"/>
        </w:rPr>
        <w:t>)</w:t>
      </w:r>
      <w:r w:rsidR="0075232E" w:rsidRPr="00C35CA8">
        <w:rPr>
          <w:rFonts w:eastAsia="Calibri"/>
          <w:lang w:eastAsia="en-US"/>
        </w:rPr>
        <w:t xml:space="preserve"> </w:t>
      </w:r>
      <w:r w:rsidR="00AA6DF5" w:rsidRPr="00C35CA8">
        <w:rPr>
          <w:rFonts w:eastAsia="Calibri"/>
          <w:lang w:eastAsia="en-US"/>
        </w:rPr>
        <w:t xml:space="preserve"> </w:t>
      </w:r>
      <w:r w:rsidR="000C0272" w:rsidRPr="00C35CA8">
        <w:rPr>
          <w:rFonts w:eastAsia="Calibri"/>
          <w:lang w:eastAsia="en-US"/>
        </w:rPr>
        <w:t>zákona</w:t>
      </w:r>
      <w:bookmarkEnd w:id="88"/>
      <w:r w:rsidR="005760F9" w:rsidRPr="00C35CA8">
        <w:rPr>
          <w:rFonts w:eastAsia="Calibri"/>
          <w:lang w:eastAsia="en-US"/>
        </w:rPr>
        <w:br/>
        <w:t xml:space="preserve">          </w:t>
      </w:r>
      <w:r w:rsidR="004B769D" w:rsidRPr="00C35CA8">
        <w:rPr>
          <w:rFonts w:eastAsia="Calibri"/>
          <w:lang w:eastAsia="en-US"/>
        </w:rPr>
        <w:t xml:space="preserve">  </w:t>
      </w:r>
      <w:r w:rsidR="006A2E40" w:rsidRPr="00C35CA8">
        <w:t>o službách zamestnanosti</w:t>
      </w:r>
      <w:bookmarkEnd w:id="89"/>
    </w:p>
    <w:p w14:paraId="26D76504" w14:textId="36D4DB39" w:rsidR="00ED2A8D" w:rsidRPr="00ED2A8D" w:rsidRDefault="00ED2A8D" w:rsidP="00ED2A8D">
      <w:pPr>
        <w:spacing w:after="0"/>
        <w:ind w:hanging="6"/>
        <w:rPr>
          <w:rFonts w:eastAsia="Calibri"/>
          <w:color w:val="FF0000"/>
        </w:rPr>
      </w:pPr>
      <w:bookmarkStart w:id="92" w:name="_Toc514941049"/>
      <w:bookmarkStart w:id="93" w:name="_Toc37094607"/>
      <w:bookmarkEnd w:id="90"/>
      <w:bookmarkEnd w:id="91"/>
      <w:r w:rsidRPr="00ED2A8D">
        <w:rPr>
          <w:rFonts w:eastAsia="Calibri"/>
        </w:rPr>
        <w:t xml:space="preserve">Rekvalifikácia (REPAS+) je príprava UoZ na uplatnenie sa na TP s cieľom nadobudnúť odborné vedomosti a zručnosti v rekvalifikačnom kurze. UoZ, ktorý mal problém uplatniť sa na TP, si mohol zvoliť druh pracovnej činnosti, na ktorú sa chcel rekvalifikovať a poskytovateľa rekvalifikačného kurzu, ktorý kurz zrealizoval. Úrad  uhrádzal UoZ 100% nákladov na rekvalifikačný kurz (kurzovné) a príspevok na cestovné a stravné pre UoZ vo výške 4,76 eur za každý absolvovaný deň rekvalifikačného kurzu realizovaný prezenčnou formou. V roku 2023 bolo na rekvalifikačné kurzy (REPAS+) zaradených 4 454 UoZ. Z celkového počtu UoZ bolo 2 016 </w:t>
      </w:r>
      <w:r w:rsidRPr="00ED2A8D">
        <w:rPr>
          <w:rFonts w:eastAsia="Calibri"/>
          <w:color w:val="FF0000"/>
        </w:rPr>
        <w:t xml:space="preserve"> </w:t>
      </w:r>
      <w:r w:rsidRPr="00ED2A8D">
        <w:rPr>
          <w:rFonts w:eastAsia="Calibri"/>
        </w:rPr>
        <w:t>bolo mužov (45,26 %) a 2 438 žien (54,74 %).</w:t>
      </w:r>
    </w:p>
    <w:p w14:paraId="5516F5CA" w14:textId="5FE02881" w:rsidR="00ED2A8D" w:rsidRDefault="00ED2A8D" w:rsidP="006D0A19">
      <w:pPr>
        <w:spacing w:before="120" w:after="120"/>
        <w:ind w:hanging="6"/>
        <w:rPr>
          <w:rFonts w:eastAsia="Calibri"/>
        </w:rPr>
      </w:pPr>
      <w:r w:rsidRPr="00ED2A8D">
        <w:rPr>
          <w:rFonts w:eastAsia="Calibri"/>
        </w:rPr>
        <w:t>Príspevky na rekvalifikačný kurz (REPAS+) boli v roku 2023 poskytnuté pre 5 686 UoZ (z dohôd uzatvorených v roku 2022, ak v roku 2022 nedošlo k úhrade príspevku a z dohôd uzatvorených v roku 2023) v celkovej výške  4 850 879 eur, z toho príspevok na kurzovné bol vo výške 4 345 776 eur a  príspevok na cestovné a stravné bol vo výške 505 103 eur.</w:t>
      </w:r>
      <w:r w:rsidR="006D0A19">
        <w:rPr>
          <w:rFonts w:eastAsia="Calibri"/>
        </w:rPr>
        <w:t xml:space="preserve"> </w:t>
      </w:r>
      <w:r w:rsidRPr="00ED2A8D">
        <w:rPr>
          <w:rFonts w:eastAsia="Calibri"/>
        </w:rPr>
        <w:t>Porovnanie realizácie opatrenia REPAS+ v roku 2023 s predchádzajúcim rokom 2022 je uvedené v</w:t>
      </w:r>
      <w:r w:rsidR="006D0A19">
        <w:rPr>
          <w:rFonts w:eastAsia="Calibri"/>
        </w:rPr>
        <w:t> </w:t>
      </w:r>
      <w:r w:rsidRPr="00ED2A8D">
        <w:rPr>
          <w:rFonts w:eastAsia="Calibri"/>
        </w:rPr>
        <w:t>tabuľke</w:t>
      </w:r>
      <w:r w:rsidR="006D0A19">
        <w:rPr>
          <w:rFonts w:eastAsia="Calibri"/>
        </w:rPr>
        <w:t>.</w:t>
      </w:r>
      <w:r w:rsidRPr="00ED2A8D">
        <w:rPr>
          <w:rFonts w:eastAsia="Calibri"/>
        </w:rPr>
        <w:t xml:space="preserve"> </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351"/>
        <w:gridCol w:w="2664"/>
        <w:gridCol w:w="2295"/>
        <w:gridCol w:w="2869"/>
      </w:tblGrid>
      <w:tr w:rsidR="00ED2A8D" w:rsidRPr="00ED2A8D" w14:paraId="2875006B" w14:textId="77777777" w:rsidTr="008818F0">
        <w:trPr>
          <w:trHeight w:val="879"/>
          <w:jc w:val="center"/>
        </w:trPr>
        <w:tc>
          <w:tcPr>
            <w:tcW w:w="1351" w:type="dxa"/>
            <w:shd w:val="clear" w:color="auto" w:fill="DBE5F1" w:themeFill="accent1" w:themeFillTint="33"/>
            <w:vAlign w:val="center"/>
          </w:tcPr>
          <w:p w14:paraId="5EFC35DF" w14:textId="77777777" w:rsidR="00ED2A8D" w:rsidRPr="00ED2A8D" w:rsidRDefault="00ED2A8D" w:rsidP="006D0A19">
            <w:pPr>
              <w:spacing w:after="0"/>
              <w:ind w:firstLine="0"/>
              <w:jc w:val="center"/>
              <w:rPr>
                <w:rFonts w:ascii="Calibri" w:eastAsiaTheme="minorHAnsi" w:hAnsi="Calibri" w:cs="Calibri"/>
                <w:b/>
                <w:sz w:val="20"/>
                <w:szCs w:val="20"/>
              </w:rPr>
            </w:pPr>
            <w:r w:rsidRPr="00ED2A8D">
              <w:rPr>
                <w:rFonts w:ascii="Calibri" w:eastAsiaTheme="minorHAnsi" w:hAnsi="Calibri" w:cs="Calibri"/>
                <w:b/>
                <w:sz w:val="20"/>
                <w:szCs w:val="20"/>
              </w:rPr>
              <w:t>Rok</w:t>
            </w:r>
          </w:p>
        </w:tc>
        <w:tc>
          <w:tcPr>
            <w:tcW w:w="2664" w:type="dxa"/>
            <w:shd w:val="clear" w:color="auto" w:fill="DBE5F1" w:themeFill="accent1" w:themeFillTint="33"/>
            <w:vAlign w:val="center"/>
          </w:tcPr>
          <w:p w14:paraId="0CAB9A62" w14:textId="77777777" w:rsidR="00ED2A8D" w:rsidRPr="00ED2A8D" w:rsidRDefault="00ED2A8D" w:rsidP="006D0A19">
            <w:pPr>
              <w:spacing w:after="0"/>
              <w:ind w:firstLine="0"/>
              <w:jc w:val="center"/>
              <w:rPr>
                <w:rFonts w:ascii="Calibri" w:eastAsiaTheme="minorHAnsi" w:hAnsi="Calibri" w:cs="Calibri"/>
                <w:b/>
                <w:sz w:val="20"/>
                <w:szCs w:val="20"/>
              </w:rPr>
            </w:pPr>
            <w:r w:rsidRPr="00ED2A8D">
              <w:rPr>
                <w:rFonts w:ascii="Calibri" w:eastAsiaTheme="minorHAnsi" w:hAnsi="Calibri" w:cs="Calibri"/>
                <w:b/>
                <w:sz w:val="20"/>
                <w:szCs w:val="20"/>
              </w:rPr>
              <w:t>Počet UoZ, ktorí nastúpili na rekvalifikačný kurz (REPAS+)</w:t>
            </w:r>
          </w:p>
        </w:tc>
        <w:tc>
          <w:tcPr>
            <w:tcW w:w="2295" w:type="dxa"/>
            <w:shd w:val="clear" w:color="auto" w:fill="DBE5F1" w:themeFill="accent1" w:themeFillTint="33"/>
            <w:vAlign w:val="center"/>
          </w:tcPr>
          <w:p w14:paraId="2E4E6A6F" w14:textId="6340E1D6" w:rsidR="00ED2A8D" w:rsidRPr="00ED2A8D" w:rsidRDefault="00ED2A8D" w:rsidP="006D0A19">
            <w:pPr>
              <w:spacing w:after="0"/>
              <w:ind w:left="66" w:firstLine="17"/>
              <w:jc w:val="center"/>
              <w:rPr>
                <w:rFonts w:ascii="Calibri" w:eastAsiaTheme="minorHAnsi" w:hAnsi="Calibri" w:cs="Calibri"/>
                <w:sz w:val="20"/>
                <w:szCs w:val="20"/>
              </w:rPr>
            </w:pPr>
            <w:r w:rsidRPr="00ED2A8D">
              <w:rPr>
                <w:rFonts w:ascii="Calibri" w:eastAsiaTheme="minorHAnsi" w:hAnsi="Calibri" w:cs="Calibri"/>
                <w:b/>
                <w:sz w:val="20"/>
                <w:szCs w:val="20"/>
              </w:rPr>
              <w:t xml:space="preserve">Čerpanie finančných prostriedkov  </w:t>
            </w:r>
            <w:r w:rsidRPr="00ED2A8D">
              <w:rPr>
                <w:rFonts w:ascii="Calibri" w:eastAsiaTheme="minorHAnsi" w:hAnsi="Calibri" w:cs="Calibri"/>
                <w:sz w:val="20"/>
                <w:szCs w:val="20"/>
              </w:rPr>
              <w:t xml:space="preserve">(v </w:t>
            </w:r>
            <w:r w:rsidR="00E23598">
              <w:rPr>
                <w:rFonts w:ascii="Calibri" w:eastAsiaTheme="minorHAnsi" w:hAnsi="Calibri" w:cs="Calibri"/>
                <w:sz w:val="20"/>
                <w:szCs w:val="20"/>
              </w:rPr>
              <w:t>eur</w:t>
            </w:r>
            <w:r w:rsidRPr="00ED2A8D">
              <w:rPr>
                <w:rFonts w:ascii="Calibri" w:eastAsiaTheme="minorHAnsi" w:hAnsi="Calibri" w:cs="Calibri"/>
                <w:sz w:val="20"/>
                <w:szCs w:val="20"/>
              </w:rPr>
              <w:t>)</w:t>
            </w:r>
          </w:p>
        </w:tc>
        <w:tc>
          <w:tcPr>
            <w:tcW w:w="2869" w:type="dxa"/>
            <w:shd w:val="clear" w:color="auto" w:fill="DBE5F1" w:themeFill="accent1" w:themeFillTint="33"/>
            <w:vAlign w:val="center"/>
          </w:tcPr>
          <w:p w14:paraId="1155ED15" w14:textId="77777777" w:rsidR="00ED2A8D" w:rsidRPr="00ED2A8D" w:rsidRDefault="00ED2A8D" w:rsidP="006D0A19">
            <w:pPr>
              <w:spacing w:after="0"/>
              <w:ind w:firstLine="0"/>
              <w:jc w:val="center"/>
              <w:rPr>
                <w:rFonts w:ascii="Calibri" w:eastAsiaTheme="minorHAnsi" w:hAnsi="Calibri" w:cs="Calibri"/>
                <w:b/>
                <w:sz w:val="20"/>
                <w:szCs w:val="20"/>
              </w:rPr>
            </w:pPr>
            <w:r w:rsidRPr="00ED2A8D">
              <w:rPr>
                <w:rFonts w:ascii="Calibri" w:eastAsia="Calibri" w:hAnsi="Calibri" w:cs="Calibri"/>
                <w:b/>
                <w:bCs/>
                <w:sz w:val="20"/>
                <w:szCs w:val="20"/>
              </w:rPr>
              <w:t xml:space="preserve">Úspešnosť umiestnenia na TP do 6 mes. </w:t>
            </w:r>
            <w:r w:rsidRPr="00ED2A8D">
              <w:rPr>
                <w:rFonts w:ascii="Calibri" w:eastAsia="Calibri" w:hAnsi="Calibri" w:cs="Calibri"/>
                <w:bCs/>
                <w:sz w:val="20"/>
                <w:szCs w:val="20"/>
              </w:rPr>
              <w:t>(v %)</w:t>
            </w:r>
          </w:p>
        </w:tc>
      </w:tr>
      <w:tr w:rsidR="00ED2A8D" w:rsidRPr="00ED2A8D" w14:paraId="2111D722" w14:textId="77777777" w:rsidTr="008818F0">
        <w:trPr>
          <w:trHeight w:val="396"/>
          <w:jc w:val="center"/>
        </w:trPr>
        <w:tc>
          <w:tcPr>
            <w:tcW w:w="1351" w:type="dxa"/>
            <w:shd w:val="clear" w:color="auto" w:fill="DBE5F1" w:themeFill="accent1" w:themeFillTint="33"/>
            <w:vAlign w:val="center"/>
          </w:tcPr>
          <w:p w14:paraId="2B9DCEC8" w14:textId="77777777" w:rsidR="00ED2A8D" w:rsidRPr="00ED2A8D" w:rsidRDefault="00ED2A8D" w:rsidP="006D0A19">
            <w:pPr>
              <w:spacing w:after="0"/>
              <w:ind w:firstLine="34"/>
              <w:jc w:val="center"/>
              <w:rPr>
                <w:rFonts w:ascii="Calibri" w:eastAsiaTheme="minorHAnsi" w:hAnsi="Calibri" w:cs="Calibri"/>
                <w:b/>
                <w:sz w:val="20"/>
                <w:szCs w:val="20"/>
              </w:rPr>
            </w:pPr>
            <w:r w:rsidRPr="00ED2A8D">
              <w:rPr>
                <w:rFonts w:ascii="Calibri" w:eastAsiaTheme="minorHAnsi" w:hAnsi="Calibri" w:cs="Calibri"/>
                <w:b/>
                <w:sz w:val="20"/>
                <w:szCs w:val="20"/>
              </w:rPr>
              <w:t>2022</w:t>
            </w:r>
          </w:p>
        </w:tc>
        <w:tc>
          <w:tcPr>
            <w:tcW w:w="2664" w:type="dxa"/>
            <w:shd w:val="clear" w:color="auto" w:fill="FFFFFF" w:themeFill="background1"/>
            <w:vAlign w:val="center"/>
          </w:tcPr>
          <w:p w14:paraId="60129430" w14:textId="77777777" w:rsidR="00ED2A8D" w:rsidRPr="00ED2A8D" w:rsidRDefault="00ED2A8D" w:rsidP="006D0A19">
            <w:pPr>
              <w:spacing w:after="0"/>
              <w:ind w:left="77" w:firstLine="0"/>
              <w:jc w:val="center"/>
              <w:rPr>
                <w:rFonts w:ascii="Calibri" w:eastAsiaTheme="minorHAnsi" w:hAnsi="Calibri" w:cs="Calibri"/>
                <w:sz w:val="20"/>
                <w:szCs w:val="20"/>
              </w:rPr>
            </w:pPr>
            <w:r w:rsidRPr="00ED2A8D">
              <w:rPr>
                <w:rFonts w:ascii="Calibri" w:eastAsiaTheme="minorHAnsi" w:hAnsi="Calibri" w:cs="Calibri"/>
                <w:sz w:val="20"/>
                <w:szCs w:val="20"/>
              </w:rPr>
              <w:t>5 385</w:t>
            </w:r>
          </w:p>
        </w:tc>
        <w:tc>
          <w:tcPr>
            <w:tcW w:w="2295" w:type="dxa"/>
            <w:shd w:val="clear" w:color="auto" w:fill="FFFFFF" w:themeFill="background1"/>
            <w:vAlign w:val="center"/>
          </w:tcPr>
          <w:p w14:paraId="43CBE4DB" w14:textId="77777777" w:rsidR="00ED2A8D" w:rsidRPr="00ED2A8D" w:rsidRDefault="00ED2A8D" w:rsidP="006D0A19">
            <w:pPr>
              <w:spacing w:after="0"/>
              <w:ind w:left="77" w:firstLine="0"/>
              <w:jc w:val="center"/>
              <w:rPr>
                <w:rFonts w:ascii="Calibri" w:eastAsiaTheme="minorHAnsi" w:hAnsi="Calibri" w:cs="Calibri"/>
                <w:sz w:val="20"/>
                <w:szCs w:val="20"/>
              </w:rPr>
            </w:pPr>
            <w:r w:rsidRPr="00ED2A8D">
              <w:rPr>
                <w:rFonts w:ascii="Calibri" w:eastAsiaTheme="minorHAnsi" w:hAnsi="Calibri" w:cs="Calibri"/>
                <w:sz w:val="20"/>
                <w:szCs w:val="20"/>
              </w:rPr>
              <w:t>3 643 318</w:t>
            </w:r>
          </w:p>
        </w:tc>
        <w:tc>
          <w:tcPr>
            <w:tcW w:w="2869" w:type="dxa"/>
            <w:shd w:val="clear" w:color="auto" w:fill="FFFFFF" w:themeFill="background1"/>
            <w:vAlign w:val="center"/>
          </w:tcPr>
          <w:p w14:paraId="00178339" w14:textId="77777777" w:rsidR="00ED2A8D" w:rsidRPr="00ED2A8D" w:rsidRDefault="00ED2A8D" w:rsidP="006D0A19">
            <w:pPr>
              <w:spacing w:after="0"/>
              <w:ind w:left="77" w:firstLine="0"/>
              <w:jc w:val="center"/>
              <w:rPr>
                <w:rFonts w:ascii="Calibri" w:eastAsiaTheme="minorHAnsi" w:hAnsi="Calibri" w:cs="Calibri"/>
                <w:sz w:val="20"/>
                <w:szCs w:val="20"/>
              </w:rPr>
            </w:pPr>
            <w:r w:rsidRPr="00ED2A8D">
              <w:rPr>
                <w:rFonts w:ascii="Calibri" w:eastAsiaTheme="minorHAnsi" w:hAnsi="Calibri" w:cs="Calibri"/>
                <w:sz w:val="20"/>
                <w:szCs w:val="20"/>
              </w:rPr>
              <w:t>50,42</w:t>
            </w:r>
          </w:p>
        </w:tc>
      </w:tr>
      <w:tr w:rsidR="00ED2A8D" w:rsidRPr="00ED2A8D" w14:paraId="1B02A5FD" w14:textId="77777777" w:rsidTr="008818F0">
        <w:trPr>
          <w:trHeight w:val="365"/>
          <w:jc w:val="center"/>
        </w:trPr>
        <w:tc>
          <w:tcPr>
            <w:tcW w:w="1351" w:type="dxa"/>
            <w:shd w:val="clear" w:color="auto" w:fill="DBE5F1" w:themeFill="accent1" w:themeFillTint="33"/>
            <w:vAlign w:val="center"/>
          </w:tcPr>
          <w:p w14:paraId="4476FA63" w14:textId="77777777" w:rsidR="00ED2A8D" w:rsidRPr="00ED2A8D" w:rsidRDefault="00ED2A8D" w:rsidP="006D0A19">
            <w:pPr>
              <w:spacing w:after="0"/>
              <w:ind w:firstLine="34"/>
              <w:jc w:val="center"/>
              <w:rPr>
                <w:rFonts w:ascii="Calibri" w:eastAsiaTheme="minorHAnsi" w:hAnsi="Calibri" w:cs="Calibri"/>
                <w:b/>
                <w:sz w:val="20"/>
                <w:szCs w:val="20"/>
                <w:highlight w:val="yellow"/>
              </w:rPr>
            </w:pPr>
            <w:r w:rsidRPr="00ED2A8D">
              <w:rPr>
                <w:rFonts w:ascii="Calibri" w:eastAsiaTheme="minorHAnsi" w:hAnsi="Calibri" w:cs="Calibri"/>
                <w:b/>
                <w:sz w:val="20"/>
                <w:szCs w:val="20"/>
              </w:rPr>
              <w:t>2023</w:t>
            </w:r>
          </w:p>
        </w:tc>
        <w:tc>
          <w:tcPr>
            <w:tcW w:w="2664" w:type="dxa"/>
            <w:shd w:val="clear" w:color="auto" w:fill="FFFFFF" w:themeFill="background1"/>
            <w:vAlign w:val="center"/>
          </w:tcPr>
          <w:p w14:paraId="23707093" w14:textId="77777777" w:rsidR="00ED2A8D" w:rsidRPr="00ED2A8D" w:rsidRDefault="00ED2A8D" w:rsidP="006D0A19">
            <w:pPr>
              <w:spacing w:after="0"/>
              <w:ind w:left="77" w:firstLine="0"/>
              <w:jc w:val="center"/>
              <w:rPr>
                <w:rFonts w:ascii="Calibri" w:eastAsiaTheme="minorHAnsi" w:hAnsi="Calibri" w:cs="Calibri"/>
                <w:sz w:val="20"/>
                <w:szCs w:val="20"/>
                <w:highlight w:val="yellow"/>
              </w:rPr>
            </w:pPr>
            <w:r w:rsidRPr="00ED2A8D">
              <w:rPr>
                <w:rFonts w:ascii="Calibri" w:eastAsiaTheme="minorHAnsi" w:hAnsi="Calibri" w:cs="Calibri"/>
                <w:sz w:val="20"/>
                <w:szCs w:val="20"/>
              </w:rPr>
              <w:t>4 454</w:t>
            </w:r>
          </w:p>
        </w:tc>
        <w:tc>
          <w:tcPr>
            <w:tcW w:w="2295" w:type="dxa"/>
            <w:shd w:val="clear" w:color="auto" w:fill="auto"/>
            <w:vAlign w:val="center"/>
          </w:tcPr>
          <w:p w14:paraId="2B9B6B41" w14:textId="77777777" w:rsidR="00ED2A8D" w:rsidRPr="00ED2A8D" w:rsidRDefault="00ED2A8D" w:rsidP="006D0A19">
            <w:pPr>
              <w:spacing w:after="0"/>
              <w:ind w:left="77" w:firstLine="0"/>
              <w:jc w:val="center"/>
              <w:rPr>
                <w:rFonts w:ascii="Calibri" w:eastAsiaTheme="minorHAnsi" w:hAnsi="Calibri" w:cs="Calibri"/>
                <w:sz w:val="20"/>
                <w:szCs w:val="20"/>
                <w:highlight w:val="yellow"/>
              </w:rPr>
            </w:pPr>
            <w:r w:rsidRPr="00ED2A8D">
              <w:rPr>
                <w:rFonts w:ascii="Calibri" w:eastAsiaTheme="minorHAnsi" w:hAnsi="Calibri" w:cs="Calibri"/>
                <w:sz w:val="20"/>
                <w:szCs w:val="20"/>
              </w:rPr>
              <w:t>4 850 879</w:t>
            </w:r>
          </w:p>
        </w:tc>
        <w:tc>
          <w:tcPr>
            <w:tcW w:w="2869" w:type="dxa"/>
            <w:shd w:val="clear" w:color="auto" w:fill="FFFFFF" w:themeFill="background1"/>
            <w:vAlign w:val="center"/>
          </w:tcPr>
          <w:p w14:paraId="046E6AC4" w14:textId="77777777" w:rsidR="00ED2A8D" w:rsidRPr="00ED2A8D" w:rsidRDefault="00ED2A8D" w:rsidP="006D0A19">
            <w:pPr>
              <w:spacing w:after="0"/>
              <w:ind w:left="77" w:firstLine="0"/>
              <w:jc w:val="center"/>
              <w:rPr>
                <w:rFonts w:ascii="Calibri" w:eastAsiaTheme="minorHAnsi" w:hAnsi="Calibri" w:cs="Calibri"/>
                <w:sz w:val="20"/>
                <w:szCs w:val="20"/>
                <w:highlight w:val="yellow"/>
              </w:rPr>
            </w:pPr>
            <w:r w:rsidRPr="00ED2A8D">
              <w:rPr>
                <w:rFonts w:ascii="Calibri" w:eastAsiaTheme="minorHAnsi" w:hAnsi="Calibri" w:cs="Calibri"/>
                <w:sz w:val="20"/>
                <w:szCs w:val="20"/>
              </w:rPr>
              <w:t>49,66</w:t>
            </w:r>
          </w:p>
        </w:tc>
      </w:tr>
    </w:tbl>
    <w:p w14:paraId="2C7DBA83" w14:textId="2E67E790" w:rsidR="00ED2A8D" w:rsidRDefault="00ED2A8D" w:rsidP="006D0A19">
      <w:pPr>
        <w:spacing w:before="120" w:after="120"/>
        <w:ind w:hanging="6"/>
      </w:pPr>
      <w:r w:rsidRPr="002A2DEA">
        <w:rPr>
          <w:rFonts w:eastAsia="Calibri"/>
        </w:rPr>
        <w:lastRenderedPageBreak/>
        <w:t xml:space="preserve">V roku </w:t>
      </w:r>
      <w:r w:rsidRPr="005A14A3">
        <w:rPr>
          <w:rFonts w:eastAsia="Calibri"/>
        </w:rPr>
        <w:t>2023, n</w:t>
      </w:r>
      <w:r w:rsidRPr="00A95AC6">
        <w:rPr>
          <w:rFonts w:eastAsia="Calibri"/>
        </w:rPr>
        <w:t>ajväčší počet </w:t>
      </w:r>
      <w:r w:rsidRPr="00E2721F">
        <w:rPr>
          <w:rFonts w:eastAsia="Calibri"/>
        </w:rPr>
        <w:t xml:space="preserve">UoZ zaradených na rekvalifikačný kurz (REPAS+) </w:t>
      </w:r>
      <w:r w:rsidR="006D0A19">
        <w:rPr>
          <w:rFonts w:eastAsia="Calibri"/>
        </w:rPr>
        <w:t>bol</w:t>
      </w:r>
      <w:r w:rsidRPr="00E2721F">
        <w:rPr>
          <w:rFonts w:eastAsia="Calibri"/>
        </w:rPr>
        <w:t xml:space="preserve"> na úrade  </w:t>
      </w:r>
      <w:r>
        <w:rPr>
          <w:rFonts w:eastAsia="Calibri"/>
        </w:rPr>
        <w:t>Michalovce</w:t>
      </w:r>
      <w:r w:rsidRPr="00A95AC6">
        <w:rPr>
          <w:rFonts w:eastAsia="Calibri"/>
        </w:rPr>
        <w:t xml:space="preserve">, kde nastúpilo na rekvalifikačný kurz </w:t>
      </w:r>
      <w:r>
        <w:rPr>
          <w:rFonts w:eastAsia="Calibri"/>
        </w:rPr>
        <w:t>205</w:t>
      </w:r>
      <w:r w:rsidRPr="00A95AC6">
        <w:rPr>
          <w:rFonts w:eastAsia="Calibri"/>
        </w:rPr>
        <w:t xml:space="preserve"> UoZ, </w:t>
      </w:r>
      <w:r>
        <w:rPr>
          <w:rFonts w:eastAsia="Calibri"/>
        </w:rPr>
        <w:t>čo prestavuje</w:t>
      </w:r>
      <w:r w:rsidR="006D0A19">
        <w:rPr>
          <w:rFonts w:eastAsia="Calibri"/>
        </w:rPr>
        <w:t xml:space="preserve"> </w:t>
      </w:r>
      <w:r w:rsidRPr="005A14A3">
        <w:rPr>
          <w:rFonts w:eastAsia="Calibri"/>
        </w:rPr>
        <w:t>4,60 % z celkového počtu zaradených UoZ. Za ním nasledovali úrady Poprad (194 UoZ; 4,36 %) a  Prešov (192 UoZ; 4,31</w:t>
      </w:r>
      <w:r w:rsidR="006D0A19">
        <w:rPr>
          <w:rFonts w:eastAsia="Calibri"/>
        </w:rPr>
        <w:t xml:space="preserve"> </w:t>
      </w:r>
      <w:r w:rsidRPr="005A14A3">
        <w:rPr>
          <w:rFonts w:eastAsia="Calibri"/>
        </w:rPr>
        <w:t xml:space="preserve">%). Prehľad </w:t>
      </w:r>
      <w:r>
        <w:rPr>
          <w:rFonts w:eastAsia="Calibri"/>
        </w:rPr>
        <w:t>UoZ zaradených</w:t>
      </w:r>
      <w:r w:rsidRPr="005A14A3">
        <w:rPr>
          <w:rFonts w:eastAsia="Calibri"/>
        </w:rPr>
        <w:t xml:space="preserve"> na rekvalifikačný kurz (REPAS+) v roku 2023 v štruktúre</w:t>
      </w:r>
      <w:r w:rsidRPr="00A95AC6">
        <w:rPr>
          <w:rFonts w:eastAsia="Calibri"/>
        </w:rPr>
        <w:t xml:space="preserve"> podľa jednotlivých úradov  je v</w:t>
      </w:r>
      <w:r w:rsidR="006D0A19">
        <w:rPr>
          <w:rFonts w:eastAsia="Calibri"/>
        </w:rPr>
        <w:t xml:space="preserve"> nasledujúcom </w:t>
      </w:r>
      <w:r w:rsidRPr="00A95AC6">
        <w:rPr>
          <w:rFonts w:eastAsia="Calibri"/>
        </w:rPr>
        <w:t>grafe</w:t>
      </w:r>
      <w:r w:rsidR="006D0A19">
        <w:rPr>
          <w:rFonts w:eastAsia="Calibri"/>
        </w:rPr>
        <w:t>.</w:t>
      </w:r>
    </w:p>
    <w:p w14:paraId="5EFCF51A" w14:textId="0BC25EFB" w:rsidR="00ED2A8D" w:rsidRDefault="006D0A19" w:rsidP="00C11CDF">
      <w:pPr>
        <w:jc w:val="center"/>
      </w:pPr>
      <w:r>
        <w:rPr>
          <w:noProof/>
        </w:rPr>
        <w:drawing>
          <wp:inline distT="0" distB="0" distL="0" distR="0" wp14:anchorId="3AC27F34" wp14:editId="5A067AF8">
            <wp:extent cx="5935345" cy="5542059"/>
            <wp:effectExtent l="0" t="0" r="8255" b="1905"/>
            <wp:docPr id="250" name="Graf 25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A8FCFB" w14:textId="77777777" w:rsidR="008818F0" w:rsidRDefault="008818F0" w:rsidP="006D0A19">
      <w:pPr>
        <w:rPr>
          <w:rFonts w:eastAsia="Calibri"/>
        </w:rPr>
      </w:pPr>
    </w:p>
    <w:p w14:paraId="4C92ED12" w14:textId="0FBE6EB0" w:rsidR="00ED2A8D" w:rsidRDefault="006D0A19" w:rsidP="006D0A19">
      <w:pPr>
        <w:rPr>
          <w:rFonts w:eastAsia="Calibri"/>
        </w:rPr>
      </w:pPr>
      <w:r w:rsidRPr="00BA5170">
        <w:rPr>
          <w:rFonts w:eastAsia="Calibri"/>
        </w:rPr>
        <w:t>Z </w:t>
      </w:r>
      <w:r w:rsidRPr="00B242E5">
        <w:rPr>
          <w:rFonts w:eastAsia="Calibri"/>
        </w:rPr>
        <w:t>celkového počtu 4 454 UoZ  zaradených na rekvalifikačný kurz (REPAS+) v roku 2023, bolo 3 007 UoZ znevýhodnených (67,51 %). Najväčšiu skupinu tvorili UoZ, ktorí najmenej 12 po sebe nasledujúcich kalendárnych mesiacov pred zaradením do evidencie UoZ nemali pravidelne platené zamestnanie (1</w:t>
      </w:r>
      <w:r>
        <w:rPr>
          <w:rFonts w:eastAsia="Calibri"/>
        </w:rPr>
        <w:t xml:space="preserve"> </w:t>
      </w:r>
      <w:r w:rsidRPr="00B242E5">
        <w:rPr>
          <w:rFonts w:eastAsia="Calibri"/>
        </w:rPr>
        <w:t>831; 60,89 % zo všetkých</w:t>
      </w:r>
      <w:r w:rsidRPr="009F4073">
        <w:rPr>
          <w:rFonts w:eastAsia="Calibri"/>
        </w:rPr>
        <w:t xml:space="preserve"> UoZ zaradených na rekvalifikačný kurz) a</w:t>
      </w:r>
      <w:r>
        <w:rPr>
          <w:rFonts w:eastAsia="Calibri"/>
        </w:rPr>
        <w:t> UoZ nad 50 rokov</w:t>
      </w:r>
      <w:r w:rsidRPr="009F4073">
        <w:rPr>
          <w:rFonts w:eastAsia="Calibri"/>
        </w:rPr>
        <w:t xml:space="preserve"> (</w:t>
      </w:r>
      <w:r w:rsidRPr="00B242E5">
        <w:rPr>
          <w:rFonts w:eastAsia="Calibri"/>
        </w:rPr>
        <w:t>967; 32,16 % zo všetkých UoZ zaradených na rekvalifikačný kurz). Pomerne početnú skupinu UoZ tvorili aj UoZ dlhodobo nezamestnaní</w:t>
      </w:r>
      <w:r w:rsidRPr="009F4073">
        <w:rPr>
          <w:rFonts w:eastAsia="Calibri"/>
        </w:rPr>
        <w:t xml:space="preserve"> </w:t>
      </w:r>
      <w:r w:rsidRPr="00B242E5">
        <w:rPr>
          <w:rFonts w:eastAsia="Calibri"/>
        </w:rPr>
        <w:t>(948; 31,53</w:t>
      </w:r>
      <w:r w:rsidRPr="009F4073">
        <w:rPr>
          <w:rFonts w:eastAsia="Calibri"/>
        </w:rPr>
        <w:t xml:space="preserve"> % zo všetkých UoZ zaradených na rekvalifikačný </w:t>
      </w:r>
      <w:r w:rsidRPr="00F17B47">
        <w:rPr>
          <w:rFonts w:eastAsia="Calibri"/>
        </w:rPr>
        <w:t xml:space="preserve">kurz). Prehľad UoZ zaradených v roku </w:t>
      </w:r>
      <w:r w:rsidRPr="00B242E5">
        <w:rPr>
          <w:rFonts w:eastAsia="Calibri"/>
        </w:rPr>
        <w:t>2023 n</w:t>
      </w:r>
      <w:r w:rsidRPr="00F17B47">
        <w:rPr>
          <w:rFonts w:eastAsia="Calibri"/>
        </w:rPr>
        <w:t>a rekvalifikačné kurzy (REPAS+) v štruktúre podľa znevýhodnenia je znázornený v</w:t>
      </w:r>
      <w:r w:rsidR="008818F0">
        <w:rPr>
          <w:rFonts w:eastAsia="Calibri"/>
        </w:rPr>
        <w:t> </w:t>
      </w:r>
      <w:r w:rsidRPr="00F17B47">
        <w:rPr>
          <w:rFonts w:eastAsia="Calibri"/>
        </w:rPr>
        <w:t>grafe</w:t>
      </w:r>
      <w:r w:rsidR="008818F0">
        <w:rPr>
          <w:rFonts w:eastAsia="Calibri"/>
        </w:rPr>
        <w:t xml:space="preserve"> nižšie</w:t>
      </w:r>
      <w:r>
        <w:rPr>
          <w:rFonts w:eastAsia="Calibri"/>
        </w:rPr>
        <w:t>.</w:t>
      </w:r>
    </w:p>
    <w:p w14:paraId="60B723C2" w14:textId="658DA34B" w:rsidR="008818F0" w:rsidRDefault="008818F0" w:rsidP="006D0A19">
      <w:pPr>
        <w:rPr>
          <w:rFonts w:eastAsia="Calibri"/>
        </w:rPr>
      </w:pPr>
    </w:p>
    <w:p w14:paraId="05BE6B63" w14:textId="1E0F2BAB" w:rsidR="008818F0" w:rsidRDefault="008818F0" w:rsidP="006D0A19">
      <w:pPr>
        <w:rPr>
          <w:rFonts w:eastAsia="Calibri"/>
        </w:rPr>
      </w:pPr>
    </w:p>
    <w:p w14:paraId="470AF30C" w14:textId="7FB17F0C" w:rsidR="008818F0" w:rsidRDefault="008818F0" w:rsidP="006D0A19">
      <w:pPr>
        <w:rPr>
          <w:rFonts w:eastAsia="Calibri"/>
        </w:rPr>
      </w:pPr>
    </w:p>
    <w:p w14:paraId="5763ECDD" w14:textId="481842E0" w:rsidR="008818F0" w:rsidRDefault="008818F0" w:rsidP="006D0A19">
      <w:pPr>
        <w:rPr>
          <w:rFonts w:eastAsia="Calibri"/>
        </w:rPr>
      </w:pPr>
    </w:p>
    <w:p w14:paraId="65CA5C85" w14:textId="56AF98C0" w:rsidR="008818F0" w:rsidRDefault="008818F0" w:rsidP="006D0A19">
      <w:pPr>
        <w:rPr>
          <w:rFonts w:eastAsia="Calibri"/>
        </w:rPr>
      </w:pPr>
    </w:p>
    <w:p w14:paraId="2983F197" w14:textId="6D77BA93" w:rsidR="008818F0" w:rsidRDefault="008818F0" w:rsidP="006D0A19">
      <w:pPr>
        <w:rPr>
          <w:rFonts w:eastAsia="Calibri"/>
        </w:rPr>
      </w:pPr>
    </w:p>
    <w:p w14:paraId="253D896C" w14:textId="1837BC79" w:rsidR="008818F0" w:rsidRDefault="008818F0" w:rsidP="006D0A19">
      <w:pPr>
        <w:rPr>
          <w:rFonts w:eastAsia="Calibri"/>
        </w:rPr>
      </w:pPr>
    </w:p>
    <w:p w14:paraId="4895809A" w14:textId="77777777" w:rsidR="006D0A19" w:rsidRPr="006D0A19" w:rsidRDefault="006D0A19" w:rsidP="006D0A19">
      <w:pPr>
        <w:spacing w:before="120" w:after="0"/>
        <w:ind w:hanging="6"/>
        <w:rPr>
          <w:rFonts w:eastAsia="Calibri"/>
        </w:rPr>
      </w:pPr>
      <w:r w:rsidRPr="006D0A19">
        <w:rPr>
          <w:rFonts w:eastAsiaTheme="minorHAnsi"/>
          <w:noProof/>
        </w:rPr>
        <w:drawing>
          <wp:inline distT="0" distB="0" distL="0" distR="0" wp14:anchorId="567C60D0" wp14:editId="6F25524F">
            <wp:extent cx="5899868" cy="2957885"/>
            <wp:effectExtent l="0" t="0" r="5715" b="13970"/>
            <wp:docPr id="251" name="Graf 25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23213A" w14:textId="68522FB9" w:rsidR="006D0A19" w:rsidRPr="006D0A19" w:rsidRDefault="006D0A19" w:rsidP="00021050">
      <w:pPr>
        <w:spacing w:before="120" w:after="0"/>
        <w:ind w:firstLine="0"/>
        <w:rPr>
          <w:rFonts w:eastAsia="Calibri"/>
        </w:rPr>
      </w:pPr>
      <w:r w:rsidRPr="006D0A19">
        <w:rPr>
          <w:rFonts w:eastAsia="Calibri"/>
        </w:rPr>
        <w:t xml:space="preserve">Z hľadiska veku tvorili v roku 2023 najvyšší podiel zaradených na rekvalifikačný kurz (REPAS+) UoZ vo veku od 30 do 49 rokov (2 275 UoZ; 51,08 %). Druhou najpočetnejšou skupinou boli UoZ nad 50 rokov (968 UoZ; 21,73 %). Prehľad UoZ, ktorí nastúpili na rekvalifikačné kurzy (REPAS+) v roku 2023 v štruktúre podľa vekových </w:t>
      </w:r>
      <w:r w:rsidR="00021050">
        <w:rPr>
          <w:rFonts w:eastAsia="Calibri"/>
        </w:rPr>
        <w:t>kategórií je znázornený v grafe nižšie.</w:t>
      </w:r>
    </w:p>
    <w:p w14:paraId="40BE8583" w14:textId="77777777" w:rsidR="006D0A19" w:rsidRPr="006D0A19" w:rsidRDefault="006D0A19" w:rsidP="006D0A19">
      <w:pPr>
        <w:spacing w:before="120" w:after="0"/>
        <w:ind w:left="-6" w:firstLine="0"/>
        <w:jc w:val="center"/>
        <w:rPr>
          <w:rFonts w:eastAsia="Calibri"/>
        </w:rPr>
      </w:pPr>
      <w:r w:rsidRPr="006D0A19">
        <w:rPr>
          <w:rFonts w:eastAsiaTheme="minorHAnsi"/>
          <w:noProof/>
          <w:sz w:val="20"/>
          <w:szCs w:val="20"/>
        </w:rPr>
        <w:drawing>
          <wp:inline distT="0" distB="0" distL="0" distR="0" wp14:anchorId="60A6CC53" wp14:editId="7992E067">
            <wp:extent cx="5932915" cy="2910177"/>
            <wp:effectExtent l="0" t="0" r="10795" b="5080"/>
            <wp:docPr id="253" name="Graf 253">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94E4A9" w14:textId="2D45AA03" w:rsidR="006D0A19" w:rsidRPr="006D0A19" w:rsidRDefault="006D0A19" w:rsidP="00021050">
      <w:pPr>
        <w:spacing w:before="120" w:after="0"/>
        <w:ind w:left="-6" w:firstLine="0"/>
        <w:rPr>
          <w:rFonts w:eastAsia="Calibri"/>
          <w:highlight w:val="yellow"/>
        </w:rPr>
      </w:pPr>
      <w:r w:rsidRPr="006D0A19">
        <w:rPr>
          <w:rFonts w:eastAsia="Calibri"/>
        </w:rPr>
        <w:t>Z hľadiska vzdelania bolo v roku 2023 zaradených na rekvalifikačný kurz (REPAS+) najviac UoZ s úplným stredným odborným vzdelaním (1 898 UoZ; 42,61 %) a stredným odborným vzdelaním (999 UoZ; 22,43 %). Prehľad UoZ zaradených na rekvalifikačné kurzy (REPAS+) v roku 2023 v štruktúre podľa vzdelania je znázornený</w:t>
      </w:r>
      <w:r w:rsidR="00021050">
        <w:rPr>
          <w:rFonts w:eastAsia="Calibri"/>
        </w:rPr>
        <w:t xml:space="preserve"> v nasledujúcom grafe</w:t>
      </w:r>
      <w:r w:rsidRPr="006D0A19">
        <w:rPr>
          <w:rFonts w:eastAsia="Calibri"/>
        </w:rPr>
        <w:t>.</w:t>
      </w:r>
    </w:p>
    <w:p w14:paraId="36249252" w14:textId="77777777" w:rsidR="006D0A19" w:rsidRPr="006D0A19" w:rsidRDefault="006D0A19" w:rsidP="006D0A19">
      <w:pPr>
        <w:spacing w:before="120" w:after="0"/>
        <w:ind w:firstLine="0"/>
        <w:jc w:val="center"/>
        <w:rPr>
          <w:rFonts w:eastAsiaTheme="minorHAnsi"/>
          <w:noProof/>
        </w:rPr>
      </w:pPr>
      <w:r w:rsidRPr="006D0A19">
        <w:rPr>
          <w:rFonts w:eastAsiaTheme="minorHAnsi"/>
          <w:noProof/>
        </w:rPr>
        <w:lastRenderedPageBreak/>
        <w:drawing>
          <wp:inline distT="0" distB="0" distL="0" distR="0" wp14:anchorId="7362698F" wp14:editId="18AD8966">
            <wp:extent cx="5788025" cy="2727297"/>
            <wp:effectExtent l="0" t="0" r="3175" b="16510"/>
            <wp:docPr id="254" name="Graf 25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AEBA09" w14:textId="3F0E3B47" w:rsidR="006D0A19" w:rsidRPr="006D0A19" w:rsidRDefault="00021050" w:rsidP="006D0A19">
      <w:pPr>
        <w:spacing w:before="120" w:after="0"/>
        <w:ind w:firstLine="0"/>
        <w:rPr>
          <w:rFonts w:eastAsia="Calibri"/>
        </w:rPr>
      </w:pPr>
      <w:r>
        <w:rPr>
          <w:rFonts w:eastAsia="Calibri"/>
        </w:rPr>
        <w:t>N</w:t>
      </w:r>
      <w:r w:rsidRPr="006D0A19">
        <w:rPr>
          <w:rFonts w:eastAsia="Calibri"/>
        </w:rPr>
        <w:t xml:space="preserve">ajväčší záujem </w:t>
      </w:r>
      <w:r w:rsidR="006D0A19" w:rsidRPr="006D0A19">
        <w:rPr>
          <w:rFonts w:eastAsia="Calibri"/>
        </w:rPr>
        <w:t xml:space="preserve">v roku 2023 v rámci rekvalifikačných kurzov (REPAS+) </w:t>
      </w:r>
      <w:r w:rsidRPr="006D0A19">
        <w:rPr>
          <w:rFonts w:eastAsia="Calibri"/>
        </w:rPr>
        <w:t xml:space="preserve">mali UoZ </w:t>
      </w:r>
      <w:r w:rsidR="006D0A19" w:rsidRPr="006D0A19">
        <w:rPr>
          <w:rFonts w:eastAsia="Calibri"/>
        </w:rPr>
        <w:t>o kurzy opatrovania (823 UoZ; 18,48 %), kurzy zamerané na účtovníctvo a financie (681 UoZ; 15,29 %),  ďalej aj o tzv</w:t>
      </w:r>
      <w:r w:rsidR="006D0A19" w:rsidRPr="006D0A19">
        <w:rPr>
          <w:rFonts w:eastAsia="Calibri"/>
          <w:i/>
        </w:rPr>
        <w:t>. „beauty kurzy“</w:t>
      </w:r>
      <w:r w:rsidR="006D0A19" w:rsidRPr="006D0A19">
        <w:rPr>
          <w:rFonts w:eastAsia="Calibri"/>
        </w:rPr>
        <w:t xml:space="preserve"> (633 UoZ; 14,21 %), ako aj o kurzy strážnej bezpečnostnej služby (570 UoZ; 12,80 %). Prehľad UoZ zaradených na rekvalifikačné kurzy (REPAS+) v roku 2023v štruktúre podľa jednotlivých vzdelávacích </w:t>
      </w:r>
      <w:r>
        <w:rPr>
          <w:rFonts w:eastAsia="Calibri"/>
        </w:rPr>
        <w:t>kategórií je znázornený v nasledujúcom grafe</w:t>
      </w:r>
      <w:r w:rsidR="006D0A19" w:rsidRPr="006D0A19">
        <w:rPr>
          <w:rFonts w:eastAsia="Calibri"/>
        </w:rPr>
        <w:t>.</w:t>
      </w:r>
    </w:p>
    <w:p w14:paraId="1A84E06E" w14:textId="77777777" w:rsidR="006D0A19" w:rsidRPr="006D0A19" w:rsidRDefault="006D0A19" w:rsidP="006D0A19">
      <w:pPr>
        <w:spacing w:before="120" w:after="0"/>
        <w:ind w:hanging="6"/>
        <w:jc w:val="left"/>
        <w:rPr>
          <w:rFonts w:eastAsia="Calibri"/>
        </w:rPr>
      </w:pPr>
      <w:r w:rsidRPr="006D0A19">
        <w:rPr>
          <w:rFonts w:eastAsiaTheme="minorHAnsi"/>
          <w:noProof/>
        </w:rPr>
        <w:drawing>
          <wp:inline distT="0" distB="0" distL="0" distR="0" wp14:anchorId="277EAA44" wp14:editId="305B5C8B">
            <wp:extent cx="5883966" cy="3005593"/>
            <wp:effectExtent l="0" t="0" r="2540" b="4445"/>
            <wp:docPr id="476" name="Graf 47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BA94F3" w14:textId="5D9C00C8" w:rsidR="005D01BC" w:rsidRDefault="00BD3620" w:rsidP="00021050">
      <w:pPr>
        <w:pStyle w:val="Nadpis20"/>
        <w:spacing w:before="120"/>
        <w:ind w:left="567" w:hanging="567"/>
        <w:jc w:val="both"/>
      </w:pPr>
      <w:bookmarkStart w:id="94" w:name="_Toc173741560"/>
      <w:bookmarkStart w:id="95" w:name="_Hlk103523813"/>
      <w:r w:rsidRPr="00C35CA8">
        <w:t>3</w:t>
      </w:r>
      <w:r w:rsidR="005D01BC" w:rsidRPr="00C35CA8">
        <w:t>.</w:t>
      </w:r>
      <w:r w:rsidR="00021050">
        <w:t>6</w:t>
      </w:r>
      <w:r w:rsidR="00CE1D88" w:rsidRPr="00C35CA8">
        <w:tab/>
      </w:r>
      <w:r w:rsidR="00E82759" w:rsidRPr="00C35CA8">
        <w:t>Príspevok na kompetenčný kurz (</w:t>
      </w:r>
      <w:r w:rsidR="005D01BC" w:rsidRPr="00C35CA8">
        <w:t>KOMPAS+</w:t>
      </w:r>
      <w:bookmarkEnd w:id="92"/>
      <w:r w:rsidR="00E82759" w:rsidRPr="00C35CA8">
        <w:t>)</w:t>
      </w:r>
      <w:r w:rsidR="00FE0AE7" w:rsidRPr="00C35CA8">
        <w:t xml:space="preserve"> </w:t>
      </w:r>
      <w:r w:rsidR="00021050">
        <w:t>podľa</w:t>
      </w:r>
      <w:r w:rsidR="00027FFA" w:rsidRPr="00C35CA8">
        <w:t xml:space="preserve"> § 54 ods. 1 písm. d</w:t>
      </w:r>
      <w:r w:rsidR="008A010D" w:rsidRPr="00C35CA8">
        <w:t>)</w:t>
      </w:r>
      <w:r w:rsidR="00027FFA" w:rsidRPr="00C35CA8">
        <w:t xml:space="preserve"> zákona</w:t>
      </w:r>
      <w:bookmarkEnd w:id="93"/>
      <w:r w:rsidR="006F2BB1" w:rsidRPr="00C35CA8">
        <w:t xml:space="preserve"> o službách zamestnanosti</w:t>
      </w:r>
      <w:bookmarkEnd w:id="94"/>
    </w:p>
    <w:p w14:paraId="08E3A1A9" w14:textId="26627FCB" w:rsidR="00021050" w:rsidRPr="00021050" w:rsidRDefault="00021050" w:rsidP="00970F64">
      <w:pPr>
        <w:spacing w:before="120" w:after="120"/>
        <w:ind w:firstLine="0"/>
        <w:rPr>
          <w:rFonts w:eastAsia="Calibri"/>
        </w:rPr>
      </w:pPr>
      <w:r w:rsidRPr="00021050">
        <w:rPr>
          <w:rFonts w:eastAsia="Calibri"/>
        </w:rPr>
        <w:t xml:space="preserve">V rámci kompetenčných kurzov (KOMPAS+) sa podporovali vybrané kľúčové kompetencie UoZ uplatniteľné na TP – komunikačné zručnosti (vrátane sociálnych kompetencií), osobnostný rozvoj (vrátane manažérskych a podnikateľských kompetencií), počítačové a jazykové zručnosti. S ohľadom na posilňovanie kľúčových kompetencií si UoZ mohol zvoliť kompetenčný kurz, o ktorý mal záujem a aj poskytovateľa kompetenčného kurzu, ktorý kompetenčný kurz zrealizoval. Úrad  uhrádzal UoZ 100% nákladov na kompetenčný kurz (kurzovné) a príspevok na cestovné a stravné pre UoZ vo výške 4,76 eur za každý absolvovaný deň kompetenčného kurzu realizovaný prezenčnou formou. V roku 2023 bolo na kompetenčné kurzy (KOMPAS+) zaradených 1 171 UoZ. Z celkového počtu zaradených UoZ bolo 339 mužov (28,95 %) a 832 žien (71,05 %). Príspevky boli v roku 2023 na podporu kompetenčných kurzov (KOMPAS+) poskytnuté pre 1 392 UoZ (z dohôd uzatvorených v roku 2022, ak v roku 2022 nedošlo k úhrade </w:t>
      </w:r>
      <w:r w:rsidRPr="00021050">
        <w:rPr>
          <w:rFonts w:eastAsia="Calibri"/>
        </w:rPr>
        <w:lastRenderedPageBreak/>
        <w:t>príspevku a z dohôd uzatvorených v roku 2023) v celkovej výške 1 066 745 eur, z toho príspevok na kurzovné bol vo výške 1 015 032 eur a príspevok na cestovné a stravné bol vo výške 51 713 eur.</w:t>
      </w:r>
      <w:r>
        <w:rPr>
          <w:rFonts w:eastAsia="Calibri"/>
        </w:rPr>
        <w:t xml:space="preserve"> </w:t>
      </w:r>
      <w:r w:rsidRPr="00021050">
        <w:rPr>
          <w:rFonts w:eastAsia="Calibri"/>
        </w:rPr>
        <w:t>Porovnanie realizácie opatrenia KOMPAS+ v roku 2023 s predchádzajúcim rokom 2022 je uvedené v</w:t>
      </w:r>
      <w:r>
        <w:rPr>
          <w:rFonts w:eastAsia="Calibri"/>
        </w:rPr>
        <w:t> </w:t>
      </w:r>
      <w:r w:rsidRPr="00021050">
        <w:rPr>
          <w:rFonts w:eastAsia="Calibri"/>
        </w:rPr>
        <w:t>tabuľke</w:t>
      </w:r>
      <w:r>
        <w:rPr>
          <w:rFonts w:eastAsia="Calibri"/>
        </w:rPr>
        <w:t>.</w:t>
      </w:r>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502"/>
        <w:gridCol w:w="2934"/>
        <w:gridCol w:w="2698"/>
        <w:gridCol w:w="2052"/>
      </w:tblGrid>
      <w:tr w:rsidR="00021050" w:rsidRPr="00021050" w14:paraId="14A125E8" w14:textId="77777777" w:rsidTr="00021050">
        <w:trPr>
          <w:trHeight w:val="625"/>
        </w:trPr>
        <w:tc>
          <w:tcPr>
            <w:tcW w:w="1502" w:type="dxa"/>
            <w:shd w:val="clear" w:color="auto" w:fill="DBE5F1" w:themeFill="accent1" w:themeFillTint="33"/>
            <w:vAlign w:val="center"/>
          </w:tcPr>
          <w:p w14:paraId="4758B293" w14:textId="77777777" w:rsidR="00021050" w:rsidRPr="00021050" w:rsidRDefault="00021050" w:rsidP="00021050">
            <w:pPr>
              <w:spacing w:after="0"/>
              <w:ind w:firstLine="0"/>
              <w:jc w:val="center"/>
              <w:rPr>
                <w:rFonts w:ascii="Calibri" w:eastAsiaTheme="minorHAnsi" w:hAnsi="Calibri" w:cs="Calibri"/>
                <w:b/>
                <w:color w:val="000000" w:themeColor="text1"/>
                <w:sz w:val="20"/>
                <w:szCs w:val="20"/>
              </w:rPr>
            </w:pPr>
            <w:r w:rsidRPr="00021050">
              <w:rPr>
                <w:rFonts w:ascii="Calibri" w:eastAsiaTheme="minorHAnsi" w:hAnsi="Calibri" w:cs="Calibri"/>
                <w:b/>
                <w:color w:val="000000" w:themeColor="text1"/>
                <w:sz w:val="20"/>
                <w:szCs w:val="20"/>
              </w:rPr>
              <w:t>Rok</w:t>
            </w:r>
          </w:p>
        </w:tc>
        <w:tc>
          <w:tcPr>
            <w:tcW w:w="2934" w:type="dxa"/>
            <w:shd w:val="clear" w:color="auto" w:fill="DBE5F1" w:themeFill="accent1" w:themeFillTint="33"/>
            <w:vAlign w:val="center"/>
          </w:tcPr>
          <w:p w14:paraId="35BB3BD0" w14:textId="77777777" w:rsidR="00021050" w:rsidRDefault="00021050" w:rsidP="00021050">
            <w:pPr>
              <w:spacing w:after="0"/>
              <w:ind w:left="77" w:firstLine="1"/>
              <w:jc w:val="center"/>
              <w:rPr>
                <w:rFonts w:ascii="Calibri" w:eastAsiaTheme="minorHAnsi" w:hAnsi="Calibri" w:cs="Calibri"/>
                <w:b/>
                <w:color w:val="000000" w:themeColor="text1"/>
                <w:sz w:val="20"/>
                <w:szCs w:val="20"/>
              </w:rPr>
            </w:pPr>
            <w:r w:rsidRPr="00021050">
              <w:rPr>
                <w:rFonts w:ascii="Calibri" w:eastAsiaTheme="minorHAnsi" w:hAnsi="Calibri" w:cs="Calibri"/>
                <w:b/>
                <w:color w:val="000000" w:themeColor="text1"/>
                <w:sz w:val="20"/>
                <w:szCs w:val="20"/>
              </w:rPr>
              <w:t xml:space="preserve">Počet UoZ, ktorí nastúpili na kompetenčný kurz </w:t>
            </w:r>
          </w:p>
          <w:p w14:paraId="30C79DFA" w14:textId="4E052076" w:rsidR="00021050" w:rsidRPr="00021050" w:rsidRDefault="00021050" w:rsidP="00021050">
            <w:pPr>
              <w:spacing w:after="0"/>
              <w:ind w:left="77" w:firstLine="1"/>
              <w:jc w:val="center"/>
              <w:rPr>
                <w:rFonts w:ascii="Calibri" w:eastAsiaTheme="minorHAnsi" w:hAnsi="Calibri" w:cs="Calibri"/>
                <w:b/>
                <w:color w:val="000000" w:themeColor="text1"/>
                <w:sz w:val="20"/>
                <w:szCs w:val="20"/>
              </w:rPr>
            </w:pPr>
            <w:r w:rsidRPr="00377F2D">
              <w:rPr>
                <w:rFonts w:ascii="Calibri" w:eastAsiaTheme="minorHAnsi" w:hAnsi="Calibri" w:cs="Calibri"/>
                <w:color w:val="000000" w:themeColor="text1"/>
                <w:sz w:val="20"/>
                <w:szCs w:val="20"/>
              </w:rPr>
              <w:t>(K</w:t>
            </w:r>
            <w:r w:rsidRPr="00021050">
              <w:rPr>
                <w:rFonts w:ascii="Calibri" w:eastAsiaTheme="minorHAnsi" w:hAnsi="Calibri" w:cs="Calibri"/>
                <w:color w:val="000000" w:themeColor="text1"/>
                <w:sz w:val="20"/>
                <w:szCs w:val="20"/>
              </w:rPr>
              <w:t>OMPAS+)</w:t>
            </w:r>
            <w:r w:rsidRPr="00021050">
              <w:rPr>
                <w:rFonts w:ascii="Calibri" w:eastAsiaTheme="minorHAnsi" w:hAnsi="Calibri" w:cs="Calibri"/>
                <w:b/>
                <w:color w:val="000000" w:themeColor="text1"/>
                <w:sz w:val="20"/>
                <w:szCs w:val="20"/>
              </w:rPr>
              <w:t xml:space="preserve"> </w:t>
            </w:r>
          </w:p>
        </w:tc>
        <w:tc>
          <w:tcPr>
            <w:tcW w:w="2698" w:type="dxa"/>
            <w:shd w:val="clear" w:color="auto" w:fill="DBE5F1" w:themeFill="accent1" w:themeFillTint="33"/>
            <w:vAlign w:val="center"/>
          </w:tcPr>
          <w:p w14:paraId="75043ADC" w14:textId="77777777" w:rsidR="00021050" w:rsidRPr="00021050" w:rsidRDefault="00021050" w:rsidP="00021050">
            <w:pPr>
              <w:spacing w:after="0"/>
              <w:ind w:left="66" w:firstLine="17"/>
              <w:jc w:val="center"/>
              <w:rPr>
                <w:rFonts w:ascii="Calibri" w:eastAsiaTheme="minorHAnsi" w:hAnsi="Calibri" w:cs="Calibri"/>
                <w:b/>
                <w:color w:val="000000" w:themeColor="text1"/>
                <w:sz w:val="20"/>
                <w:szCs w:val="20"/>
              </w:rPr>
            </w:pPr>
            <w:r w:rsidRPr="00021050">
              <w:rPr>
                <w:rFonts w:ascii="Calibri" w:eastAsiaTheme="minorHAnsi" w:hAnsi="Calibri" w:cs="Calibri"/>
                <w:b/>
                <w:color w:val="000000" w:themeColor="text1"/>
                <w:sz w:val="20"/>
                <w:szCs w:val="20"/>
              </w:rPr>
              <w:t>Čerpanie finančných prostriedkov</w:t>
            </w:r>
          </w:p>
          <w:p w14:paraId="3E530F38" w14:textId="5BAB8809" w:rsidR="00021050" w:rsidRPr="00021050" w:rsidRDefault="00021050" w:rsidP="00021050">
            <w:pPr>
              <w:spacing w:after="0"/>
              <w:ind w:left="66" w:firstLine="17"/>
              <w:jc w:val="center"/>
              <w:rPr>
                <w:rFonts w:ascii="Calibri" w:eastAsiaTheme="minorHAnsi" w:hAnsi="Calibri" w:cs="Calibri"/>
                <w:color w:val="000000" w:themeColor="text1"/>
                <w:sz w:val="20"/>
                <w:szCs w:val="20"/>
              </w:rPr>
            </w:pPr>
            <w:r w:rsidRPr="00021050">
              <w:rPr>
                <w:rFonts w:ascii="Calibri" w:eastAsiaTheme="minorHAnsi" w:hAnsi="Calibri" w:cs="Calibri"/>
                <w:color w:val="000000" w:themeColor="text1"/>
                <w:sz w:val="20"/>
                <w:szCs w:val="20"/>
              </w:rPr>
              <w:t xml:space="preserve">(v </w:t>
            </w:r>
            <w:r w:rsidR="00E23598">
              <w:rPr>
                <w:rFonts w:ascii="Calibri" w:eastAsiaTheme="minorHAnsi" w:hAnsi="Calibri" w:cs="Calibri"/>
                <w:color w:val="000000" w:themeColor="text1"/>
                <w:sz w:val="20"/>
                <w:szCs w:val="20"/>
              </w:rPr>
              <w:t>eur</w:t>
            </w:r>
            <w:r w:rsidRPr="00021050">
              <w:rPr>
                <w:rFonts w:ascii="Calibri" w:eastAsiaTheme="minorHAnsi" w:hAnsi="Calibri" w:cs="Calibri"/>
                <w:color w:val="000000" w:themeColor="text1"/>
                <w:sz w:val="20"/>
                <w:szCs w:val="20"/>
              </w:rPr>
              <w:t>)</w:t>
            </w:r>
          </w:p>
        </w:tc>
        <w:tc>
          <w:tcPr>
            <w:tcW w:w="2052" w:type="dxa"/>
            <w:shd w:val="clear" w:color="auto" w:fill="DBE5F1" w:themeFill="accent1" w:themeFillTint="33"/>
            <w:vAlign w:val="center"/>
          </w:tcPr>
          <w:p w14:paraId="137BB695" w14:textId="2291B1F7" w:rsidR="00021050" w:rsidRPr="00021050" w:rsidRDefault="00021050" w:rsidP="00021050">
            <w:pPr>
              <w:spacing w:after="0"/>
              <w:ind w:firstLine="0"/>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xml:space="preserve">Úspešnosť umiestnenia </w:t>
            </w:r>
            <w:r w:rsidRPr="00021050">
              <w:rPr>
                <w:rFonts w:ascii="Calibri" w:eastAsia="Calibri" w:hAnsi="Calibri" w:cs="Calibri"/>
                <w:b/>
                <w:bCs/>
                <w:color w:val="000000" w:themeColor="text1"/>
                <w:sz w:val="20"/>
                <w:szCs w:val="20"/>
              </w:rPr>
              <w:t>na TP do 6 mes.</w:t>
            </w:r>
          </w:p>
          <w:p w14:paraId="0C182070" w14:textId="77777777" w:rsidR="00021050" w:rsidRPr="00021050" w:rsidRDefault="00021050" w:rsidP="00021050">
            <w:pPr>
              <w:spacing w:after="0"/>
              <w:ind w:left="66" w:firstLine="17"/>
              <w:jc w:val="center"/>
              <w:rPr>
                <w:rFonts w:ascii="Calibri" w:eastAsiaTheme="minorHAnsi" w:hAnsi="Calibri" w:cs="Calibri"/>
                <w:b/>
                <w:color w:val="000000" w:themeColor="text1"/>
                <w:sz w:val="20"/>
                <w:szCs w:val="20"/>
              </w:rPr>
            </w:pPr>
            <w:r w:rsidRPr="00021050">
              <w:rPr>
                <w:rFonts w:ascii="Calibri" w:eastAsia="Calibri" w:hAnsi="Calibri" w:cs="Calibri"/>
                <w:bCs/>
                <w:color w:val="000000" w:themeColor="text1"/>
                <w:sz w:val="20"/>
                <w:szCs w:val="20"/>
              </w:rPr>
              <w:t>(v %)</w:t>
            </w:r>
          </w:p>
        </w:tc>
      </w:tr>
      <w:tr w:rsidR="00021050" w:rsidRPr="00021050" w14:paraId="59ABD9CC" w14:textId="77777777" w:rsidTr="00021050">
        <w:trPr>
          <w:trHeight w:hRule="exact" w:val="374"/>
        </w:trPr>
        <w:tc>
          <w:tcPr>
            <w:tcW w:w="1502" w:type="dxa"/>
            <w:shd w:val="clear" w:color="auto" w:fill="DBE5F1" w:themeFill="accent1" w:themeFillTint="33"/>
            <w:vAlign w:val="center"/>
          </w:tcPr>
          <w:p w14:paraId="0537F81F" w14:textId="77777777" w:rsidR="00021050" w:rsidRPr="00021050" w:rsidRDefault="00021050" w:rsidP="00021050">
            <w:pPr>
              <w:spacing w:after="0"/>
              <w:ind w:firstLine="34"/>
              <w:jc w:val="center"/>
              <w:rPr>
                <w:rFonts w:ascii="Calibri" w:eastAsiaTheme="minorHAnsi" w:hAnsi="Calibri" w:cs="Calibri"/>
                <w:b/>
                <w:color w:val="000000" w:themeColor="text1"/>
                <w:sz w:val="20"/>
                <w:szCs w:val="20"/>
              </w:rPr>
            </w:pPr>
            <w:r w:rsidRPr="00021050">
              <w:rPr>
                <w:rFonts w:ascii="Calibri" w:eastAsiaTheme="minorHAnsi" w:hAnsi="Calibri" w:cs="Calibri"/>
                <w:b/>
                <w:color w:val="000000" w:themeColor="text1"/>
                <w:sz w:val="20"/>
                <w:szCs w:val="20"/>
              </w:rPr>
              <w:t>2022</w:t>
            </w:r>
          </w:p>
        </w:tc>
        <w:tc>
          <w:tcPr>
            <w:tcW w:w="2934" w:type="dxa"/>
            <w:shd w:val="clear" w:color="auto" w:fill="FFFFFF" w:themeFill="background1"/>
            <w:vAlign w:val="center"/>
          </w:tcPr>
          <w:p w14:paraId="4F3671A3" w14:textId="77777777" w:rsidR="00021050" w:rsidRPr="00021050" w:rsidRDefault="00021050" w:rsidP="00021050">
            <w:pPr>
              <w:spacing w:after="0"/>
              <w:ind w:left="77" w:firstLine="0"/>
              <w:jc w:val="center"/>
              <w:rPr>
                <w:rFonts w:ascii="Calibri" w:eastAsiaTheme="minorHAnsi" w:hAnsi="Calibri" w:cs="Calibri"/>
                <w:color w:val="000000" w:themeColor="text1"/>
                <w:sz w:val="20"/>
                <w:szCs w:val="20"/>
              </w:rPr>
            </w:pPr>
            <w:r w:rsidRPr="00021050">
              <w:rPr>
                <w:rFonts w:ascii="Calibri" w:eastAsiaTheme="minorHAnsi" w:hAnsi="Calibri" w:cs="Calibri"/>
                <w:color w:val="000000" w:themeColor="text1"/>
                <w:sz w:val="20"/>
                <w:szCs w:val="20"/>
              </w:rPr>
              <w:t>1150</w:t>
            </w:r>
          </w:p>
        </w:tc>
        <w:tc>
          <w:tcPr>
            <w:tcW w:w="2698" w:type="dxa"/>
            <w:shd w:val="clear" w:color="auto" w:fill="FFFFFF" w:themeFill="background1"/>
            <w:vAlign w:val="center"/>
          </w:tcPr>
          <w:p w14:paraId="76B252C7" w14:textId="77777777" w:rsidR="00021050" w:rsidRPr="00021050" w:rsidRDefault="00021050" w:rsidP="00021050">
            <w:pPr>
              <w:spacing w:after="0"/>
              <w:ind w:left="77" w:firstLine="0"/>
              <w:jc w:val="center"/>
              <w:rPr>
                <w:rFonts w:ascii="Calibri" w:eastAsiaTheme="minorHAnsi" w:hAnsi="Calibri" w:cs="Calibri"/>
                <w:color w:val="000000" w:themeColor="text1"/>
                <w:sz w:val="20"/>
                <w:szCs w:val="20"/>
              </w:rPr>
            </w:pPr>
            <w:r w:rsidRPr="00021050">
              <w:rPr>
                <w:rFonts w:ascii="Calibri" w:eastAsia="Calibri" w:hAnsi="Calibri" w:cs="Calibri"/>
                <w:color w:val="000000" w:themeColor="text1"/>
                <w:sz w:val="20"/>
                <w:szCs w:val="20"/>
                <w:lang w:eastAsia="en-US"/>
              </w:rPr>
              <w:t>695 929</w:t>
            </w:r>
          </w:p>
        </w:tc>
        <w:tc>
          <w:tcPr>
            <w:tcW w:w="2052" w:type="dxa"/>
            <w:shd w:val="clear" w:color="auto" w:fill="FFFFFF" w:themeFill="background1"/>
            <w:vAlign w:val="center"/>
          </w:tcPr>
          <w:p w14:paraId="321E90F5" w14:textId="77777777" w:rsidR="00021050" w:rsidRPr="00021050" w:rsidRDefault="00021050" w:rsidP="00021050">
            <w:pPr>
              <w:spacing w:after="0"/>
              <w:ind w:left="77" w:firstLine="0"/>
              <w:jc w:val="center"/>
              <w:rPr>
                <w:rFonts w:ascii="Calibri" w:eastAsiaTheme="minorHAnsi" w:hAnsi="Calibri" w:cs="Calibri"/>
                <w:color w:val="000000" w:themeColor="text1"/>
                <w:sz w:val="20"/>
                <w:szCs w:val="20"/>
              </w:rPr>
            </w:pPr>
            <w:r w:rsidRPr="00021050">
              <w:rPr>
                <w:rFonts w:ascii="Calibri" w:eastAsiaTheme="minorHAnsi" w:hAnsi="Calibri" w:cs="Calibri"/>
                <w:color w:val="000000" w:themeColor="text1"/>
                <w:sz w:val="20"/>
                <w:szCs w:val="20"/>
              </w:rPr>
              <w:t>50,88</w:t>
            </w:r>
          </w:p>
        </w:tc>
      </w:tr>
      <w:tr w:rsidR="00021050" w:rsidRPr="00021050" w14:paraId="2FDD2BC5" w14:textId="77777777" w:rsidTr="00021050">
        <w:trPr>
          <w:trHeight w:hRule="exact" w:val="374"/>
        </w:trPr>
        <w:tc>
          <w:tcPr>
            <w:tcW w:w="1502" w:type="dxa"/>
            <w:shd w:val="clear" w:color="auto" w:fill="DBE5F1" w:themeFill="accent1" w:themeFillTint="33"/>
            <w:vAlign w:val="center"/>
          </w:tcPr>
          <w:p w14:paraId="30CF5C4C" w14:textId="77777777" w:rsidR="00021050" w:rsidRPr="00021050" w:rsidRDefault="00021050" w:rsidP="00021050">
            <w:pPr>
              <w:spacing w:after="0"/>
              <w:ind w:firstLine="34"/>
              <w:jc w:val="center"/>
              <w:rPr>
                <w:rFonts w:ascii="Calibri" w:eastAsiaTheme="minorHAnsi" w:hAnsi="Calibri" w:cs="Calibri"/>
                <w:b/>
                <w:color w:val="000000" w:themeColor="text1"/>
                <w:sz w:val="20"/>
                <w:szCs w:val="20"/>
              </w:rPr>
            </w:pPr>
            <w:r w:rsidRPr="00021050">
              <w:rPr>
                <w:rFonts w:ascii="Calibri" w:eastAsiaTheme="minorHAnsi" w:hAnsi="Calibri" w:cs="Calibri"/>
                <w:b/>
                <w:color w:val="000000" w:themeColor="text1"/>
                <w:sz w:val="20"/>
                <w:szCs w:val="20"/>
              </w:rPr>
              <w:t>2023</w:t>
            </w:r>
          </w:p>
        </w:tc>
        <w:tc>
          <w:tcPr>
            <w:tcW w:w="2934" w:type="dxa"/>
            <w:shd w:val="clear" w:color="auto" w:fill="FFFFFF" w:themeFill="background1"/>
            <w:vAlign w:val="center"/>
          </w:tcPr>
          <w:p w14:paraId="1E14ACBF" w14:textId="77777777" w:rsidR="00021050" w:rsidRPr="00021050" w:rsidRDefault="00021050" w:rsidP="00021050">
            <w:pPr>
              <w:spacing w:after="0"/>
              <w:ind w:left="77" w:firstLine="0"/>
              <w:jc w:val="center"/>
              <w:rPr>
                <w:rFonts w:ascii="Calibri" w:eastAsiaTheme="minorHAnsi" w:hAnsi="Calibri" w:cs="Calibri"/>
                <w:color w:val="000000" w:themeColor="text1"/>
                <w:sz w:val="20"/>
                <w:szCs w:val="20"/>
              </w:rPr>
            </w:pPr>
            <w:r w:rsidRPr="00021050">
              <w:rPr>
                <w:rFonts w:ascii="Calibri" w:eastAsiaTheme="minorHAnsi" w:hAnsi="Calibri" w:cs="Calibri"/>
                <w:color w:val="000000" w:themeColor="text1"/>
                <w:sz w:val="20"/>
                <w:szCs w:val="20"/>
              </w:rPr>
              <w:t>1171</w:t>
            </w:r>
          </w:p>
        </w:tc>
        <w:tc>
          <w:tcPr>
            <w:tcW w:w="2698" w:type="dxa"/>
            <w:shd w:val="clear" w:color="auto" w:fill="FFFFFF" w:themeFill="background1"/>
            <w:vAlign w:val="center"/>
          </w:tcPr>
          <w:p w14:paraId="1A33ECC3" w14:textId="77777777" w:rsidR="00021050" w:rsidRPr="00021050" w:rsidRDefault="00021050" w:rsidP="00021050">
            <w:pPr>
              <w:spacing w:after="0"/>
              <w:ind w:left="77" w:firstLine="0"/>
              <w:jc w:val="center"/>
              <w:rPr>
                <w:rFonts w:ascii="Calibri" w:eastAsiaTheme="minorHAnsi" w:hAnsi="Calibri" w:cs="Calibri"/>
                <w:color w:val="000000" w:themeColor="text1"/>
                <w:sz w:val="20"/>
                <w:szCs w:val="20"/>
              </w:rPr>
            </w:pPr>
            <w:r w:rsidRPr="00021050">
              <w:rPr>
                <w:rFonts w:ascii="Calibri" w:eastAsiaTheme="minorHAnsi" w:hAnsi="Calibri" w:cs="Calibri"/>
                <w:color w:val="000000" w:themeColor="text1"/>
                <w:sz w:val="20"/>
                <w:szCs w:val="20"/>
              </w:rPr>
              <w:t>1 066 745</w:t>
            </w:r>
          </w:p>
        </w:tc>
        <w:tc>
          <w:tcPr>
            <w:tcW w:w="2052" w:type="dxa"/>
            <w:shd w:val="clear" w:color="auto" w:fill="FFFFFF" w:themeFill="background1"/>
            <w:vAlign w:val="center"/>
          </w:tcPr>
          <w:p w14:paraId="550EB25B" w14:textId="77777777" w:rsidR="00021050" w:rsidRPr="00021050" w:rsidRDefault="00021050" w:rsidP="00021050">
            <w:pPr>
              <w:spacing w:after="0"/>
              <w:ind w:left="77" w:firstLine="0"/>
              <w:jc w:val="center"/>
              <w:rPr>
                <w:rFonts w:ascii="Calibri" w:eastAsiaTheme="minorHAnsi" w:hAnsi="Calibri" w:cs="Calibri"/>
                <w:color w:val="000000" w:themeColor="text1"/>
                <w:sz w:val="20"/>
                <w:szCs w:val="20"/>
              </w:rPr>
            </w:pPr>
            <w:r w:rsidRPr="00021050">
              <w:rPr>
                <w:rFonts w:ascii="Calibri" w:eastAsiaTheme="minorHAnsi" w:hAnsi="Calibri" w:cs="Calibri"/>
                <w:color w:val="000000" w:themeColor="text1"/>
                <w:sz w:val="20"/>
                <w:szCs w:val="20"/>
              </w:rPr>
              <w:t>49,14</w:t>
            </w:r>
          </w:p>
        </w:tc>
      </w:tr>
    </w:tbl>
    <w:p w14:paraId="33AAC85B" w14:textId="77777777" w:rsidR="00021050" w:rsidRPr="00021050" w:rsidRDefault="00021050" w:rsidP="00021050">
      <w:pPr>
        <w:spacing w:before="120" w:after="0"/>
        <w:ind w:hanging="6"/>
        <w:rPr>
          <w:rFonts w:eastAsia="Calibri"/>
        </w:rPr>
      </w:pPr>
      <w:r w:rsidRPr="00021050">
        <w:rPr>
          <w:rFonts w:eastAsia="Calibri"/>
        </w:rPr>
        <w:t xml:space="preserve">Najväčší počet UoZ zaradených na kompetenčný kurz (KOMPAS+) bol v roku 2023 na úrade Bratislava, kde nastúpilo na kompetenčný kurz 148 UoZ, čo predstavuje 12,64 % z celkového počtu zaradených UoZ na kompetenčný kurz. Za ním nasledovali úrady Košice (94  UoZ; 8,03 %) a Kežmarok (61 UoZ; 5,21 %). </w:t>
      </w:r>
    </w:p>
    <w:p w14:paraId="3D1E4975" w14:textId="2780A990" w:rsidR="00021050" w:rsidRPr="00021050" w:rsidRDefault="00021050" w:rsidP="00021050">
      <w:pPr>
        <w:spacing w:before="120" w:after="0"/>
        <w:ind w:hanging="6"/>
        <w:rPr>
          <w:rFonts w:eastAsia="Calibri"/>
        </w:rPr>
      </w:pPr>
      <w:r w:rsidRPr="00021050">
        <w:rPr>
          <w:rFonts w:eastAsia="Calibri"/>
        </w:rPr>
        <w:t>Prehľad UoZ zaradených na kompetenčný kurz (KOMPAS+) v roku 2023 v štruktúre podľa jednotlivých úradov  je uvedený v</w:t>
      </w:r>
      <w:r>
        <w:rPr>
          <w:rFonts w:eastAsia="Calibri"/>
        </w:rPr>
        <w:t xml:space="preserve"> nasledujúcom sieťovom </w:t>
      </w:r>
      <w:r w:rsidRPr="00021050">
        <w:rPr>
          <w:rFonts w:eastAsia="Calibri"/>
        </w:rPr>
        <w:t>grafe</w:t>
      </w:r>
      <w:r>
        <w:rPr>
          <w:rFonts w:eastAsia="Calibri"/>
        </w:rPr>
        <w:t xml:space="preserve">. </w:t>
      </w:r>
    </w:p>
    <w:p w14:paraId="4DF4DCDA" w14:textId="77777777" w:rsidR="00021050" w:rsidRPr="00021050" w:rsidRDefault="00021050" w:rsidP="00021050">
      <w:pPr>
        <w:spacing w:before="120" w:after="0"/>
        <w:ind w:hanging="6"/>
        <w:jc w:val="left"/>
        <w:rPr>
          <w:rFonts w:eastAsia="Calibri"/>
        </w:rPr>
      </w:pPr>
      <w:r w:rsidRPr="00021050">
        <w:rPr>
          <w:rFonts w:eastAsiaTheme="minorHAnsi"/>
          <w:noProof/>
        </w:rPr>
        <w:drawing>
          <wp:inline distT="0" distB="0" distL="0" distR="0" wp14:anchorId="1A2BDA0E" wp14:editId="51D5409E">
            <wp:extent cx="5860112" cy="5478145"/>
            <wp:effectExtent l="0" t="0" r="7620" b="8255"/>
            <wp:docPr id="477" name="Graf 47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7EA3EF" w14:textId="690CC6DF" w:rsidR="00021050" w:rsidRPr="00021050" w:rsidRDefault="00021050" w:rsidP="00021050">
      <w:pPr>
        <w:spacing w:before="120" w:after="0"/>
        <w:ind w:firstLine="0"/>
        <w:rPr>
          <w:rFonts w:eastAsia="Calibri"/>
        </w:rPr>
      </w:pPr>
      <w:bookmarkStart w:id="96" w:name="_Hlk37888945"/>
      <w:r w:rsidRPr="00021050">
        <w:rPr>
          <w:rFonts w:eastAsia="Calibri"/>
        </w:rPr>
        <w:t xml:space="preserve">Z celkového počtu 1171 UoZ zaradených v roku 2023 na kompetenčné kurzy (KOMPAS+), bolo 684 UoZ (58,41 %) znevýhodnených. Najväčšiu skupinu tvorili UoZ, ktorí najmenej 12 po sebe nasledujúcich kalendárnych mesiacov pred zaradením do evidencie UoZ, nemali pravidelne </w:t>
      </w:r>
      <w:r w:rsidRPr="00021050">
        <w:rPr>
          <w:rFonts w:eastAsia="Calibri"/>
        </w:rPr>
        <w:lastRenderedPageBreak/>
        <w:t>platené zamestnanie (433; 36,98 % zo všetkých UoZ zaradených na kompetenčný kurz) a dlhodobo nezamestnaných UoZ (284; 24,25 % zo všetkých UoZ zaradených na kompetenčný kurz). Pomerne početnú skupinu UoZ tvorili aj UoZ nad 50 rokov (162; 13,84 % zo všetkých UoZ zaradených na kompetenčný kurz). Prehľad UoZ zaradených v roku 2023 na kompetenčné kurzy (KOMPAS+) v štruktúre podľa znevýhodnenia je zobrazený  nasledujúcom grafe</w:t>
      </w:r>
      <w:bookmarkEnd w:id="96"/>
      <w:r>
        <w:rPr>
          <w:rFonts w:eastAsia="Calibri"/>
        </w:rPr>
        <w:t>.</w:t>
      </w:r>
    </w:p>
    <w:p w14:paraId="0563CDE3" w14:textId="77777777" w:rsidR="00021050" w:rsidRPr="00021050" w:rsidRDefault="00021050" w:rsidP="00021050">
      <w:pPr>
        <w:spacing w:before="120" w:after="0"/>
        <w:ind w:firstLine="0"/>
        <w:jc w:val="center"/>
        <w:rPr>
          <w:rFonts w:eastAsia="Calibri"/>
        </w:rPr>
      </w:pPr>
      <w:r w:rsidRPr="00021050">
        <w:rPr>
          <w:rFonts w:eastAsiaTheme="minorHAnsi"/>
          <w:noProof/>
        </w:rPr>
        <w:drawing>
          <wp:inline distT="0" distB="0" distL="0" distR="0" wp14:anchorId="344D2A6F" wp14:editId="4942AD0B">
            <wp:extent cx="5843933" cy="3220085"/>
            <wp:effectExtent l="0" t="0" r="4445" b="18415"/>
            <wp:docPr id="478" name="Graf 47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D8BE65" w14:textId="67831A31" w:rsidR="00021050" w:rsidRPr="00021050" w:rsidRDefault="00021050" w:rsidP="00817608">
      <w:pPr>
        <w:spacing w:before="120" w:after="0"/>
        <w:ind w:firstLine="0"/>
        <w:rPr>
          <w:rFonts w:eastAsia="Calibri"/>
        </w:rPr>
      </w:pPr>
      <w:r w:rsidRPr="00021050">
        <w:rPr>
          <w:rFonts w:eastAsia="Calibri"/>
        </w:rPr>
        <w:t>Z</w:t>
      </w:r>
      <w:r>
        <w:rPr>
          <w:rFonts w:eastAsia="Calibri"/>
        </w:rPr>
        <w:t xml:space="preserve"> aspektu </w:t>
      </w:r>
      <w:r w:rsidRPr="00021050">
        <w:rPr>
          <w:rFonts w:eastAsia="Calibri"/>
        </w:rPr>
        <w:t xml:space="preserve">veku tvorili v roku 2023 najvyšší podiel zaradených na kompetenčné kurzy (KOMPAS+) UoZ vo veku 30 – 49 rokov (709 UoZ; 60,55 %). Druhou najpočetnejšou skupinou boli UoZ vo veku od  25 – 29 rokov (196; 16,74 %). Prehľad UoZ, ktorí nastúpili </w:t>
      </w:r>
      <w:r w:rsidRPr="00021050">
        <w:rPr>
          <w:rFonts w:eastAsia="Calibri"/>
        </w:rPr>
        <w:br/>
        <w:t xml:space="preserve">na kompetenčné kurzy (KOMPAS+) v roku 2023 v štruktúre podľa vekových kategórií </w:t>
      </w:r>
      <w:r w:rsidRPr="00021050">
        <w:rPr>
          <w:rFonts w:eastAsia="Calibri"/>
        </w:rPr>
        <w:br/>
        <w:t>je znázornený v</w:t>
      </w:r>
      <w:r>
        <w:rPr>
          <w:rFonts w:eastAsia="Calibri"/>
        </w:rPr>
        <w:t> </w:t>
      </w:r>
      <w:r w:rsidRPr="00021050">
        <w:rPr>
          <w:rFonts w:eastAsia="Calibri"/>
        </w:rPr>
        <w:t>grafe</w:t>
      </w:r>
      <w:r>
        <w:rPr>
          <w:rFonts w:eastAsia="Calibri"/>
        </w:rPr>
        <w:t xml:space="preserve"> nižšie.</w:t>
      </w:r>
    </w:p>
    <w:p w14:paraId="16A3B817" w14:textId="77777777" w:rsidR="00021050" w:rsidRPr="00021050" w:rsidRDefault="00021050" w:rsidP="00021050">
      <w:pPr>
        <w:spacing w:before="120" w:after="0"/>
        <w:ind w:firstLine="0"/>
        <w:jc w:val="center"/>
        <w:rPr>
          <w:rFonts w:eastAsia="Calibri"/>
        </w:rPr>
      </w:pPr>
      <w:r w:rsidRPr="00021050">
        <w:rPr>
          <w:rFonts w:eastAsiaTheme="minorHAnsi"/>
          <w:noProof/>
        </w:rPr>
        <w:drawing>
          <wp:inline distT="0" distB="0" distL="0" distR="0" wp14:anchorId="320E76D9" wp14:editId="0EB75438">
            <wp:extent cx="5828030" cy="3037398"/>
            <wp:effectExtent l="0" t="0" r="1270" b="10795"/>
            <wp:docPr id="479" name="Graf 47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9025B7" w14:textId="64442CFE" w:rsidR="00021050" w:rsidRPr="00021050" w:rsidRDefault="00021050" w:rsidP="007A488E">
      <w:pPr>
        <w:spacing w:before="120" w:after="0"/>
        <w:ind w:firstLine="0"/>
        <w:rPr>
          <w:rFonts w:eastAsia="Calibri"/>
        </w:rPr>
      </w:pPr>
      <w:r w:rsidRPr="00021050">
        <w:rPr>
          <w:rFonts w:eastAsia="Calibri"/>
        </w:rPr>
        <w:t>Z hľadiska vzdelania bolo v roku 2023 na kompetenčné kurzy (KOMPAS+) zaradených najviac UoZ s VŠ vzdelaním druhého stupňa (420 UoZ; 35,87 %) a s úplným stredným odborným vzdelaním (398 UoZ; 33,99 %). Prehľad UoZ zaradených na kompetenčné kurzy (KOMPAS+) v roku 2023 v štruktúre podľa vzdelania je znázornený v</w:t>
      </w:r>
      <w:r w:rsidR="00817608">
        <w:rPr>
          <w:rFonts w:eastAsia="Calibri"/>
        </w:rPr>
        <w:t xml:space="preserve"> nasledujúcom </w:t>
      </w:r>
      <w:r w:rsidRPr="00021050">
        <w:rPr>
          <w:rFonts w:eastAsia="Calibri"/>
        </w:rPr>
        <w:t>grafe</w:t>
      </w:r>
      <w:r w:rsidR="00817608">
        <w:rPr>
          <w:rFonts w:eastAsia="Calibri"/>
        </w:rPr>
        <w:t>.</w:t>
      </w:r>
    </w:p>
    <w:p w14:paraId="6F03972C" w14:textId="77777777" w:rsidR="00021050" w:rsidRPr="00021050" w:rsidRDefault="00021050" w:rsidP="00021050">
      <w:pPr>
        <w:spacing w:before="120" w:after="0"/>
        <w:ind w:firstLine="0"/>
        <w:rPr>
          <w:rFonts w:eastAsia="Calibri"/>
        </w:rPr>
      </w:pPr>
      <w:r w:rsidRPr="00021050">
        <w:rPr>
          <w:rFonts w:eastAsiaTheme="minorHAnsi"/>
          <w:noProof/>
        </w:rPr>
        <w:lastRenderedPageBreak/>
        <w:drawing>
          <wp:inline distT="0" distB="0" distL="0" distR="0" wp14:anchorId="385C8332" wp14:editId="7BAD17D8">
            <wp:extent cx="5852160" cy="3620135"/>
            <wp:effectExtent l="0" t="0" r="15240" b="18415"/>
            <wp:docPr id="33" name="Graf 3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9DF196" w14:textId="7D0FBF11" w:rsidR="00021050" w:rsidRPr="00021050" w:rsidRDefault="00021050" w:rsidP="00817608">
      <w:pPr>
        <w:spacing w:before="120" w:after="0"/>
        <w:ind w:firstLine="0"/>
        <w:rPr>
          <w:rFonts w:eastAsia="Calibri"/>
        </w:rPr>
      </w:pPr>
      <w:r w:rsidRPr="00021050">
        <w:rPr>
          <w:rFonts w:eastAsia="Calibri"/>
        </w:rPr>
        <w:t>V roku 2023 absolvovali UoZ v rámci kompetenčných kurzov (KOMPAS+) najviac počítačové kurzy (823; 70,28 %) a jazykové kurzy (213; 18,19 %). Prehľad UoZ zaradených v roku 2023 na kompetenčné kurzy (KOMPAS+) v štruktúre podľa jednotlivých vzdelávacích kategórií je zná</w:t>
      </w:r>
      <w:r w:rsidR="00817608">
        <w:rPr>
          <w:rFonts w:eastAsia="Calibri"/>
        </w:rPr>
        <w:t xml:space="preserve">zornený v nasledujúcom grafe. </w:t>
      </w:r>
    </w:p>
    <w:p w14:paraId="2749E9A6" w14:textId="77777777" w:rsidR="00021050" w:rsidRPr="00021050" w:rsidRDefault="00021050" w:rsidP="00021050">
      <w:pPr>
        <w:spacing w:before="120" w:after="0"/>
        <w:ind w:firstLine="0"/>
        <w:jc w:val="left"/>
        <w:rPr>
          <w:rFonts w:eastAsia="Calibri"/>
        </w:rPr>
      </w:pPr>
      <w:r w:rsidRPr="00021050">
        <w:rPr>
          <w:rFonts w:eastAsiaTheme="minorHAnsi"/>
          <w:noProof/>
        </w:rPr>
        <w:drawing>
          <wp:inline distT="0" distB="0" distL="0" distR="0" wp14:anchorId="3F8D5A0A" wp14:editId="4AF626D7">
            <wp:extent cx="5852160" cy="2965837"/>
            <wp:effectExtent l="0" t="0" r="15240" b="6350"/>
            <wp:docPr id="39" name="Graf 3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955D32" w14:textId="77777777" w:rsidR="00021050" w:rsidRPr="00021050" w:rsidRDefault="00021050" w:rsidP="00021050">
      <w:pPr>
        <w:spacing w:before="120" w:after="0"/>
        <w:ind w:firstLine="0"/>
        <w:jc w:val="left"/>
        <w:rPr>
          <w:rFonts w:eastAsia="Calibri"/>
        </w:rPr>
      </w:pPr>
    </w:p>
    <w:p w14:paraId="09644135" w14:textId="23FC692D" w:rsidR="00214E96" w:rsidRDefault="005C19B5" w:rsidP="00817608">
      <w:pPr>
        <w:pStyle w:val="Nadpis20"/>
        <w:tabs>
          <w:tab w:val="left" w:pos="567"/>
        </w:tabs>
        <w:spacing w:before="0" w:after="0"/>
        <w:ind w:left="567" w:hanging="567"/>
        <w:jc w:val="both"/>
      </w:pPr>
      <w:bookmarkStart w:id="97" w:name="_Hlk103524336"/>
      <w:bookmarkStart w:id="98" w:name="_Toc173741561"/>
      <w:bookmarkStart w:id="99" w:name="_Toc514941050"/>
      <w:bookmarkStart w:id="100" w:name="_Toc37094608"/>
      <w:bookmarkEnd w:id="95"/>
      <w:r w:rsidRPr="00C35CA8">
        <w:t>3</w:t>
      </w:r>
      <w:r w:rsidR="00021050">
        <w:t>.7</w:t>
      </w:r>
      <w:r w:rsidR="00CE1D88" w:rsidRPr="00C35CA8">
        <w:tab/>
      </w:r>
      <w:bookmarkStart w:id="101" w:name="_Hlk37971687"/>
      <w:bookmarkStart w:id="102" w:name="_Hlk103524872"/>
      <w:bookmarkEnd w:id="97"/>
      <w:r w:rsidR="00214E96" w:rsidRPr="00C35CA8">
        <w:rPr>
          <w:rFonts w:eastAsia="Calibri"/>
          <w:lang w:eastAsia="en-US"/>
        </w:rPr>
        <w:t>Národný projekt</w:t>
      </w:r>
      <w:r w:rsidR="00817608">
        <w:rPr>
          <w:rFonts w:eastAsia="Calibri"/>
          <w:lang w:eastAsia="en-US"/>
        </w:rPr>
        <w:t xml:space="preserve">  Nestrať prácu – vzdelávaj sa podľa </w:t>
      </w:r>
      <w:r w:rsidR="00214E96" w:rsidRPr="00C35CA8">
        <w:rPr>
          <w:rFonts w:eastAsia="Calibri"/>
          <w:lang w:eastAsia="en-US"/>
        </w:rPr>
        <w:t>§ 54 ods. 1 písm. d)  zákona</w:t>
      </w:r>
      <w:r w:rsidR="00C420D9" w:rsidRPr="00C35CA8">
        <w:rPr>
          <w:rFonts w:eastAsia="Calibri"/>
          <w:lang w:eastAsia="en-US"/>
        </w:rPr>
        <w:t xml:space="preserve"> </w:t>
      </w:r>
      <w:r w:rsidR="00214E96" w:rsidRPr="00C35CA8">
        <w:t>o službách zamestnanosti</w:t>
      </w:r>
      <w:bookmarkEnd w:id="98"/>
    </w:p>
    <w:p w14:paraId="25F46BE0" w14:textId="77FF585C" w:rsidR="00021050" w:rsidRPr="00021050" w:rsidRDefault="00021050" w:rsidP="00817608">
      <w:pPr>
        <w:spacing w:before="120" w:after="120"/>
        <w:ind w:hanging="6"/>
        <w:rPr>
          <w:rFonts w:eastAsia="Calibri"/>
        </w:rPr>
      </w:pPr>
      <w:r w:rsidRPr="00021050">
        <w:rPr>
          <w:rFonts w:eastAsia="Calibri"/>
        </w:rPr>
        <w:t xml:space="preserve">Cieľom tohto projektu bola podpora zamestnanosti, zamestnateľnosti a adaptability ZoZ, prostredníctvom realizácie cieleného vzdelávania. Projekt podporoval vzdelávanie zamerané na individuálne potreby, možnosti a schopnosti ZoZ s ohľadom na požiadavky trhu práce, </w:t>
      </w:r>
      <w:r w:rsidR="00817608">
        <w:rPr>
          <w:rFonts w:eastAsia="Calibri"/>
        </w:rPr>
        <w:t xml:space="preserve">                     </w:t>
      </w:r>
      <w:r w:rsidRPr="00021050">
        <w:rPr>
          <w:rFonts w:eastAsia="Calibri"/>
        </w:rPr>
        <w:t xml:space="preserve">s prihliadnutím na potrebné zručnosti najmä v oblasti nedostatkových profesií, digitalizácie </w:t>
      </w:r>
      <w:r w:rsidR="00817608">
        <w:rPr>
          <w:rFonts w:eastAsia="Calibri"/>
        </w:rPr>
        <w:t xml:space="preserve">           </w:t>
      </w:r>
      <w:r w:rsidRPr="00021050">
        <w:rPr>
          <w:rFonts w:eastAsia="Calibri"/>
        </w:rPr>
        <w:t xml:space="preserve">a automatizácie a zeleného hospodárstva, resp. v inej oblasti, pokiaľ bolo vzdelávanie zamerané na získanie  zručností v súlade s individuálnymi potrebami záujemcu o zamestnanie a v súlade </w:t>
      </w:r>
      <w:r w:rsidR="00817608">
        <w:rPr>
          <w:rFonts w:eastAsia="Calibri"/>
        </w:rPr>
        <w:t xml:space="preserve">   </w:t>
      </w:r>
      <w:r w:rsidRPr="00021050">
        <w:rPr>
          <w:rFonts w:eastAsia="Calibri"/>
        </w:rPr>
        <w:lastRenderedPageBreak/>
        <w:t>s potrebami trhu práce. S cieľom zlepšiť postavenie ZoZ na trhu práce mohlo byť podporené vzdelávanie, ktoré bolo zamerané na kariérový rast ZoZ vo vzťahu k jeho aktuálnej alebo budúcej profesii a ktoré zohľadňovalo meniace sa požiadavky trhu práce.</w:t>
      </w:r>
    </w:p>
    <w:p w14:paraId="2CDB378F" w14:textId="77777777" w:rsidR="00021050" w:rsidRPr="00021050" w:rsidRDefault="00021050" w:rsidP="00021050">
      <w:pPr>
        <w:spacing w:before="40" w:after="120"/>
        <w:ind w:hanging="6"/>
        <w:rPr>
          <w:rFonts w:eastAsia="Calibri"/>
        </w:rPr>
      </w:pPr>
      <w:r w:rsidRPr="00021050">
        <w:rPr>
          <w:rFonts w:eastAsia="Calibri"/>
        </w:rPr>
        <w:t xml:space="preserve">Po úspešnom ukončení vzdelávania úrady poskytovali príspevok na vzdelávanie ZoZ v hodnote kurzovného. </w:t>
      </w:r>
    </w:p>
    <w:p w14:paraId="70EF31DA" w14:textId="77777777" w:rsidR="00021050" w:rsidRPr="00021050" w:rsidRDefault="00021050" w:rsidP="00021050">
      <w:pPr>
        <w:spacing w:before="40" w:after="120"/>
        <w:ind w:hanging="6"/>
        <w:rPr>
          <w:rFonts w:eastAsia="Calibri"/>
        </w:rPr>
      </w:pPr>
      <w:r w:rsidRPr="00021050">
        <w:rPr>
          <w:rFonts w:eastAsia="Calibri"/>
        </w:rPr>
        <w:t xml:space="preserve">V roku 2023 bolo v rámci tohto projektu zaradených 27 586 ZoZ. Z tohto počtu, bolo 15 470 mužov (56,08 %) a 12 116 žien (43,92 %). </w:t>
      </w:r>
    </w:p>
    <w:p w14:paraId="23586E49" w14:textId="64CC890B" w:rsidR="00021050" w:rsidRPr="00021050" w:rsidRDefault="00021050" w:rsidP="00021050">
      <w:pPr>
        <w:spacing w:before="40" w:after="120"/>
        <w:ind w:hanging="6"/>
        <w:rPr>
          <w:rFonts w:eastAsia="Calibri"/>
        </w:rPr>
      </w:pPr>
      <w:r w:rsidRPr="00021050">
        <w:rPr>
          <w:rFonts w:eastAsia="Calibri"/>
        </w:rPr>
        <w:t>Príspevok na vzdelávanie ZoZ bol v roku 2023 poskytnutý v celkovej sume 34 835</w:t>
      </w:r>
      <w:r w:rsidR="00EE25A2">
        <w:rPr>
          <w:rFonts w:eastAsia="Calibri"/>
        </w:rPr>
        <w:t> </w:t>
      </w:r>
      <w:r w:rsidRPr="00021050">
        <w:rPr>
          <w:rFonts w:eastAsia="Calibri"/>
        </w:rPr>
        <w:t>874</w:t>
      </w:r>
      <w:r w:rsidR="00EE25A2">
        <w:rPr>
          <w:rFonts w:eastAsia="Calibri"/>
        </w:rPr>
        <w:t xml:space="preserve"> eur.</w:t>
      </w:r>
    </w:p>
    <w:p w14:paraId="6BCAFA37" w14:textId="10F57518" w:rsidR="00021050" w:rsidRPr="00021050" w:rsidRDefault="00021050" w:rsidP="00021050">
      <w:pPr>
        <w:spacing w:before="40" w:after="120"/>
        <w:ind w:firstLine="0"/>
        <w:rPr>
          <w:rFonts w:eastAsia="Calibri"/>
        </w:rPr>
      </w:pPr>
      <w:r w:rsidRPr="00021050">
        <w:rPr>
          <w:rFonts w:eastAsia="Calibri"/>
        </w:rPr>
        <w:t>V roku 2023 bol najväčší počet zaradených ZoZ do tohto projektu na úrade Košice, kde nastúpilo na vzdelávanie 1 695 ZoZ, čo predstavuje 6,14 % z celkového počtu zaradených ZoZ. Za ním nasledovali úrady  Prešov (1 660 ZoZ; 6,02 %) a úrad Bratislava (1 640 ZoZ; 5,95 %). Prehľad ZoZ zaradených na vzdelávanie v roku 2023 v štruktúre podľa jednotlivýc</w:t>
      </w:r>
      <w:r w:rsidR="00EE25A2">
        <w:rPr>
          <w:rFonts w:eastAsia="Calibri"/>
        </w:rPr>
        <w:t xml:space="preserve">h úradov  je znázornený v grafe nižšie. </w:t>
      </w:r>
    </w:p>
    <w:p w14:paraId="64EE1128" w14:textId="77777777" w:rsidR="00021050" w:rsidRPr="00021050" w:rsidRDefault="00021050" w:rsidP="00021050">
      <w:pPr>
        <w:spacing w:before="40" w:after="120"/>
        <w:ind w:firstLine="0"/>
        <w:jc w:val="left"/>
        <w:rPr>
          <w:rFonts w:eastAsiaTheme="minorHAnsi"/>
          <w:highlight w:val="green"/>
        </w:rPr>
      </w:pPr>
      <w:r w:rsidRPr="00021050">
        <w:rPr>
          <w:rFonts w:eastAsiaTheme="minorHAnsi"/>
          <w:noProof/>
        </w:rPr>
        <w:drawing>
          <wp:inline distT="0" distB="0" distL="0" distR="0" wp14:anchorId="2B6F2C81" wp14:editId="60744351">
            <wp:extent cx="5868063" cy="5657850"/>
            <wp:effectExtent l="0" t="0" r="18415" b="0"/>
            <wp:docPr id="44" name="Graf 4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BD5DF1" w14:textId="57B40274" w:rsidR="00021050" w:rsidRPr="00021050" w:rsidRDefault="00021050" w:rsidP="00EE25A2">
      <w:pPr>
        <w:spacing w:before="40" w:after="120"/>
        <w:ind w:firstLine="0"/>
        <w:rPr>
          <w:rFonts w:eastAsia="Calibri"/>
        </w:rPr>
      </w:pPr>
      <w:r w:rsidRPr="00021050">
        <w:rPr>
          <w:rFonts w:eastAsia="Calibri"/>
        </w:rPr>
        <w:t>Z hľadiska veku tvorili najvyšší podiel zaradených do vzdelávania v roku 2023 ZoZ vo veku od 30 do 49 rokov (17 587 ZoZ; 63,75 %). Druhou najpočetnejšou skupinou boli ZoZ vo veku od 25 do 29 rokov (4 545 ZoZ; 16,48 %). Prehľad ZoZ zaradených na vzdelávanie v roku 2023 v štruktúre podľa vekových kategórií je znázornený v</w:t>
      </w:r>
      <w:r w:rsidR="00EE25A2">
        <w:rPr>
          <w:rFonts w:eastAsia="Calibri"/>
        </w:rPr>
        <w:t> ďalšom grafe</w:t>
      </w:r>
      <w:r w:rsidRPr="00021050">
        <w:rPr>
          <w:rFonts w:eastAsia="Calibri"/>
        </w:rPr>
        <w:t>.</w:t>
      </w:r>
    </w:p>
    <w:p w14:paraId="3DC9BA2C" w14:textId="77777777" w:rsidR="00021050" w:rsidRPr="00021050" w:rsidRDefault="00021050" w:rsidP="00021050">
      <w:pPr>
        <w:tabs>
          <w:tab w:val="left" w:pos="225"/>
        </w:tabs>
        <w:spacing w:before="40" w:after="120"/>
        <w:ind w:left="-6" w:firstLine="0"/>
        <w:jc w:val="center"/>
        <w:rPr>
          <w:rFonts w:eastAsia="Calibri"/>
          <w:lang w:eastAsia="en-US"/>
        </w:rPr>
      </w:pPr>
      <w:r w:rsidRPr="00021050">
        <w:rPr>
          <w:rFonts w:eastAsiaTheme="minorHAnsi"/>
          <w:noProof/>
        </w:rPr>
        <w:lastRenderedPageBreak/>
        <w:drawing>
          <wp:inline distT="0" distB="0" distL="0" distR="0" wp14:anchorId="3AF9D506" wp14:editId="65608CCD">
            <wp:extent cx="5865936" cy="3482975"/>
            <wp:effectExtent l="0" t="0" r="1905" b="3175"/>
            <wp:docPr id="50" name="Graf 50">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540B06" w14:textId="59CB0693" w:rsidR="00021050" w:rsidRPr="00021050" w:rsidRDefault="00021050" w:rsidP="00EE25A2">
      <w:pPr>
        <w:spacing w:before="40" w:after="120"/>
        <w:ind w:left="-6" w:firstLine="0"/>
        <w:rPr>
          <w:rFonts w:eastAsia="Calibri"/>
        </w:rPr>
      </w:pPr>
      <w:r w:rsidRPr="00021050">
        <w:rPr>
          <w:rFonts w:eastAsia="Calibri"/>
        </w:rPr>
        <w:t>Z hľadiska vzdelania bolo v roku 2023 zaradených na vzdelávanie najviac ZoZ s úplným stredným odborným vzdelaním (10 810 ZoZ; 39,19  %) a vysokoškolským vzdelaním druhého stupňa (8 759 ZoZ; 31,75 %). Prehľad ZoZ zaradených na vzdelávanie v roku 2023 v štruktúre podľa vzdelania je znázornený v </w:t>
      </w:r>
      <w:r w:rsidRPr="00EE25A2">
        <w:rPr>
          <w:rFonts w:eastAsia="Calibri"/>
        </w:rPr>
        <w:t xml:space="preserve">grafe </w:t>
      </w:r>
      <w:r w:rsidR="00EE25A2" w:rsidRPr="00EE25A2">
        <w:rPr>
          <w:rFonts w:eastAsia="Calibri"/>
        </w:rPr>
        <w:t>dole.</w:t>
      </w:r>
    </w:p>
    <w:p w14:paraId="2837D486" w14:textId="77777777" w:rsidR="00021050" w:rsidRPr="00021050" w:rsidRDefault="00021050" w:rsidP="00021050">
      <w:pPr>
        <w:spacing w:before="40" w:after="120"/>
        <w:ind w:hanging="6"/>
        <w:jc w:val="center"/>
        <w:rPr>
          <w:rFonts w:eastAsia="Calibri"/>
          <w:b/>
          <w:i/>
          <w:sz w:val="20"/>
          <w:szCs w:val="20"/>
          <w:highlight w:val="yellow"/>
          <w:lang w:eastAsia="en-US"/>
        </w:rPr>
      </w:pPr>
      <w:r w:rsidRPr="00021050">
        <w:rPr>
          <w:rFonts w:eastAsiaTheme="minorHAnsi"/>
          <w:noProof/>
        </w:rPr>
        <w:drawing>
          <wp:inline distT="0" distB="0" distL="0" distR="0" wp14:anchorId="2600E276" wp14:editId="6163169F">
            <wp:extent cx="5871845" cy="3601941"/>
            <wp:effectExtent l="0" t="0" r="14605" b="17780"/>
            <wp:docPr id="58" name="Graf 5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8B99CAC" w14:textId="145EE1C2" w:rsidR="00021050" w:rsidRPr="00021050" w:rsidRDefault="00021050" w:rsidP="00EE25A2">
      <w:pPr>
        <w:spacing w:before="40" w:after="120"/>
        <w:ind w:hanging="6"/>
        <w:rPr>
          <w:rFonts w:eastAsia="Calibri"/>
        </w:rPr>
      </w:pPr>
      <w:r w:rsidRPr="00021050">
        <w:rPr>
          <w:rFonts w:eastAsia="Calibri"/>
        </w:rPr>
        <w:t xml:space="preserve">ZoZ mali v roku 2023 absolútne najväčší záujem o odborné kurzy súvisiace s profesiou vodiča motorových vozidiel (7 130 ZoZ; 25,85 %), v ďalekom slede za nimi nasledovali počítačové kurzy (4 383 ZoZ; 15,89 %) a kurzy Anglického jazyka (2 592 ZoZ; 9,40 %). Prehľad ZoZ zaradených na vzdelávanie v roku 2023 v štruktúre podľa jednotlivých vzdelávacích </w:t>
      </w:r>
      <w:r w:rsidR="00EE25A2">
        <w:rPr>
          <w:rFonts w:eastAsia="Calibri"/>
        </w:rPr>
        <w:t xml:space="preserve">kategórií je znázornený v nasledujúcom grafe. </w:t>
      </w:r>
    </w:p>
    <w:p w14:paraId="33BC638D" w14:textId="77777777" w:rsidR="00021050" w:rsidRPr="00021050" w:rsidRDefault="00021050" w:rsidP="00021050">
      <w:pPr>
        <w:spacing w:before="40" w:after="120"/>
        <w:ind w:hanging="6"/>
        <w:jc w:val="left"/>
        <w:rPr>
          <w:rFonts w:eastAsia="Calibri"/>
        </w:rPr>
      </w:pPr>
    </w:p>
    <w:p w14:paraId="5D43F5BB" w14:textId="714BB12B" w:rsidR="00021050" w:rsidRDefault="00021050" w:rsidP="00021050">
      <w:pPr>
        <w:spacing w:before="40" w:after="120"/>
        <w:ind w:firstLine="0"/>
        <w:jc w:val="center"/>
        <w:rPr>
          <w:rFonts w:eastAsiaTheme="minorHAnsi"/>
        </w:rPr>
      </w:pPr>
      <w:r w:rsidRPr="00021050">
        <w:rPr>
          <w:rFonts w:eastAsiaTheme="minorHAnsi"/>
          <w:noProof/>
        </w:rPr>
        <w:lastRenderedPageBreak/>
        <w:drawing>
          <wp:inline distT="0" distB="0" distL="0" distR="0" wp14:anchorId="18F7EB8F" wp14:editId="39536940">
            <wp:extent cx="5829300" cy="3649345"/>
            <wp:effectExtent l="0" t="0" r="0" b="8255"/>
            <wp:docPr id="9" name="Graf 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D8B887" w14:textId="162C67DB" w:rsidR="00CA36D1" w:rsidRDefault="00CA36D1" w:rsidP="00021050">
      <w:pPr>
        <w:spacing w:before="40" w:after="120"/>
        <w:ind w:firstLine="0"/>
        <w:jc w:val="center"/>
        <w:rPr>
          <w:rFonts w:eastAsiaTheme="minorHAnsi"/>
        </w:rPr>
      </w:pPr>
    </w:p>
    <w:p w14:paraId="6564C4E3" w14:textId="610FEC94" w:rsidR="00374BBA" w:rsidRPr="00C35CA8" w:rsidRDefault="006A41F2" w:rsidP="00670DAF">
      <w:pPr>
        <w:pStyle w:val="Nadpis1"/>
        <w:numPr>
          <w:ilvl w:val="0"/>
          <w:numId w:val="0"/>
        </w:numPr>
        <w:spacing w:before="120"/>
        <w:ind w:left="357" w:hanging="357"/>
        <w:jc w:val="both"/>
        <w:rPr>
          <w:color w:val="auto"/>
        </w:rPr>
      </w:pPr>
      <w:bookmarkStart w:id="103" w:name="_Toc173741562"/>
      <w:r w:rsidRPr="00C35CA8">
        <w:rPr>
          <w:caps/>
        </w:rPr>
        <w:t>4</w:t>
      </w:r>
      <w:r w:rsidRPr="00C35CA8">
        <w:rPr>
          <w:caps/>
        </w:rPr>
        <w:tab/>
      </w:r>
      <w:r w:rsidR="009D51D7" w:rsidRPr="00C35CA8">
        <w:t xml:space="preserve">VYHODNOTENIE UPLATŇOVANIA </w:t>
      </w:r>
      <w:r w:rsidR="00896D68" w:rsidRPr="00C35CA8">
        <w:t>AKTÍVNYCH OPATRENÍ TRHU PRÁCE</w:t>
      </w:r>
      <w:r w:rsidRPr="00C35CA8">
        <w:br/>
      </w:r>
      <w:r w:rsidR="009D51D7" w:rsidRPr="00C35CA8">
        <w:t>ZAMERANÝCH</w:t>
      </w:r>
      <w:bookmarkEnd w:id="99"/>
      <w:r w:rsidR="009D51D7" w:rsidRPr="00C35CA8">
        <w:t xml:space="preserve"> </w:t>
      </w:r>
      <w:bookmarkStart w:id="104" w:name="_Toc514941051"/>
      <w:r w:rsidR="009D51D7" w:rsidRPr="00C35CA8">
        <w:t xml:space="preserve">NA </w:t>
      </w:r>
      <w:r w:rsidR="009D51D7" w:rsidRPr="007A488E">
        <w:rPr>
          <w:u w:val="single"/>
        </w:rPr>
        <w:t>ZVÝŠENIE</w:t>
      </w:r>
      <w:r w:rsidR="009256B3" w:rsidRPr="007A488E">
        <w:rPr>
          <w:u w:val="single"/>
        </w:rPr>
        <w:t xml:space="preserve"> </w:t>
      </w:r>
      <w:r w:rsidR="009D51D7" w:rsidRPr="007A488E">
        <w:rPr>
          <w:color w:val="auto"/>
          <w:u w:val="single"/>
        </w:rPr>
        <w:t>ZAMESTNANOSTI</w:t>
      </w:r>
      <w:bookmarkEnd w:id="100"/>
      <w:bookmarkEnd w:id="103"/>
      <w:bookmarkEnd w:id="104"/>
      <w:r w:rsidR="009D51D7" w:rsidRPr="00C35CA8">
        <w:rPr>
          <w:color w:val="auto"/>
        </w:rPr>
        <w:t xml:space="preserve"> </w:t>
      </w:r>
    </w:p>
    <w:p w14:paraId="6FBFCC73" w14:textId="0CAA1C58" w:rsidR="00682942" w:rsidRPr="008F210F" w:rsidRDefault="00BD3620" w:rsidP="008F210F">
      <w:pPr>
        <w:pStyle w:val="Nadpis20"/>
        <w:tabs>
          <w:tab w:val="left" w:pos="567"/>
        </w:tabs>
        <w:jc w:val="both"/>
        <w:rPr>
          <w:color w:val="000000" w:themeColor="text1"/>
        </w:rPr>
      </w:pPr>
      <w:bookmarkStart w:id="105" w:name="_Toc514941052"/>
      <w:bookmarkStart w:id="106" w:name="_Toc37094609"/>
      <w:bookmarkStart w:id="107" w:name="_Hlk103524932"/>
      <w:bookmarkStart w:id="108" w:name="_Toc173741563"/>
      <w:bookmarkEnd w:id="101"/>
      <w:bookmarkEnd w:id="102"/>
      <w:r w:rsidRPr="00C35CA8">
        <w:t>4</w:t>
      </w:r>
      <w:r w:rsidR="00374BBA" w:rsidRPr="00C35CA8">
        <w:t>.1</w:t>
      </w:r>
      <w:bookmarkStart w:id="109" w:name="_Hlk103525832"/>
      <w:bookmarkStart w:id="110" w:name="_Toc514941056"/>
      <w:bookmarkStart w:id="111" w:name="_Toc37094614"/>
      <w:bookmarkStart w:id="112" w:name="_Hlk37971798"/>
      <w:bookmarkEnd w:id="105"/>
      <w:bookmarkEnd w:id="106"/>
      <w:bookmarkEnd w:id="107"/>
      <w:r w:rsidR="008F210F">
        <w:t xml:space="preserve"> </w:t>
      </w:r>
      <w:r w:rsidR="00682942" w:rsidRPr="00C35CA8">
        <w:t>Príspevok na vytvorenie nového pracovného miesta - § 53d zákona o</w:t>
      </w:r>
      <w:r w:rsidR="007F102E" w:rsidRPr="00C35CA8">
        <w:t> </w:t>
      </w:r>
      <w:r w:rsidR="00682942" w:rsidRPr="00C35CA8">
        <w:t>službách</w:t>
      </w:r>
      <w:r w:rsidR="007F102E" w:rsidRPr="00C35CA8">
        <w:br/>
        <w:t xml:space="preserve">       </w:t>
      </w:r>
      <w:r w:rsidR="00682942" w:rsidRPr="00C35CA8">
        <w:t xml:space="preserve"> zamestnanosti</w:t>
      </w:r>
      <w:bookmarkEnd w:id="108"/>
    </w:p>
    <w:p w14:paraId="59A8791B" w14:textId="457C178A" w:rsidR="00E23598" w:rsidRPr="00E23598" w:rsidRDefault="008A5537" w:rsidP="008F210F">
      <w:pPr>
        <w:widowControl w:val="0"/>
        <w:suppressAutoHyphens/>
        <w:autoSpaceDN w:val="0"/>
        <w:spacing w:before="120" w:after="120"/>
        <w:ind w:firstLine="0"/>
        <w:textAlignment w:val="baseline"/>
        <w:rPr>
          <w:rFonts w:eastAsia="Calibri"/>
          <w:b/>
          <w:kern w:val="3"/>
        </w:rPr>
      </w:pPr>
      <w:bookmarkStart w:id="113" w:name="_Hlk103526048"/>
      <w:bookmarkEnd w:id="109"/>
      <w:r>
        <w:rPr>
          <w:rFonts w:eastAsia="Calibri"/>
          <w:kern w:val="3"/>
        </w:rPr>
        <w:t>Pozrieť kapitolu, str. 12</w:t>
      </w:r>
      <w:r w:rsidR="00E23598" w:rsidRPr="00E23598">
        <w:rPr>
          <w:rFonts w:eastAsia="Calibri"/>
          <w:kern w:val="3"/>
        </w:rPr>
        <w:t xml:space="preserve"> </w:t>
      </w:r>
      <w:r w:rsidR="00E23598">
        <w:rPr>
          <w:rFonts w:eastAsia="Calibri"/>
          <w:kern w:val="3"/>
        </w:rPr>
        <w:t xml:space="preserve">- </w:t>
      </w:r>
      <w:r w:rsidR="00E23598" w:rsidRPr="00E23598">
        <w:rPr>
          <w:rFonts w:eastAsia="Calibri"/>
          <w:b/>
          <w:kern w:val="3"/>
        </w:rPr>
        <w:t>Poskytnutá investičná pomoc investorom</w:t>
      </w:r>
      <w:r w:rsidR="00E23598">
        <w:rPr>
          <w:rFonts w:eastAsia="Calibri"/>
          <w:b/>
          <w:kern w:val="3"/>
        </w:rPr>
        <w:t xml:space="preserve"> </w:t>
      </w:r>
    </w:p>
    <w:p w14:paraId="2FCB1A10" w14:textId="521A3E47" w:rsidR="00682942" w:rsidRPr="00C35CA8" w:rsidRDefault="00956C27" w:rsidP="00E23598">
      <w:pPr>
        <w:pStyle w:val="Nadpis20"/>
        <w:spacing w:after="0"/>
        <w:ind w:left="567" w:hanging="567"/>
      </w:pPr>
      <w:bookmarkStart w:id="114" w:name="_Toc173741564"/>
      <w:r w:rsidRPr="00C35CA8">
        <w:t>4</w:t>
      </w:r>
      <w:r w:rsidR="008F210F">
        <w:t>.2</w:t>
      </w:r>
      <w:r w:rsidR="00FC74C5" w:rsidRPr="00C35CA8">
        <w:t xml:space="preserve">   </w:t>
      </w:r>
      <w:r w:rsidR="00682942" w:rsidRPr="00C35CA8">
        <w:t xml:space="preserve">Umiestňovací </w:t>
      </w:r>
      <w:r w:rsidR="008F210F" w:rsidRPr="008F210F">
        <w:t>príspevok</w:t>
      </w:r>
      <w:r w:rsidR="008F210F">
        <w:t xml:space="preserve"> - </w:t>
      </w:r>
      <w:r w:rsidR="008F210F" w:rsidRPr="008F210F">
        <w:t>§ 19</w:t>
      </w:r>
      <w:r w:rsidR="008F210F">
        <w:t>a zákona o sociálnej ekonomike</w:t>
      </w:r>
      <w:bookmarkEnd w:id="114"/>
    </w:p>
    <w:p w14:paraId="1CD117FB" w14:textId="77777777" w:rsidR="008F210F" w:rsidRPr="008F210F" w:rsidRDefault="008F210F" w:rsidP="008F210F">
      <w:pPr>
        <w:spacing w:before="120" w:after="0" w:line="259" w:lineRule="auto"/>
        <w:ind w:hanging="6"/>
        <w:rPr>
          <w:rFonts w:eastAsia="Calibri"/>
          <w:lang w:eastAsia="en-US"/>
        </w:rPr>
      </w:pPr>
      <w:bookmarkStart w:id="115" w:name="_Hlk37971852"/>
      <w:bookmarkEnd w:id="110"/>
      <w:bookmarkEnd w:id="111"/>
      <w:bookmarkEnd w:id="112"/>
      <w:bookmarkEnd w:id="113"/>
      <w:r w:rsidRPr="008F210F">
        <w:rPr>
          <w:rFonts w:eastAsia="Calibri"/>
          <w:lang w:eastAsia="en-US"/>
        </w:rPr>
        <w:t>S účinnosťou od 1. 1. 2023 bol umiestňovací príspevok integračnému podniku podľa § 53f zákona o službách zamestnanosti zrušený a bol nahradený umiestňovacím príspevkom integračnému podniku podľa § 19a zákona o sociálnej ekonomike.</w:t>
      </w:r>
    </w:p>
    <w:p w14:paraId="1C91B5C7" w14:textId="596AC738" w:rsidR="008F210F" w:rsidRPr="00377F2D" w:rsidRDefault="008F210F" w:rsidP="008F210F">
      <w:pPr>
        <w:spacing w:before="120" w:after="0" w:line="259" w:lineRule="auto"/>
        <w:ind w:hanging="6"/>
        <w:rPr>
          <w:rFonts w:eastAsia="Calibri"/>
          <w:lang w:eastAsia="en-US"/>
        </w:rPr>
      </w:pPr>
      <w:r w:rsidRPr="008F210F">
        <w:rPr>
          <w:rFonts w:eastAsia="Calibri"/>
          <w:lang w:eastAsia="en-US"/>
        </w:rPr>
        <w:t xml:space="preserve">Úrad poskytne umiestňovací príspevok integračnému podniku na základe uzatvorenej písomnej dohody, ktorý skončí dohodou pracovný pomer najneskôr do dvoch rokov od vzniku tohto </w:t>
      </w:r>
      <w:r w:rsidRPr="00377F2D">
        <w:rPr>
          <w:rFonts w:eastAsia="Calibri"/>
          <w:lang w:eastAsia="en-US"/>
        </w:rPr>
        <w:t>pracovného pomeru so zamestnancom, ktorý bol znevýhodnenou oso</w:t>
      </w:r>
      <w:r w:rsidR="00E23598" w:rsidRPr="00377F2D">
        <w:rPr>
          <w:rFonts w:eastAsia="Calibri"/>
          <w:lang w:eastAsia="en-US"/>
        </w:rPr>
        <w:t xml:space="preserve">bou v zmysle § 2 ods. 5 zákona </w:t>
      </w:r>
      <w:r w:rsidRPr="00377F2D">
        <w:rPr>
          <w:rFonts w:eastAsia="Calibri"/>
          <w:lang w:eastAsia="en-US"/>
        </w:rPr>
        <w:t>o sociálnej ekonomike a ktorému najneskôr do jedného mesiaca odo dňa skončenia pracovného pomeru v integračnom podniku vznikol pracovný pomer u zamestnávateľa, ktorý nie je integračným podnikom, závislou osobou integračného podniku, ani CHD.</w:t>
      </w:r>
    </w:p>
    <w:p w14:paraId="2130284C" w14:textId="77777777" w:rsidR="00E23598" w:rsidRPr="00377F2D" w:rsidRDefault="008F210F" w:rsidP="00ED7654">
      <w:bookmarkStart w:id="116" w:name="_Toc167978059"/>
      <w:r w:rsidRPr="00377F2D">
        <w:t>V roku 2023 bolo podporených len 13 osôb, čo je síce o 8 osôb viac ako v roku 2022 na § 53f, no aj tak ide o zanedbateľný počet.</w:t>
      </w:r>
      <w:bookmarkEnd w:id="116"/>
      <w:r w:rsidRPr="00377F2D">
        <w:t xml:space="preserve"> </w:t>
      </w:r>
    </w:p>
    <w:p w14:paraId="5728F0CE" w14:textId="7DBC67D8" w:rsidR="008F210F" w:rsidRPr="00377F2D" w:rsidRDefault="008F210F" w:rsidP="00ED7654">
      <w:bookmarkStart w:id="117" w:name="_Toc167978060"/>
      <w:r w:rsidRPr="00377F2D">
        <w:t>Celková čerpaná suma za rok 2023 na § 19a bola len 6</w:t>
      </w:r>
      <w:r w:rsidR="00E23598" w:rsidRPr="00377F2D">
        <w:t> </w:t>
      </w:r>
      <w:r w:rsidRPr="00377F2D">
        <w:t>680</w:t>
      </w:r>
      <w:r w:rsidR="00E23598" w:rsidRPr="00377F2D">
        <w:t xml:space="preserve"> eur</w:t>
      </w:r>
      <w:r w:rsidRPr="00377F2D">
        <w:t xml:space="preserve"> a na § 53f 4 769 </w:t>
      </w:r>
      <w:r w:rsidR="00E23598" w:rsidRPr="00377F2D">
        <w:t>eur</w:t>
      </w:r>
      <w:r w:rsidRPr="00377F2D">
        <w:t>, čo spolu preds</w:t>
      </w:r>
      <w:r w:rsidR="00E23598" w:rsidRPr="00377F2D">
        <w:t>tavuje 11 448 eur. Je to o 7 325 eur</w:t>
      </w:r>
      <w:r w:rsidRPr="00377F2D">
        <w:t xml:space="preserve"> menej ako v roku 2022 na § 53f.</w:t>
      </w:r>
      <w:bookmarkEnd w:id="117"/>
      <w:r w:rsidRPr="00377F2D">
        <w:t> </w:t>
      </w:r>
    </w:p>
    <w:p w14:paraId="6C055CEB" w14:textId="22A8F26C" w:rsidR="00A06B65" w:rsidRPr="00377F2D" w:rsidRDefault="00A06B65" w:rsidP="00A06B65"/>
    <w:p w14:paraId="4668CECF" w14:textId="3C41F519" w:rsidR="00AC0170" w:rsidRDefault="00AC0170" w:rsidP="00A06B65"/>
    <w:p w14:paraId="49649A72" w14:textId="77777777" w:rsidR="00ED7654" w:rsidRPr="00377F2D" w:rsidRDefault="00ED7654" w:rsidP="00A06B65"/>
    <w:p w14:paraId="62E893DE" w14:textId="06B6EDBD" w:rsidR="00AC0170" w:rsidRDefault="00AC0170" w:rsidP="00A06B65"/>
    <w:p w14:paraId="32CB14A6" w14:textId="7F6476C7" w:rsidR="00AC0170" w:rsidRDefault="00AC0170" w:rsidP="00A06B65"/>
    <w:p w14:paraId="698F6DE1" w14:textId="738258A7" w:rsidR="00EF0CEF" w:rsidRPr="00C35CA8" w:rsidRDefault="00EF0CEF" w:rsidP="00A06B65">
      <w:pPr>
        <w:pStyle w:val="Nadpis1"/>
        <w:numPr>
          <w:ilvl w:val="0"/>
          <w:numId w:val="0"/>
        </w:numPr>
        <w:tabs>
          <w:tab w:val="clear" w:pos="454"/>
          <w:tab w:val="left" w:pos="142"/>
          <w:tab w:val="left" w:pos="284"/>
        </w:tabs>
        <w:spacing w:before="120"/>
        <w:ind w:left="278" w:hanging="278"/>
        <w:jc w:val="both"/>
      </w:pPr>
      <w:bookmarkStart w:id="118" w:name="_Toc173741565"/>
      <w:r w:rsidRPr="00C35CA8">
        <w:lastRenderedPageBreak/>
        <w:t>5</w:t>
      </w:r>
      <w:r w:rsidR="00B948D4" w:rsidRPr="00C35CA8">
        <w:tab/>
      </w:r>
      <w:r w:rsidR="00B948D4" w:rsidRPr="00C35CA8">
        <w:tab/>
      </w:r>
      <w:r w:rsidRPr="00C35CA8">
        <w:t xml:space="preserve">VYHODNOTENIE UPLATŇOVANIA AOTP ZAMERANÝCH NA </w:t>
      </w:r>
      <w:r w:rsidRPr="007A488E">
        <w:rPr>
          <w:u w:val="single"/>
        </w:rPr>
        <w:t>UDRŽANIE</w:t>
      </w:r>
      <w:r w:rsidR="00B948D4" w:rsidRPr="00C35CA8">
        <w:t xml:space="preserve"> </w:t>
      </w:r>
      <w:r w:rsidRPr="007A488E">
        <w:rPr>
          <w:u w:val="single"/>
        </w:rPr>
        <w:t>ZAMESTNANOSTI</w:t>
      </w:r>
      <w:r w:rsidRPr="00C35CA8">
        <w:t xml:space="preserve"> (UDRŽANIE EXISTUJÚCICH PRACOVNÝCH MIEST)</w:t>
      </w:r>
      <w:bookmarkEnd w:id="118"/>
    </w:p>
    <w:p w14:paraId="13BCADE1" w14:textId="4910FCAE" w:rsidR="006E5E2D" w:rsidRPr="00C35CA8" w:rsidRDefault="00EA35D1" w:rsidP="00E4601E">
      <w:pPr>
        <w:pStyle w:val="Nadpis20"/>
        <w:tabs>
          <w:tab w:val="left" w:pos="567"/>
        </w:tabs>
        <w:jc w:val="both"/>
      </w:pPr>
      <w:bookmarkStart w:id="119" w:name="_Toc514941059"/>
      <w:bookmarkStart w:id="120" w:name="_Toc37094617"/>
      <w:bookmarkStart w:id="121" w:name="_Hlk103527504"/>
      <w:bookmarkStart w:id="122" w:name="_Toc173741566"/>
      <w:bookmarkEnd w:id="115"/>
      <w:r w:rsidRPr="00C35CA8">
        <w:t>5</w:t>
      </w:r>
      <w:r w:rsidR="002141E4" w:rsidRPr="00C35CA8">
        <w:t>.1</w:t>
      </w:r>
      <w:r w:rsidR="002141E4" w:rsidRPr="00C35CA8">
        <w:tab/>
      </w:r>
      <w:bookmarkStart w:id="123" w:name="_Hlk37971860"/>
      <w:bookmarkEnd w:id="119"/>
      <w:bookmarkEnd w:id="120"/>
      <w:r w:rsidR="00E4601E" w:rsidRPr="00C35CA8">
        <w:t>Príspevok na dochádzku za prácou - § 53 zákona o službách zamestnanosti</w:t>
      </w:r>
      <w:bookmarkStart w:id="124" w:name="_Hlk37971887"/>
      <w:bookmarkStart w:id="125" w:name="_Hlk103527531"/>
      <w:bookmarkEnd w:id="121"/>
      <w:bookmarkEnd w:id="122"/>
      <w:bookmarkEnd w:id="123"/>
    </w:p>
    <w:p w14:paraId="1E076B83" w14:textId="77777777" w:rsidR="00E4601E" w:rsidRPr="00E4601E" w:rsidRDefault="00E4601E" w:rsidP="00E4601E">
      <w:pPr>
        <w:spacing w:after="0"/>
        <w:ind w:firstLine="0"/>
      </w:pPr>
      <w:bookmarkStart w:id="126" w:name="_Toc515876435"/>
      <w:bookmarkStart w:id="127" w:name="_Toc37094620"/>
      <w:bookmarkEnd w:id="124"/>
      <w:bookmarkEnd w:id="125"/>
      <w:r w:rsidRPr="00E4601E">
        <w:t>Príspevok sa poskytuje mesačne na úhradu časti cestovných výdavkov na dochádzku z miesta trvalého pobytu alebo z miesta prechodného pobytu zamestnanca do miesta výkonu zamestnania uvedeného v pracovnej zmluve a späť.</w:t>
      </w:r>
    </w:p>
    <w:p w14:paraId="28016209" w14:textId="31B840A1" w:rsidR="00E4601E" w:rsidRDefault="00E4601E" w:rsidP="006A0969">
      <w:pPr>
        <w:spacing w:before="120" w:after="0"/>
        <w:ind w:firstLine="0"/>
      </w:pPr>
      <w:r w:rsidRPr="00E4601E">
        <w:t xml:space="preserve">V roku 2023 bolo prijatých 22 541 žiadostí na dochádzku za prácou, z ktorých bolo schválených 19 809 (87,88 %). V roku 2023 bol príspevok na dochádzku za prácou poskytnutý celkom 20 666 žiadateľom, z toho 8 330 mužom (40,31 %) a 12 336 ženám (59,69 %) v celkovej poskytnutej sume finančných prostriedkov 7 623 137 eur. V roku 2023, v porovnaní s predchádzajúcim rokom, sme zaznamenali zvýšenie celkovej poskytnutej sumy finančných prostriedkov o 2 968 941 eur. Z hľadiska vekovej štruktúry bolo podporených 10 902 žiadateľov vo veku od 30 do 49 rokov vrátane (52,75 %), 4 299 žiadateľov vo veku nad 50 rokov (20,8 %), 2 801 žiadateľov vo veku od 25 do 29 rokov (13,55 %) a 2 664 žiadateľov vo veku do </w:t>
      </w:r>
      <w:r w:rsidR="006A0969">
        <w:t xml:space="preserve">24 rokov, čo predstavuje      (12,89 %) </w:t>
      </w:r>
      <w:r w:rsidRPr="00E4601E">
        <w:t>v štruktúre podľa grafu</w:t>
      </w:r>
      <w:r>
        <w:t xml:space="preserve"> nižšie.</w:t>
      </w:r>
    </w:p>
    <w:p w14:paraId="581ABC53" w14:textId="77777777" w:rsidR="00E4601E" w:rsidRPr="00E4601E" w:rsidRDefault="00E4601E" w:rsidP="00E4601E">
      <w:pPr>
        <w:spacing w:after="0"/>
        <w:ind w:firstLine="0"/>
      </w:pPr>
      <w:r w:rsidRPr="00E4601E">
        <w:rPr>
          <w:noProof/>
        </w:rPr>
        <w:drawing>
          <wp:anchor distT="0" distB="0" distL="114300" distR="114300" simplePos="0" relativeHeight="252531200" behindDoc="1" locked="0" layoutInCell="1" allowOverlap="1" wp14:anchorId="085ADD44" wp14:editId="334845E3">
            <wp:simplePos x="0" y="0"/>
            <wp:positionH relativeFrom="margin">
              <wp:align>right</wp:align>
            </wp:positionH>
            <wp:positionV relativeFrom="paragraph">
              <wp:posOffset>86360</wp:posOffset>
            </wp:positionV>
            <wp:extent cx="5835650" cy="3132814"/>
            <wp:effectExtent l="0" t="0" r="12700" b="10795"/>
            <wp:wrapNone/>
            <wp:docPr id="465" name="Graf 46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14B799D1" w14:textId="77777777" w:rsidR="00E4601E" w:rsidRPr="00E4601E" w:rsidRDefault="00E4601E" w:rsidP="00E4601E">
      <w:pPr>
        <w:spacing w:after="0"/>
        <w:ind w:firstLine="0"/>
      </w:pPr>
    </w:p>
    <w:p w14:paraId="62949C59" w14:textId="77777777" w:rsidR="00E4601E" w:rsidRPr="00E4601E" w:rsidRDefault="00E4601E" w:rsidP="00E4601E">
      <w:pPr>
        <w:spacing w:after="0"/>
        <w:ind w:firstLine="0"/>
      </w:pPr>
    </w:p>
    <w:p w14:paraId="7A3EEFB9" w14:textId="77777777" w:rsidR="00E4601E" w:rsidRPr="00E4601E" w:rsidRDefault="00E4601E" w:rsidP="00E4601E">
      <w:pPr>
        <w:spacing w:after="0"/>
        <w:ind w:firstLine="0"/>
      </w:pPr>
    </w:p>
    <w:p w14:paraId="5B7F93E7" w14:textId="77777777" w:rsidR="00E4601E" w:rsidRPr="00E4601E" w:rsidRDefault="00E4601E" w:rsidP="00E4601E">
      <w:pPr>
        <w:spacing w:after="0"/>
        <w:ind w:firstLine="0"/>
      </w:pPr>
      <w:r w:rsidRPr="00E4601E">
        <w:tab/>
      </w:r>
    </w:p>
    <w:p w14:paraId="4859DCF5" w14:textId="77777777" w:rsidR="00E4601E" w:rsidRPr="00E4601E" w:rsidRDefault="00E4601E" w:rsidP="00E4601E">
      <w:pPr>
        <w:spacing w:after="0"/>
        <w:ind w:firstLine="0"/>
      </w:pPr>
    </w:p>
    <w:p w14:paraId="3A7E8D41" w14:textId="77777777" w:rsidR="00E4601E" w:rsidRPr="00E4601E" w:rsidRDefault="00E4601E" w:rsidP="00E4601E">
      <w:pPr>
        <w:spacing w:after="0"/>
        <w:ind w:firstLine="0"/>
      </w:pPr>
      <w:r w:rsidRPr="00E4601E">
        <w:tab/>
      </w:r>
    </w:p>
    <w:p w14:paraId="23FDBFD2" w14:textId="77777777" w:rsidR="00E4601E" w:rsidRPr="00E4601E" w:rsidRDefault="00E4601E" w:rsidP="00E4601E">
      <w:pPr>
        <w:spacing w:after="0"/>
        <w:ind w:firstLine="0"/>
      </w:pPr>
    </w:p>
    <w:p w14:paraId="58B4A086" w14:textId="77777777" w:rsidR="00E4601E" w:rsidRPr="00E4601E" w:rsidRDefault="00E4601E" w:rsidP="00E4601E">
      <w:pPr>
        <w:spacing w:after="0"/>
        <w:ind w:firstLine="0"/>
      </w:pPr>
    </w:p>
    <w:p w14:paraId="247F083A" w14:textId="77777777" w:rsidR="00E4601E" w:rsidRPr="00E4601E" w:rsidRDefault="00E4601E" w:rsidP="00E4601E">
      <w:pPr>
        <w:spacing w:after="0"/>
        <w:ind w:firstLine="0"/>
      </w:pPr>
    </w:p>
    <w:p w14:paraId="386B60DA" w14:textId="77777777" w:rsidR="00E4601E" w:rsidRPr="00E4601E" w:rsidRDefault="00E4601E" w:rsidP="00E4601E">
      <w:pPr>
        <w:spacing w:after="0"/>
        <w:ind w:firstLine="0"/>
      </w:pPr>
    </w:p>
    <w:p w14:paraId="609DF3C8" w14:textId="77777777" w:rsidR="00E4601E" w:rsidRDefault="00E4601E" w:rsidP="00E4601E">
      <w:pPr>
        <w:spacing w:after="0"/>
        <w:ind w:firstLine="0"/>
      </w:pPr>
    </w:p>
    <w:p w14:paraId="731A305D" w14:textId="77777777" w:rsidR="00E4601E" w:rsidRDefault="00E4601E" w:rsidP="00E4601E">
      <w:pPr>
        <w:spacing w:after="0"/>
        <w:ind w:firstLine="0"/>
      </w:pPr>
    </w:p>
    <w:p w14:paraId="50476103" w14:textId="77777777" w:rsidR="00E4601E" w:rsidRDefault="00E4601E" w:rsidP="00E4601E">
      <w:pPr>
        <w:spacing w:after="0"/>
        <w:ind w:firstLine="0"/>
      </w:pPr>
    </w:p>
    <w:p w14:paraId="74545DBE" w14:textId="77777777" w:rsidR="00E4601E" w:rsidRDefault="00E4601E" w:rsidP="00E4601E">
      <w:pPr>
        <w:spacing w:after="0"/>
        <w:ind w:firstLine="0"/>
      </w:pPr>
    </w:p>
    <w:p w14:paraId="43A18680" w14:textId="77777777" w:rsidR="00E4601E" w:rsidRDefault="00E4601E" w:rsidP="00E4601E">
      <w:pPr>
        <w:spacing w:after="0"/>
        <w:ind w:firstLine="0"/>
      </w:pPr>
    </w:p>
    <w:p w14:paraId="605BE84C" w14:textId="77777777" w:rsidR="00E4601E" w:rsidRDefault="00E4601E" w:rsidP="00E4601E">
      <w:pPr>
        <w:spacing w:after="0"/>
        <w:ind w:firstLine="0"/>
      </w:pPr>
    </w:p>
    <w:p w14:paraId="366E1D9B" w14:textId="77777777" w:rsidR="00E4601E" w:rsidRDefault="00E4601E" w:rsidP="00E4601E">
      <w:pPr>
        <w:spacing w:after="0"/>
        <w:ind w:firstLine="0"/>
      </w:pPr>
    </w:p>
    <w:p w14:paraId="38CC7345" w14:textId="77777777" w:rsidR="00E4601E" w:rsidRDefault="00E4601E" w:rsidP="00E4601E">
      <w:pPr>
        <w:spacing w:after="0"/>
        <w:ind w:firstLine="0"/>
      </w:pPr>
    </w:p>
    <w:p w14:paraId="0A6F657D" w14:textId="17A890EC" w:rsidR="00E4601E" w:rsidRPr="00E4601E" w:rsidRDefault="00E4601E" w:rsidP="00E4601E">
      <w:pPr>
        <w:spacing w:after="0"/>
        <w:ind w:firstLine="0"/>
      </w:pPr>
      <w:r w:rsidRPr="00E4601E">
        <w:t>Z hľadiska znevýhodnenia UoZ, ktorým bol poskytnutý príspevok na dochádzku za prácou, bolo 13 680 znevýhodnených UoZ, čo predstavuje 66,2 % z celkového počtu 20 666 zaradených klientov. Z hľadiska znevýhodnenia UoZ, najvyšší podiel tvorili občania, ktorí najmenej 12 po sebe nasledujúcich kalendárnych mesiacov pred zaradením do evidencie UoZ nemali pravidelne platené zamestnanie v počte 8 009 žiadateľov (58,55 %). Dlhodobo nezamestnaní občania tvorili druhú najpočetnejšiu skupinu znevýhodnených UoZ v počte 4 404 žiadateľov (32,19 %) a treťou najpočetnejšou skupinou znevýhodnených UoZ boli občania starší ako 50 rokov veku v počte 4 271 žiadateľov (31,22 %).</w:t>
      </w:r>
    </w:p>
    <w:p w14:paraId="6E951B2A" w14:textId="16E6CAB5" w:rsidR="00E4601E" w:rsidRPr="00E4601E" w:rsidRDefault="006A0969" w:rsidP="006A0969">
      <w:pPr>
        <w:spacing w:before="120" w:after="0"/>
        <w:ind w:firstLine="0"/>
      </w:pPr>
      <w:r>
        <w:t xml:space="preserve">Podľa </w:t>
      </w:r>
      <w:r w:rsidR="00E4601E" w:rsidRPr="00E4601E">
        <w:t>dosiahnutého stupňa vzdelania, najväčšiu skupinu zaradených tvorili UoZ s úplným stredným odborným vzdelaním v počte 7 426 (35,93 %), ďalšiu početnú skupinu tvorili UoZ s vysokoškolským vzdelaním druhého stupňa v počte 4 534 (21,94 %), UoZ so stredným odborným vzdelaním v počte 4 465 (21,61 %) a iní, v</w:t>
      </w:r>
      <w:r>
        <w:t>iď nasledujúci  grafu</w:t>
      </w:r>
      <w:r w:rsidR="00E4601E" w:rsidRPr="00E4601E">
        <w:t>.</w:t>
      </w:r>
    </w:p>
    <w:p w14:paraId="69400148" w14:textId="7B138BA1" w:rsidR="00E4601E" w:rsidRPr="00E4601E" w:rsidRDefault="00E4601E" w:rsidP="00E4601E">
      <w:pPr>
        <w:spacing w:after="0"/>
        <w:ind w:firstLine="0"/>
      </w:pPr>
      <w:r w:rsidRPr="00E4601E">
        <w:rPr>
          <w:noProof/>
        </w:rPr>
        <w:lastRenderedPageBreak/>
        <w:drawing>
          <wp:anchor distT="0" distB="0" distL="114300" distR="114300" simplePos="0" relativeHeight="252533248" behindDoc="0" locked="0" layoutInCell="1" allowOverlap="1" wp14:anchorId="627A6FD3" wp14:editId="29AAC2DE">
            <wp:simplePos x="0" y="0"/>
            <wp:positionH relativeFrom="margin">
              <wp:align>left</wp:align>
            </wp:positionH>
            <wp:positionV relativeFrom="paragraph">
              <wp:posOffset>196850</wp:posOffset>
            </wp:positionV>
            <wp:extent cx="5819775" cy="3251835"/>
            <wp:effectExtent l="0" t="0" r="9525" b="5715"/>
            <wp:wrapTopAndBottom/>
            <wp:docPr id="236" name="Graf 23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577E1E11" w14:textId="4709B9D5" w:rsidR="00E4601E" w:rsidRPr="00E4601E" w:rsidRDefault="00E4601E" w:rsidP="006A0969">
      <w:pPr>
        <w:spacing w:before="120" w:after="0"/>
        <w:ind w:firstLine="0"/>
      </w:pPr>
      <w:r w:rsidRPr="00E4601E">
        <w:t>Z hľadiska doby evidencie, najväčšiu skupinu tvorili UoZ, ktorí boli v evi</w:t>
      </w:r>
      <w:r w:rsidR="006A0969">
        <w:t xml:space="preserve">dencii UoZ od 4 do 6 mesiacov - </w:t>
      </w:r>
      <w:r w:rsidRPr="00E4601E">
        <w:t>8 789 (42,53 %), ďalšiu skupinu tvorili UoZ vedení v evid</w:t>
      </w:r>
      <w:r w:rsidR="006A0969">
        <w:t xml:space="preserve">encii UoZ od 7 do 12 mesiacov - </w:t>
      </w:r>
      <w:r w:rsidRPr="00E4601E">
        <w:t xml:space="preserve">6 749 (32,66 %). Tretiu skupinu tvorili UoZ, ktorí boli vedení v evidencii UoZ od 13 do 24 mesiacov v počte 2 644 (12,79 %). Nasledovali UoZ vedení v evidencii UoZ nad 24 mesiacov v počte 1 646 (7,96 %) a UoZ vedení v evidencii UoZ od 0 do 3 </w:t>
      </w:r>
      <w:r w:rsidR="006A0969">
        <w:t xml:space="preserve">mesiacov v počte 838 (4,05 %) </w:t>
      </w:r>
      <w:r w:rsidRPr="00E4601E">
        <w:t>v štruktúre podľa</w:t>
      </w:r>
      <w:r w:rsidR="006A0969">
        <w:t xml:space="preserve"> nasledujúceho </w:t>
      </w:r>
      <w:r w:rsidRPr="00E4601E">
        <w:t>grafu.</w:t>
      </w:r>
    </w:p>
    <w:p w14:paraId="42410741" w14:textId="576C2C22" w:rsidR="00E4601E" w:rsidRDefault="006A0969" w:rsidP="00E4601E">
      <w:pPr>
        <w:spacing w:after="0"/>
        <w:ind w:firstLine="0"/>
        <w:rPr>
          <w:b/>
          <w:iCs/>
        </w:rPr>
      </w:pPr>
      <w:bookmarkStart w:id="128" w:name="_Toc104730015"/>
      <w:r w:rsidRPr="00E4601E">
        <w:rPr>
          <w:noProof/>
        </w:rPr>
        <w:drawing>
          <wp:anchor distT="0" distB="0" distL="114300" distR="114300" simplePos="0" relativeHeight="252532224" behindDoc="0" locked="0" layoutInCell="1" allowOverlap="1" wp14:anchorId="1FA37EFA" wp14:editId="2B900EFF">
            <wp:simplePos x="0" y="0"/>
            <wp:positionH relativeFrom="column">
              <wp:posOffset>29873</wp:posOffset>
            </wp:positionH>
            <wp:positionV relativeFrom="paragraph">
              <wp:posOffset>78271</wp:posOffset>
            </wp:positionV>
            <wp:extent cx="5842000" cy="3227705"/>
            <wp:effectExtent l="0" t="0" r="6350" b="10795"/>
            <wp:wrapNone/>
            <wp:docPr id="474" name="Graf 47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268023B7" w14:textId="4DBC5A66" w:rsidR="006A0969" w:rsidRPr="00E4601E" w:rsidRDefault="006A0969" w:rsidP="00E4601E">
      <w:pPr>
        <w:spacing w:after="0"/>
        <w:ind w:firstLine="0"/>
        <w:rPr>
          <w:b/>
          <w:iCs/>
        </w:rPr>
      </w:pPr>
    </w:p>
    <w:p w14:paraId="16BBBD7D" w14:textId="77777777" w:rsidR="006A0969" w:rsidRDefault="006A0969" w:rsidP="00E4601E">
      <w:pPr>
        <w:spacing w:after="0"/>
        <w:ind w:firstLine="0"/>
        <w:rPr>
          <w:b/>
          <w:iCs/>
        </w:rPr>
      </w:pPr>
    </w:p>
    <w:p w14:paraId="75A55601" w14:textId="77777777" w:rsidR="006A0969" w:rsidRDefault="006A0969" w:rsidP="00E4601E">
      <w:pPr>
        <w:spacing w:after="0"/>
        <w:ind w:firstLine="0"/>
        <w:rPr>
          <w:b/>
          <w:iCs/>
        </w:rPr>
      </w:pPr>
    </w:p>
    <w:p w14:paraId="1A10D472" w14:textId="77777777" w:rsidR="006A0969" w:rsidRDefault="006A0969" w:rsidP="00E4601E">
      <w:pPr>
        <w:spacing w:after="0"/>
        <w:ind w:firstLine="0"/>
        <w:rPr>
          <w:b/>
          <w:iCs/>
        </w:rPr>
      </w:pPr>
    </w:p>
    <w:p w14:paraId="49DE8092" w14:textId="77777777" w:rsidR="006A0969" w:rsidRDefault="006A0969" w:rsidP="00E4601E">
      <w:pPr>
        <w:spacing w:after="0"/>
        <w:ind w:firstLine="0"/>
        <w:rPr>
          <w:b/>
          <w:iCs/>
        </w:rPr>
      </w:pPr>
    </w:p>
    <w:p w14:paraId="76B42B0F" w14:textId="77777777" w:rsidR="006A0969" w:rsidRDefault="006A0969" w:rsidP="00E4601E">
      <w:pPr>
        <w:spacing w:after="0"/>
        <w:ind w:firstLine="0"/>
        <w:rPr>
          <w:b/>
          <w:iCs/>
        </w:rPr>
      </w:pPr>
    </w:p>
    <w:p w14:paraId="451AAE25" w14:textId="77777777" w:rsidR="006A0969" w:rsidRDefault="006A0969" w:rsidP="00E4601E">
      <w:pPr>
        <w:spacing w:after="0"/>
        <w:ind w:firstLine="0"/>
        <w:rPr>
          <w:b/>
          <w:iCs/>
        </w:rPr>
      </w:pPr>
    </w:p>
    <w:p w14:paraId="2FE6A464" w14:textId="77777777" w:rsidR="006A0969" w:rsidRDefault="006A0969" w:rsidP="00E4601E">
      <w:pPr>
        <w:spacing w:after="0"/>
        <w:ind w:firstLine="0"/>
        <w:rPr>
          <w:b/>
          <w:iCs/>
        </w:rPr>
      </w:pPr>
    </w:p>
    <w:p w14:paraId="66CF5BEA" w14:textId="77777777" w:rsidR="006A0969" w:rsidRDefault="006A0969" w:rsidP="00E4601E">
      <w:pPr>
        <w:spacing w:after="0"/>
        <w:ind w:firstLine="0"/>
        <w:rPr>
          <w:b/>
          <w:iCs/>
        </w:rPr>
      </w:pPr>
    </w:p>
    <w:p w14:paraId="4BE464DB" w14:textId="77777777" w:rsidR="006A0969" w:rsidRDefault="006A0969" w:rsidP="00E4601E">
      <w:pPr>
        <w:spacing w:after="0"/>
        <w:ind w:firstLine="0"/>
        <w:rPr>
          <w:b/>
          <w:iCs/>
        </w:rPr>
      </w:pPr>
    </w:p>
    <w:p w14:paraId="75DE0021" w14:textId="77777777" w:rsidR="006A0969" w:rsidRDefault="006A0969" w:rsidP="00E4601E">
      <w:pPr>
        <w:spacing w:after="0"/>
        <w:ind w:firstLine="0"/>
        <w:rPr>
          <w:b/>
          <w:iCs/>
        </w:rPr>
      </w:pPr>
    </w:p>
    <w:p w14:paraId="7214268F" w14:textId="77777777" w:rsidR="006A0969" w:rsidRDefault="006A0969" w:rsidP="00E4601E">
      <w:pPr>
        <w:spacing w:after="0"/>
        <w:ind w:firstLine="0"/>
        <w:rPr>
          <w:b/>
          <w:iCs/>
        </w:rPr>
      </w:pPr>
    </w:p>
    <w:p w14:paraId="490A2045" w14:textId="77777777" w:rsidR="006A0969" w:rsidRDefault="006A0969" w:rsidP="00E4601E">
      <w:pPr>
        <w:spacing w:after="0"/>
        <w:ind w:firstLine="0"/>
        <w:rPr>
          <w:b/>
          <w:iCs/>
        </w:rPr>
      </w:pPr>
    </w:p>
    <w:p w14:paraId="29CD54FB" w14:textId="77777777" w:rsidR="006A0969" w:rsidRDefault="006A0969" w:rsidP="00E4601E">
      <w:pPr>
        <w:spacing w:after="0"/>
        <w:ind w:firstLine="0"/>
        <w:rPr>
          <w:b/>
          <w:iCs/>
        </w:rPr>
      </w:pPr>
    </w:p>
    <w:p w14:paraId="50EEC1AA" w14:textId="77777777" w:rsidR="006A0969" w:rsidRDefault="006A0969" w:rsidP="00E4601E">
      <w:pPr>
        <w:spacing w:after="0"/>
        <w:ind w:firstLine="0"/>
        <w:rPr>
          <w:b/>
          <w:iCs/>
        </w:rPr>
      </w:pPr>
    </w:p>
    <w:p w14:paraId="799E2CC3" w14:textId="77777777" w:rsidR="006A0969" w:rsidRDefault="006A0969" w:rsidP="00E4601E">
      <w:pPr>
        <w:spacing w:after="0"/>
        <w:ind w:firstLine="0"/>
        <w:rPr>
          <w:b/>
          <w:iCs/>
        </w:rPr>
      </w:pPr>
    </w:p>
    <w:p w14:paraId="0FFCE6FB" w14:textId="77777777" w:rsidR="006A0969" w:rsidRDefault="006A0969" w:rsidP="00E4601E">
      <w:pPr>
        <w:spacing w:after="0"/>
        <w:ind w:firstLine="0"/>
        <w:rPr>
          <w:b/>
          <w:iCs/>
        </w:rPr>
      </w:pPr>
    </w:p>
    <w:p w14:paraId="27671F16" w14:textId="77777777" w:rsidR="006A0969" w:rsidRDefault="006A0969" w:rsidP="00E4601E">
      <w:pPr>
        <w:spacing w:after="0"/>
        <w:ind w:firstLine="0"/>
        <w:rPr>
          <w:b/>
          <w:iCs/>
        </w:rPr>
      </w:pPr>
    </w:p>
    <w:p w14:paraId="53C0230D" w14:textId="4880A14F" w:rsidR="00E4601E" w:rsidRPr="00B16C31" w:rsidRDefault="006A0969" w:rsidP="00B16C31">
      <w:pPr>
        <w:pStyle w:val="Nadpis20"/>
        <w:tabs>
          <w:tab w:val="left" w:pos="567"/>
        </w:tabs>
        <w:jc w:val="both"/>
        <w:rPr>
          <w:iCs w:val="0"/>
        </w:rPr>
      </w:pPr>
      <w:bookmarkStart w:id="129" w:name="_Toc173741567"/>
      <w:r w:rsidRPr="00B16C31">
        <w:rPr>
          <w:iCs w:val="0"/>
        </w:rPr>
        <w:t xml:space="preserve">5.2  </w:t>
      </w:r>
      <w:r w:rsidR="00E4601E" w:rsidRPr="00B16C31">
        <w:rPr>
          <w:iCs w:val="0"/>
        </w:rPr>
        <w:t>Príspevok na podporu mobility za prácou - § 53a zákona o službách zamestnanosti</w:t>
      </w:r>
      <w:bookmarkEnd w:id="128"/>
      <w:bookmarkEnd w:id="129"/>
    </w:p>
    <w:p w14:paraId="0D0D8CC8" w14:textId="77777777" w:rsidR="00E4601E" w:rsidRPr="00E4601E" w:rsidRDefault="00E4601E" w:rsidP="00E4601E">
      <w:pPr>
        <w:spacing w:after="0"/>
        <w:ind w:firstLine="0"/>
      </w:pPr>
      <w:r w:rsidRPr="00E4601E">
        <w:t xml:space="preserve">Príspevok na podporu mobility za prácou sa poskytuje UoZ ako úhrada časti výdavkov </w:t>
      </w:r>
      <w:r w:rsidRPr="00E4601E">
        <w:br/>
        <w:t xml:space="preserve">na bývanie súvisiacich so zmenou trvalého pobytu alebo prechodného pobytu o najmenej </w:t>
      </w:r>
      <w:r w:rsidRPr="00E4601E">
        <w:br/>
        <w:t>50 kilometrov v súvislosti so získaním zamestnania najmenej na 6 mesiacov.</w:t>
      </w:r>
    </w:p>
    <w:p w14:paraId="03D7097E" w14:textId="6ED20F2D" w:rsidR="00E4601E" w:rsidRPr="00E4601E" w:rsidRDefault="00E4601E" w:rsidP="00D25F11">
      <w:pPr>
        <w:spacing w:before="120" w:after="0"/>
        <w:ind w:firstLine="0"/>
      </w:pPr>
      <w:r w:rsidRPr="00E4601E">
        <w:t xml:space="preserve">V roku 2023 bolo prijatých 251 žiadostí na podporu mobility za prácou, z ktorých bolo schválených 225 žiadostí – 89,64 %. V roku 2023 bolo príspevkom na podporu mobility                       </w:t>
      </w:r>
      <w:r w:rsidRPr="00E4601E">
        <w:lastRenderedPageBreak/>
        <w:t>za prácou podporených celkom 239 žiadateľov, z toho 99 mužov (41,42 %) a 140 žien (58,58 %) v celkovej poskytnutej sume finančných prostriedkov 432 335 eur. V roku 2023, v porovnaní s predchádzajúcim rokom, sa celková poskytnutá suma finančných prostriedkov zvýšila o 193 029 eur. Z hľadiska vekovej štruktúry bolo podporených 102 žiadateľov  (42,68 %) vo veku od 25 do 29 rokov vrátane, 83 žiadateľov (34,73 %) vo veku od 30 do 49 rokov vrátane, 29 žiadateľov (12,13 %) vo veku do 24 rokov vrátane a 25 žiadateľov (10,46 %) vo veku 50 rokov a via</w:t>
      </w:r>
      <w:r w:rsidR="00D25F11">
        <w:t>c, v štruktúre podľa nasledujúceho grafu.</w:t>
      </w:r>
    </w:p>
    <w:p w14:paraId="247EA6F6" w14:textId="0B9D2185" w:rsidR="00E4601E" w:rsidRPr="00E4601E" w:rsidRDefault="009E4C99" w:rsidP="00E4601E">
      <w:pPr>
        <w:spacing w:after="0"/>
        <w:ind w:firstLine="0"/>
      </w:pPr>
      <w:r w:rsidRPr="00E4601E">
        <w:rPr>
          <w:noProof/>
        </w:rPr>
        <w:drawing>
          <wp:anchor distT="0" distB="0" distL="114300" distR="114300" simplePos="0" relativeHeight="252535296" behindDoc="1" locked="0" layoutInCell="1" allowOverlap="1" wp14:anchorId="7D4A55C2" wp14:editId="796E5844">
            <wp:simplePos x="0" y="0"/>
            <wp:positionH relativeFrom="margin">
              <wp:posOffset>5715</wp:posOffset>
            </wp:positionH>
            <wp:positionV relativeFrom="paragraph">
              <wp:posOffset>58862</wp:posOffset>
            </wp:positionV>
            <wp:extent cx="5835650" cy="2719346"/>
            <wp:effectExtent l="0" t="0" r="12700" b="5080"/>
            <wp:wrapNone/>
            <wp:docPr id="237" name="Graf 23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29D7F40D" w14:textId="67ABBEF1" w:rsidR="00E4601E" w:rsidRPr="00E4601E" w:rsidRDefault="00E4601E" w:rsidP="00E4601E">
      <w:pPr>
        <w:spacing w:after="0"/>
        <w:ind w:firstLine="0"/>
      </w:pPr>
    </w:p>
    <w:p w14:paraId="5CBA518A" w14:textId="77777777" w:rsidR="00E4601E" w:rsidRPr="00E4601E" w:rsidRDefault="00E4601E" w:rsidP="00E4601E">
      <w:pPr>
        <w:spacing w:after="0"/>
        <w:ind w:firstLine="0"/>
      </w:pPr>
    </w:p>
    <w:p w14:paraId="72D70B86" w14:textId="77777777" w:rsidR="00E4601E" w:rsidRPr="00E4601E" w:rsidRDefault="00E4601E" w:rsidP="00E4601E">
      <w:pPr>
        <w:spacing w:after="0"/>
        <w:ind w:firstLine="0"/>
      </w:pPr>
    </w:p>
    <w:p w14:paraId="3EE1FF34" w14:textId="77777777" w:rsidR="00E4601E" w:rsidRPr="00E4601E" w:rsidRDefault="00E4601E" w:rsidP="00E4601E">
      <w:pPr>
        <w:spacing w:after="0"/>
        <w:ind w:firstLine="0"/>
      </w:pPr>
    </w:p>
    <w:p w14:paraId="7F083A8A" w14:textId="77777777" w:rsidR="00E4601E" w:rsidRPr="00E4601E" w:rsidRDefault="00E4601E" w:rsidP="00E4601E">
      <w:pPr>
        <w:spacing w:after="0"/>
        <w:ind w:firstLine="0"/>
      </w:pPr>
    </w:p>
    <w:p w14:paraId="4D8AB63F" w14:textId="77777777" w:rsidR="00D25F11" w:rsidRDefault="00D25F11" w:rsidP="00E4601E">
      <w:pPr>
        <w:spacing w:after="0"/>
        <w:ind w:firstLine="0"/>
      </w:pPr>
    </w:p>
    <w:p w14:paraId="6D5B6910" w14:textId="77777777" w:rsidR="00D25F11" w:rsidRDefault="00D25F11" w:rsidP="00E4601E">
      <w:pPr>
        <w:spacing w:after="0"/>
        <w:ind w:firstLine="0"/>
      </w:pPr>
    </w:p>
    <w:p w14:paraId="1B3BCD0C" w14:textId="77777777" w:rsidR="00D25F11" w:rsidRDefault="00D25F11" w:rsidP="00E4601E">
      <w:pPr>
        <w:spacing w:after="0"/>
        <w:ind w:firstLine="0"/>
      </w:pPr>
    </w:p>
    <w:p w14:paraId="6FDF5282" w14:textId="77777777" w:rsidR="00D25F11" w:rsidRDefault="00D25F11" w:rsidP="00E4601E">
      <w:pPr>
        <w:spacing w:after="0"/>
        <w:ind w:firstLine="0"/>
      </w:pPr>
    </w:p>
    <w:p w14:paraId="751405A2" w14:textId="77777777" w:rsidR="00D25F11" w:rsidRDefault="00D25F11" w:rsidP="00E4601E">
      <w:pPr>
        <w:spacing w:after="0"/>
        <w:ind w:firstLine="0"/>
      </w:pPr>
    </w:p>
    <w:p w14:paraId="5F09F113" w14:textId="77777777" w:rsidR="00D25F11" w:rsidRDefault="00D25F11" w:rsidP="00E4601E">
      <w:pPr>
        <w:spacing w:after="0"/>
        <w:ind w:firstLine="0"/>
      </w:pPr>
    </w:p>
    <w:p w14:paraId="68448FD6" w14:textId="77777777" w:rsidR="00D25F11" w:rsidRDefault="00D25F11" w:rsidP="00E4601E">
      <w:pPr>
        <w:spacing w:after="0"/>
        <w:ind w:firstLine="0"/>
      </w:pPr>
    </w:p>
    <w:p w14:paraId="4FC761C6" w14:textId="77777777" w:rsidR="00D25F11" w:rsidRDefault="00D25F11" w:rsidP="00E4601E">
      <w:pPr>
        <w:spacing w:after="0"/>
        <w:ind w:firstLine="0"/>
      </w:pPr>
    </w:p>
    <w:p w14:paraId="646EB4A3" w14:textId="77777777" w:rsidR="00D25F11" w:rsidRDefault="00D25F11" w:rsidP="00E4601E">
      <w:pPr>
        <w:spacing w:after="0"/>
        <w:ind w:firstLine="0"/>
      </w:pPr>
    </w:p>
    <w:p w14:paraId="1BD9E9C3" w14:textId="77777777" w:rsidR="00D25F11" w:rsidRDefault="00D25F11" w:rsidP="00E4601E">
      <w:pPr>
        <w:spacing w:after="0"/>
        <w:ind w:firstLine="0"/>
      </w:pPr>
    </w:p>
    <w:p w14:paraId="79BAB95D" w14:textId="70431346" w:rsidR="00E4601E" w:rsidRPr="00E4601E" w:rsidRDefault="00E4601E" w:rsidP="009E4C99">
      <w:pPr>
        <w:spacing w:before="120" w:after="0"/>
        <w:ind w:firstLine="0"/>
      </w:pPr>
      <w:r w:rsidRPr="00E4601E">
        <w:t>Z hľadiska znevýhodnenia UoZ, ktorým bol poskytnutý príspevok na podporu mobility za prácou, bolo 159 znevýhodnených UoZ, čo predstavuje 66,53 % z celkového počtu 239 zaradených klientov. Z hľadiska znevýhodnenia UoZ, najvyšší podiel v počte 115 žiadateľov (72,33 %) tvorili občania, ktorí najmenej 12 po sebe nasledujúcich kalendárnych mesiacov pred zaradením do evidencie UoZ, nemali pravidelne platené zamestnanie. Absolventi školy tvorili druhú najpočetnejšiu skupinu znevýhodnených UoZ v počte 59 žiadateľov (37,11 %) a treťou skupinou znevýhodnených UoZ, boli dlhodobo nezamestnaní občania v</w:t>
      </w:r>
      <w:bookmarkStart w:id="130" w:name="OLE_LINK2"/>
      <w:r w:rsidRPr="00E4601E">
        <w:t> počte 39 žiadateľov (24,53 %).</w:t>
      </w:r>
    </w:p>
    <w:p w14:paraId="68105661" w14:textId="5C58A5AF" w:rsidR="00E4601E" w:rsidRPr="00E4601E" w:rsidRDefault="009E4C99" w:rsidP="009E4C99">
      <w:pPr>
        <w:spacing w:before="120" w:after="0"/>
        <w:ind w:firstLine="0"/>
      </w:pPr>
      <w:r w:rsidRPr="00E4601E">
        <w:rPr>
          <w:noProof/>
        </w:rPr>
        <w:drawing>
          <wp:anchor distT="0" distB="0" distL="114300" distR="114300" simplePos="0" relativeHeight="252534272" behindDoc="0" locked="0" layoutInCell="1" allowOverlap="1" wp14:anchorId="63C8E57D" wp14:editId="6797CD8F">
            <wp:simplePos x="0" y="0"/>
            <wp:positionH relativeFrom="margin">
              <wp:posOffset>-34290</wp:posOffset>
            </wp:positionH>
            <wp:positionV relativeFrom="paragraph">
              <wp:posOffset>990600</wp:posOffset>
            </wp:positionV>
            <wp:extent cx="5875020" cy="2933700"/>
            <wp:effectExtent l="0" t="0" r="11430" b="0"/>
            <wp:wrapTopAndBottom/>
            <wp:docPr id="232" name="Graf 23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E4601E" w:rsidRPr="00E4601E">
        <w:t xml:space="preserve">Vzhľadom na dosiahnutý stupeň vzdelania, najviac bolo zaradených UoZ, ktorí dosiahli vysokoškolské vzdelanie druhého stupňa v počte 143 (59,83 %), na druhom mieste boli UoZ, ktorí dosiahli úplné stredné odborné vzdelanie v počte 41 (17,15 %), na treťom mieste boli UoZ, </w:t>
      </w:r>
      <w:r w:rsidR="00E4601E" w:rsidRPr="00E4601E">
        <w:lastRenderedPageBreak/>
        <w:t>ktorí dosiahli vysokoškolské vzdelanie prvého stupňa v počte 23 (9,62 %) a iní - v štruktúre</w:t>
      </w:r>
      <w:bookmarkEnd w:id="130"/>
      <w:r w:rsidR="00E4601E" w:rsidRPr="00E4601E">
        <w:t xml:space="preserve"> podľa grafu</w:t>
      </w:r>
      <w:r>
        <w:t xml:space="preserve"> nižšie</w:t>
      </w:r>
      <w:r w:rsidR="00E4601E" w:rsidRPr="00E4601E">
        <w:t>.</w:t>
      </w:r>
    </w:p>
    <w:p w14:paraId="775EBBE3" w14:textId="77777777" w:rsidR="00E4601E" w:rsidRPr="00E4601E" w:rsidRDefault="00E4601E" w:rsidP="00E4601E">
      <w:pPr>
        <w:spacing w:after="0"/>
        <w:ind w:firstLine="0"/>
      </w:pPr>
      <w:r w:rsidRPr="00E4601E">
        <w:t xml:space="preserve">Z hľadiska dĺžky evidencie, bolo v roku 2023 najviac zaradených UoZ, ktorí boli v evidencii UoZ od 4 do 6 mesiacov - 125 (52,3 %), druhú skupinu zaradených tvoria UoZ, ktorí boli vedení v evidencii UoZ od 7 do 12 mesiacov – 67 (28,03 %). Tretiu skupinu tvoria UoZ, ktorí boli vedení v evidencii UoZ od 13 do 24 mesiacov – 22 (9,21 %). Ďalej nasledovali UoZ vedení v evidencii UoZ nad 24 mesiacov – 16 (6,69 %) a od 0 do 3 mesiacov – 9 (3,77 %). </w:t>
      </w:r>
    </w:p>
    <w:p w14:paraId="448FDA1E" w14:textId="7E61721F" w:rsidR="00C02299" w:rsidRDefault="00F134AC" w:rsidP="009A15A1">
      <w:pPr>
        <w:pStyle w:val="Nadpis20"/>
        <w:tabs>
          <w:tab w:val="left" w:pos="567"/>
        </w:tabs>
        <w:jc w:val="both"/>
      </w:pPr>
      <w:bookmarkStart w:id="131" w:name="_Toc173741568"/>
      <w:bookmarkStart w:id="132" w:name="_Hlk103527471"/>
      <w:r w:rsidRPr="00C35CA8">
        <w:t>5.3</w:t>
      </w:r>
      <w:r w:rsidR="000A1DC6" w:rsidRPr="00C35CA8">
        <w:tab/>
      </w:r>
      <w:bookmarkStart w:id="133" w:name="_Hlk37971919"/>
      <w:bookmarkEnd w:id="126"/>
      <w:bookmarkEnd w:id="127"/>
      <w:r w:rsidR="009E4C99" w:rsidRPr="00C35CA8">
        <w:t>Príspevok na činnosť pracovného asistenta - § 59 zákona o službách zamestnanosti</w:t>
      </w:r>
      <w:bookmarkEnd w:id="131"/>
    </w:p>
    <w:p w14:paraId="3D6261BD" w14:textId="77777777" w:rsidR="009A15A1" w:rsidRPr="009A15A1" w:rsidRDefault="009A15A1" w:rsidP="009A15A1">
      <w:pPr>
        <w:spacing w:after="0"/>
        <w:ind w:firstLine="0"/>
        <w:rPr>
          <w:rFonts w:eastAsia="Calibri"/>
          <w:lang w:eastAsia="en-US"/>
        </w:rPr>
      </w:pPr>
      <w:bookmarkStart w:id="134" w:name="_Toc514941066"/>
      <w:bookmarkStart w:id="135" w:name="_Toc37094628"/>
      <w:r w:rsidRPr="009A15A1">
        <w:rPr>
          <w:rFonts w:eastAsia="Calibri"/>
          <w:lang w:eastAsia="en-US"/>
        </w:rPr>
        <w:t>Príspevok na činnosť pracovného asistenta poskytuje úrad zamestnávateľovi alebo SZČO so ZP, ak z druhu ZP a z vykonávanej pracovnej činnosti zamestnanca so ZP alebo SZČO so ZP vyplýva potreba pracovného asistenta. Mesačná výška príspevku je najmenej 41 % a najviac 70 % CCP podľa § 49 ods. 4 zákona o službách zamestnanosti.</w:t>
      </w:r>
    </w:p>
    <w:p w14:paraId="024C5546" w14:textId="32426B2B" w:rsidR="009A15A1" w:rsidRPr="009A15A1" w:rsidRDefault="009A15A1" w:rsidP="009A15A1">
      <w:pPr>
        <w:spacing w:before="120" w:after="120"/>
        <w:ind w:firstLine="0"/>
        <w:rPr>
          <w:rFonts w:eastAsia="Calibri"/>
          <w:lang w:eastAsia="en-US"/>
        </w:rPr>
      </w:pPr>
      <w:r w:rsidRPr="009A15A1">
        <w:rPr>
          <w:rFonts w:eastAsia="Calibri"/>
          <w:lang w:eastAsia="en-US"/>
        </w:rPr>
        <w:t>Úrady v roku 2023 podporili 1 061 prijímateľov príspevku (v roku 2022 ich bolo 955), z toho 518 zamestnávateľov a 543 SZČO so zdravotným postihnutím, pričom počet osôb so zdravotným postihnutím, ktorých sa pomoc dotkla, vzrástol na 1 568. V roku 2023 bola celková suma čerpaných finančných prostriedkov 10 868 624</w:t>
      </w:r>
      <w:r>
        <w:rPr>
          <w:rFonts w:eastAsia="Calibri"/>
          <w:lang w:eastAsia="en-US"/>
        </w:rPr>
        <w:t xml:space="preserve"> </w:t>
      </w:r>
      <w:r w:rsidR="00AB2CA5">
        <w:rPr>
          <w:rFonts w:eastAsia="Calibri"/>
          <w:lang w:eastAsia="en-US"/>
        </w:rPr>
        <w:t>eur</w:t>
      </w:r>
      <w:r>
        <w:rPr>
          <w:rFonts w:eastAsia="Calibri"/>
          <w:lang w:eastAsia="en-US"/>
        </w:rPr>
        <w:t>. V</w:t>
      </w:r>
      <w:r w:rsidRPr="009A15A1">
        <w:rPr>
          <w:rFonts w:eastAsia="Calibri"/>
          <w:lang w:eastAsia="en-US"/>
        </w:rPr>
        <w:t xml:space="preserve"> porovnaní s rokom 2022 </w:t>
      </w:r>
      <w:r>
        <w:rPr>
          <w:rFonts w:eastAsia="Calibri"/>
          <w:lang w:eastAsia="en-US"/>
        </w:rPr>
        <w:t xml:space="preserve">ide o </w:t>
      </w:r>
      <w:r w:rsidRPr="009A15A1">
        <w:rPr>
          <w:rFonts w:eastAsia="Calibri"/>
          <w:lang w:eastAsia="en-US"/>
        </w:rPr>
        <w:t>medziročný nárast o 1 832 695</w:t>
      </w:r>
      <w:r>
        <w:rPr>
          <w:rFonts w:eastAsia="Calibri"/>
          <w:lang w:eastAsia="en-US"/>
        </w:rPr>
        <w:t> </w:t>
      </w:r>
      <w:r w:rsidR="00AB2CA5">
        <w:rPr>
          <w:rFonts w:eastAsia="Calibri"/>
          <w:lang w:eastAsia="en-US"/>
        </w:rPr>
        <w:t>eur</w:t>
      </w:r>
      <w:r w:rsidRPr="009A15A1">
        <w:rPr>
          <w:rFonts w:eastAsia="Calibri"/>
          <w:lang w:eastAsia="en-US"/>
        </w:rPr>
        <w:t>.</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338"/>
        <w:gridCol w:w="2922"/>
        <w:gridCol w:w="2922"/>
      </w:tblGrid>
      <w:tr w:rsidR="009A15A1" w:rsidRPr="009A15A1" w14:paraId="5D69442E" w14:textId="77777777" w:rsidTr="009A15A1">
        <w:trPr>
          <w:trHeight w:val="856"/>
          <w:jc w:val="center"/>
        </w:trPr>
        <w:tc>
          <w:tcPr>
            <w:tcW w:w="542" w:type="pct"/>
            <w:shd w:val="clear" w:color="auto" w:fill="DBE5F1"/>
            <w:vAlign w:val="center"/>
          </w:tcPr>
          <w:p w14:paraId="75F333E5" w14:textId="77777777" w:rsidR="009A15A1" w:rsidRPr="009A15A1" w:rsidRDefault="009A15A1" w:rsidP="009A15A1">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 xml:space="preserve">         Rok</w:t>
            </w:r>
          </w:p>
        </w:tc>
        <w:tc>
          <w:tcPr>
            <w:tcW w:w="1273" w:type="pct"/>
            <w:shd w:val="clear" w:color="auto" w:fill="DBE5F1"/>
            <w:vAlign w:val="center"/>
          </w:tcPr>
          <w:p w14:paraId="0E1ACB5C" w14:textId="77777777" w:rsidR="009A15A1" w:rsidRPr="009A15A1" w:rsidRDefault="009A15A1" w:rsidP="009A15A1">
            <w:pPr>
              <w:spacing w:after="0"/>
              <w:ind w:left="192" w:hanging="118"/>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Počet podporených pracovných asistentov </w:t>
            </w:r>
          </w:p>
        </w:tc>
        <w:tc>
          <w:tcPr>
            <w:tcW w:w="1592" w:type="pct"/>
            <w:shd w:val="clear" w:color="auto" w:fill="DBE5F1"/>
          </w:tcPr>
          <w:p w14:paraId="34F842F1" w14:textId="77777777" w:rsidR="009A15A1" w:rsidRPr="009A15A1" w:rsidRDefault="009A15A1" w:rsidP="009A15A1">
            <w:pPr>
              <w:spacing w:after="0"/>
              <w:ind w:left="155"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osôb so ZP, ktorým bola poskytovaná pracovná asistencia</w:t>
            </w:r>
          </w:p>
        </w:tc>
        <w:tc>
          <w:tcPr>
            <w:tcW w:w="1592" w:type="pct"/>
            <w:shd w:val="clear" w:color="auto" w:fill="DBE5F1"/>
            <w:vAlign w:val="center"/>
          </w:tcPr>
          <w:p w14:paraId="609DA45E" w14:textId="77777777" w:rsidR="009A15A1" w:rsidRDefault="009A15A1" w:rsidP="009A15A1">
            <w:pPr>
              <w:spacing w:after="0"/>
              <w:ind w:left="155"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Čerpanie  finančných prostriedkov</w:t>
            </w:r>
          </w:p>
          <w:p w14:paraId="332CEC12" w14:textId="2264E2AC" w:rsidR="009A15A1" w:rsidRPr="009A15A1" w:rsidRDefault="009A15A1" w:rsidP="009A15A1">
            <w:pPr>
              <w:spacing w:after="0"/>
              <w:ind w:left="155"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b/>
                <w:sz w:val="20"/>
                <w:szCs w:val="20"/>
                <w:lang w:eastAsia="en-US"/>
              </w:rPr>
              <w:t xml:space="preserve"> </w:t>
            </w:r>
            <w:r w:rsidRPr="009A15A1">
              <w:rPr>
                <w:rFonts w:asciiTheme="minorHAnsi" w:eastAsia="Calibri" w:hAnsiTheme="minorHAnsi" w:cstheme="minorHAnsi"/>
                <w:sz w:val="20"/>
                <w:szCs w:val="20"/>
                <w:lang w:eastAsia="en-US"/>
              </w:rPr>
              <w:t xml:space="preserve">(v </w:t>
            </w:r>
            <w:r w:rsidR="00AB2CA5">
              <w:rPr>
                <w:rFonts w:asciiTheme="minorHAnsi" w:eastAsia="Calibri" w:hAnsiTheme="minorHAnsi" w:cstheme="minorHAnsi"/>
                <w:sz w:val="20"/>
                <w:szCs w:val="20"/>
                <w:lang w:eastAsia="en-US"/>
              </w:rPr>
              <w:t>eur</w:t>
            </w:r>
            <w:r w:rsidRPr="009A15A1">
              <w:rPr>
                <w:rFonts w:asciiTheme="minorHAnsi" w:eastAsia="Calibri" w:hAnsiTheme="minorHAnsi" w:cstheme="minorHAnsi"/>
                <w:sz w:val="20"/>
                <w:szCs w:val="20"/>
                <w:lang w:eastAsia="en-US"/>
              </w:rPr>
              <w:t>)</w:t>
            </w:r>
          </w:p>
        </w:tc>
      </w:tr>
      <w:tr w:rsidR="009A15A1" w:rsidRPr="009A15A1" w14:paraId="258A900C" w14:textId="77777777" w:rsidTr="009A15A1">
        <w:trPr>
          <w:trHeight w:val="386"/>
          <w:jc w:val="center"/>
        </w:trPr>
        <w:tc>
          <w:tcPr>
            <w:tcW w:w="542" w:type="pct"/>
            <w:shd w:val="clear" w:color="auto" w:fill="DBE5F1"/>
            <w:vAlign w:val="center"/>
          </w:tcPr>
          <w:p w14:paraId="2A698A27" w14:textId="77777777" w:rsidR="009A15A1" w:rsidRPr="009A15A1" w:rsidRDefault="009A15A1" w:rsidP="009A15A1">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           2022</w:t>
            </w:r>
          </w:p>
        </w:tc>
        <w:tc>
          <w:tcPr>
            <w:tcW w:w="1273" w:type="pct"/>
            <w:vAlign w:val="center"/>
          </w:tcPr>
          <w:p w14:paraId="2DE5D429" w14:textId="77777777" w:rsidR="009A15A1" w:rsidRPr="009A15A1" w:rsidRDefault="009A15A1" w:rsidP="009A15A1">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1 280</w:t>
            </w:r>
          </w:p>
        </w:tc>
        <w:tc>
          <w:tcPr>
            <w:tcW w:w="1592" w:type="pct"/>
          </w:tcPr>
          <w:p w14:paraId="6508E223" w14:textId="77777777" w:rsidR="009A15A1" w:rsidRPr="009A15A1" w:rsidRDefault="009A15A1" w:rsidP="009A15A1">
            <w:pPr>
              <w:spacing w:after="0"/>
              <w:ind w:firstLine="0"/>
              <w:jc w:val="center"/>
              <w:rPr>
                <w:rFonts w:asciiTheme="minorHAnsi" w:eastAsia="Calibri" w:hAnsiTheme="minorHAnsi" w:cstheme="minorHAnsi"/>
                <w:bCs/>
                <w:sz w:val="20"/>
                <w:szCs w:val="20"/>
                <w:lang w:eastAsia="en-US"/>
              </w:rPr>
            </w:pPr>
            <w:r w:rsidRPr="009A15A1">
              <w:rPr>
                <w:rFonts w:asciiTheme="minorHAnsi" w:eastAsia="Calibri" w:hAnsiTheme="minorHAnsi" w:cstheme="minorHAnsi"/>
                <w:bCs/>
                <w:sz w:val="20"/>
                <w:szCs w:val="20"/>
                <w:lang w:eastAsia="en-US"/>
              </w:rPr>
              <w:t>1 392</w:t>
            </w:r>
          </w:p>
        </w:tc>
        <w:tc>
          <w:tcPr>
            <w:tcW w:w="1592" w:type="pct"/>
            <w:vAlign w:val="center"/>
          </w:tcPr>
          <w:p w14:paraId="20D8503A" w14:textId="77777777" w:rsidR="009A15A1" w:rsidRPr="009A15A1" w:rsidRDefault="009A15A1" w:rsidP="009A15A1">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bCs/>
                <w:sz w:val="20"/>
                <w:szCs w:val="20"/>
                <w:lang w:eastAsia="en-US"/>
              </w:rPr>
              <w:t>9 035 929</w:t>
            </w:r>
          </w:p>
        </w:tc>
      </w:tr>
      <w:tr w:rsidR="009A15A1" w:rsidRPr="009A15A1" w14:paraId="59E29547" w14:textId="77777777" w:rsidTr="009A15A1">
        <w:trPr>
          <w:trHeight w:val="375"/>
          <w:jc w:val="center"/>
        </w:trPr>
        <w:tc>
          <w:tcPr>
            <w:tcW w:w="542" w:type="pct"/>
            <w:shd w:val="clear" w:color="auto" w:fill="DBE5F1"/>
            <w:vAlign w:val="center"/>
          </w:tcPr>
          <w:p w14:paraId="4FC4E111" w14:textId="77777777" w:rsidR="009A15A1" w:rsidRPr="009A15A1" w:rsidRDefault="009A15A1" w:rsidP="009A15A1">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           2023</w:t>
            </w:r>
          </w:p>
        </w:tc>
        <w:tc>
          <w:tcPr>
            <w:tcW w:w="1273" w:type="pct"/>
            <w:vAlign w:val="center"/>
          </w:tcPr>
          <w:p w14:paraId="4EFB38AB" w14:textId="77777777" w:rsidR="009A15A1" w:rsidRPr="009A15A1" w:rsidRDefault="009A15A1" w:rsidP="009A15A1">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1 379</w:t>
            </w:r>
          </w:p>
        </w:tc>
        <w:tc>
          <w:tcPr>
            <w:tcW w:w="1592" w:type="pct"/>
          </w:tcPr>
          <w:p w14:paraId="16B9DCC1" w14:textId="77777777" w:rsidR="009A15A1" w:rsidRPr="009A15A1" w:rsidRDefault="009A15A1" w:rsidP="009A15A1">
            <w:pPr>
              <w:spacing w:after="0"/>
              <w:ind w:firstLine="0"/>
              <w:jc w:val="center"/>
              <w:rPr>
                <w:rFonts w:asciiTheme="minorHAnsi" w:eastAsia="Calibri" w:hAnsiTheme="minorHAnsi" w:cstheme="minorHAnsi"/>
                <w:bCs/>
                <w:sz w:val="20"/>
                <w:szCs w:val="20"/>
                <w:lang w:eastAsia="en-US"/>
              </w:rPr>
            </w:pPr>
            <w:r w:rsidRPr="009A15A1">
              <w:rPr>
                <w:rFonts w:asciiTheme="minorHAnsi" w:eastAsia="Calibri" w:hAnsiTheme="minorHAnsi" w:cstheme="minorHAnsi"/>
                <w:bCs/>
                <w:sz w:val="20"/>
                <w:szCs w:val="20"/>
                <w:lang w:eastAsia="en-US"/>
              </w:rPr>
              <w:t>1 568</w:t>
            </w:r>
          </w:p>
        </w:tc>
        <w:tc>
          <w:tcPr>
            <w:tcW w:w="1592" w:type="pct"/>
            <w:vAlign w:val="center"/>
          </w:tcPr>
          <w:p w14:paraId="7356896A" w14:textId="77777777" w:rsidR="009A15A1" w:rsidRPr="009A15A1" w:rsidRDefault="009A15A1" w:rsidP="009A15A1">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10 868 624</w:t>
            </w:r>
          </w:p>
        </w:tc>
      </w:tr>
    </w:tbl>
    <w:p w14:paraId="6485A2AD" w14:textId="64AC7946" w:rsidR="009A15A1" w:rsidRPr="009A15A1" w:rsidRDefault="009A15A1" w:rsidP="009A15A1">
      <w:pPr>
        <w:spacing w:before="120" w:after="0"/>
        <w:ind w:firstLine="0"/>
        <w:rPr>
          <w:rFonts w:eastAsia="Calibri"/>
          <w:lang w:eastAsia="en-US"/>
        </w:rPr>
      </w:pPr>
      <w:r w:rsidRPr="009A15A1">
        <w:rPr>
          <w:rFonts w:eastAsia="Calibri"/>
          <w:lang w:eastAsia="en-US"/>
        </w:rPr>
        <w:t>Z celkového počtu 1 568 osôb so ZP, ktorým bola poskytovaná pracovná asistencia, bolo 996 žien, čo predstavuje 63,52 %. Najviac osôb so ZP, ktorým bola poskytovaná pracovná asistencia, ide o viac ako polovicu z celkového počtu, bolo vo vekovej kategórii 30 - 49 rokov (803) - v štruktúre podľa grafu.</w:t>
      </w:r>
    </w:p>
    <w:p w14:paraId="30940A2B" w14:textId="77777777" w:rsidR="009A15A1" w:rsidRPr="009A15A1" w:rsidRDefault="009A15A1" w:rsidP="009A15A1">
      <w:pPr>
        <w:spacing w:before="120" w:after="160" w:line="259" w:lineRule="auto"/>
        <w:ind w:firstLine="0"/>
        <w:jc w:val="center"/>
        <w:rPr>
          <w:rFonts w:ascii="Calibri" w:eastAsia="Calibri" w:hAnsi="Calibri"/>
          <w:sz w:val="20"/>
          <w:szCs w:val="20"/>
          <w:lang w:eastAsia="en-US"/>
        </w:rPr>
      </w:pPr>
      <w:r w:rsidRPr="009A15A1">
        <w:rPr>
          <w:rFonts w:ascii="Calibri" w:eastAsia="Calibri" w:hAnsi="Calibri"/>
          <w:noProof/>
          <w:sz w:val="22"/>
          <w:szCs w:val="22"/>
        </w:rPr>
        <w:drawing>
          <wp:inline distT="0" distB="0" distL="0" distR="0" wp14:anchorId="2F6E4CC1" wp14:editId="252EF447">
            <wp:extent cx="5800725" cy="2957885"/>
            <wp:effectExtent l="0" t="0" r="9525" b="1397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56CFCA" w14:textId="77777777" w:rsidR="009A15A1" w:rsidRPr="009A15A1" w:rsidRDefault="009A15A1" w:rsidP="009A15A1">
      <w:pPr>
        <w:spacing w:before="120" w:after="120"/>
        <w:ind w:firstLine="0"/>
        <w:rPr>
          <w:rFonts w:eastAsia="Calibri"/>
          <w:lang w:eastAsia="en-US"/>
        </w:rPr>
      </w:pPr>
      <w:r w:rsidRPr="009A15A1">
        <w:rPr>
          <w:rFonts w:eastAsia="Calibri"/>
          <w:lang w:eastAsia="en-US"/>
        </w:rPr>
        <w:t xml:space="preserve">V rámci AOTP si tento príspevok zachoval zo zákona obligatórny charakter, preto je aj vo veľkej miere využívaný. Na základe hodnotenia úradov, vďaka veľkej miere využívania, tento príspevok sa často aj zneužíva a považuje sa za menej efektívny, najmä z dôvodu reálne ťažko preukázateľnej skutočnej potreby pracovnej asistencie, osobitne v prípadoch SZČO so ZP, kde </w:t>
      </w:r>
      <w:r w:rsidRPr="009A15A1">
        <w:rPr>
          <w:rFonts w:eastAsia="Calibri"/>
          <w:lang w:eastAsia="en-US"/>
        </w:rPr>
        <w:lastRenderedPageBreak/>
        <w:t xml:space="preserve">je prakticky nemožné skontrolovať, či asistent skutočne (a koľko hodín) asistenciu aj vykonáva, najmä ak asistentom môže byť aj rodinný príslušník. </w:t>
      </w:r>
      <w:bookmarkEnd w:id="134"/>
      <w:bookmarkEnd w:id="135"/>
    </w:p>
    <w:p w14:paraId="484438E4" w14:textId="215BF4D4" w:rsidR="002B2BF0" w:rsidRDefault="00551EE3" w:rsidP="00B16C31">
      <w:pPr>
        <w:pStyle w:val="Nadpis20"/>
        <w:tabs>
          <w:tab w:val="left" w:pos="567"/>
        </w:tabs>
        <w:jc w:val="both"/>
      </w:pPr>
      <w:bookmarkStart w:id="136" w:name="_Toc37094621"/>
      <w:bookmarkStart w:id="137" w:name="_Toc173741569"/>
      <w:bookmarkStart w:id="138" w:name="_Hlk103527977"/>
      <w:bookmarkEnd w:id="132"/>
      <w:bookmarkEnd w:id="133"/>
      <w:r w:rsidRPr="00B16C31">
        <w:rPr>
          <w:iCs w:val="0"/>
        </w:rPr>
        <w:t>5.4</w:t>
      </w:r>
      <w:bookmarkStart w:id="139" w:name="_Hlk37971959"/>
      <w:bookmarkEnd w:id="136"/>
      <w:r w:rsidR="00B16C31">
        <w:rPr>
          <w:iCs w:val="0"/>
        </w:rPr>
        <w:t xml:space="preserve">  </w:t>
      </w:r>
      <w:r w:rsidR="009E4C99" w:rsidRPr="00C35CA8">
        <w:t>Príspevok na úhradu prevádzkových nákladov chránenej dielne alebo chráneného</w:t>
      </w:r>
      <w:r w:rsidR="009E4C99" w:rsidRPr="00C35CA8">
        <w:br/>
        <w:t xml:space="preserve">         pracoviska a na úhradu nákladov na dopravu zamestnancov - § 60 zákona</w:t>
      </w:r>
      <w:r w:rsidR="009E4C99" w:rsidRPr="00C35CA8">
        <w:br/>
        <w:t xml:space="preserve">         o službách zamestnanosti</w:t>
      </w:r>
      <w:bookmarkEnd w:id="137"/>
    </w:p>
    <w:p w14:paraId="2C83BE7B" w14:textId="77777777" w:rsidR="009A15A1" w:rsidRPr="009A15A1" w:rsidRDefault="009A15A1" w:rsidP="00785BE0">
      <w:pPr>
        <w:spacing w:before="120" w:after="0"/>
        <w:ind w:firstLine="0"/>
        <w:rPr>
          <w:rFonts w:eastAsia="Calibri"/>
          <w:lang w:eastAsia="en-US"/>
        </w:rPr>
      </w:pPr>
      <w:r w:rsidRPr="009A15A1">
        <w:rPr>
          <w:rFonts w:eastAsia="Calibri"/>
          <w:lang w:eastAsia="en-US"/>
        </w:rPr>
        <w:t xml:space="preserve">Príspevok na úhradu prevádzkových nákladov CHD alebo CHP a na úhradu nákladov na dopravu zamestnancov sa poskytoval právnickej osobe alebo fyzickej osobe, ak o tento príspevok písomne požiadala najneskôr do konca prvého kalendárneho mesiaca štvrťroka nasledujúceho  po štvrťroku, za ktorý príspevok žiada. </w:t>
      </w:r>
    </w:p>
    <w:p w14:paraId="552F39B1" w14:textId="77777777" w:rsidR="009A15A1" w:rsidRPr="009A15A1" w:rsidRDefault="009A15A1" w:rsidP="00785BE0">
      <w:pPr>
        <w:spacing w:before="120" w:after="0"/>
        <w:ind w:firstLine="0"/>
        <w:rPr>
          <w:rFonts w:eastAsia="Calibri"/>
          <w:lang w:eastAsia="en-US"/>
        </w:rPr>
      </w:pPr>
      <w:r w:rsidRPr="009A15A1">
        <w:rPr>
          <w:rFonts w:eastAsia="Calibri"/>
          <w:lang w:eastAsia="en-US"/>
        </w:rPr>
        <w:t xml:space="preserve">Úrad poskytuje príspevok na základe písomnej dohody o poskytnutí príspevku uzatvorenej medzi úradom a zamestnávateľom alebo medzi úradom a samostatne SZČO so ZP, zamestnávateľovi na zamestnávanie občanov so ZP v CHD/CHP alebo pre SZČO so ZP, ktorá prevádzkuje alebo vykonáva SZČ na CHP. Príspevok poskytoval príslušný úrad  na základe dokladov preukazujúcich vynaložené náklady za príslušný štvrťrok, najviac vo výške 25 %   z ustanovených súm, a to do konca mesiaca nasledujúceho po uplynutí kalendárneho štvrťroka, za ktorý sa príspevok žiadal. </w:t>
      </w:r>
    </w:p>
    <w:p w14:paraId="7A3EB77D" w14:textId="08D31DEB" w:rsidR="00785BE0" w:rsidRPr="009A15A1" w:rsidRDefault="009A15A1" w:rsidP="00785BE0">
      <w:pPr>
        <w:spacing w:before="120" w:after="120"/>
        <w:ind w:firstLine="0"/>
        <w:rPr>
          <w:rFonts w:eastAsia="Calibri"/>
          <w:lang w:eastAsia="en-US"/>
        </w:rPr>
      </w:pPr>
      <w:r w:rsidRPr="009A15A1">
        <w:rPr>
          <w:rFonts w:eastAsia="Calibri"/>
          <w:lang w:eastAsia="en-US"/>
        </w:rPr>
        <w:t>V roku 2023 bolo prostredníctvom tohto príspevku podporených 8 034 občanov so ZP, čo v porovnaní s rokom 2022 predstavuje nárast o 212 osôb. V sledovanom období boli na tento príspevok vyčerpané finančné prostriedky vo výške 34 675 801 eur, čo predstavuje medziročný nárast o 2 140 530 eur. Porovnanie počtu podporených občanov so ZP v CHD a na CHP a čerpaných finančných prostriedkov v roku 2023 v porovnaní s rokom 2022 je uvedené v</w:t>
      </w:r>
      <w:r w:rsidR="00785BE0">
        <w:rPr>
          <w:rFonts w:eastAsia="Calibri"/>
          <w:lang w:eastAsia="en-US"/>
        </w:rPr>
        <w:t xml:space="preserve"> nasledujúcej </w:t>
      </w:r>
      <w:r w:rsidRPr="009A15A1">
        <w:rPr>
          <w:rFonts w:eastAsia="Calibri"/>
          <w:lang w:eastAsia="en-US"/>
        </w:rPr>
        <w:t>tabuľke.</w:t>
      </w:r>
    </w:p>
    <w:tbl>
      <w:tblPr>
        <w:tblW w:w="9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3511"/>
        <w:gridCol w:w="3825"/>
      </w:tblGrid>
      <w:tr w:rsidR="009A15A1" w:rsidRPr="009A15A1" w14:paraId="26072FC7" w14:textId="77777777" w:rsidTr="00F25BCA">
        <w:trPr>
          <w:trHeight w:val="569"/>
        </w:trPr>
        <w:tc>
          <w:tcPr>
            <w:tcW w:w="100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1055BD9" w14:textId="69129224" w:rsidR="009A15A1" w:rsidRPr="009A15A1" w:rsidRDefault="009A15A1" w:rsidP="00785BE0">
            <w:pPr>
              <w:spacing w:after="0"/>
              <w:ind w:left="-226" w:firstLine="192"/>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Rok</w:t>
            </w:r>
          </w:p>
        </w:tc>
        <w:tc>
          <w:tcPr>
            <w:tcW w:w="1910" w:type="pct"/>
            <w:tcBorders>
              <w:top w:val="single" w:sz="4" w:space="0" w:color="auto"/>
              <w:left w:val="single" w:sz="4" w:space="0" w:color="auto"/>
              <w:bottom w:val="single" w:sz="4" w:space="0" w:color="auto"/>
              <w:right w:val="single" w:sz="4" w:space="0" w:color="auto"/>
            </w:tcBorders>
            <w:shd w:val="clear" w:color="auto" w:fill="DBE5F1"/>
            <w:vAlign w:val="center"/>
          </w:tcPr>
          <w:p w14:paraId="25A17384" w14:textId="77777777" w:rsidR="009A15A1" w:rsidRPr="009A15A1" w:rsidRDefault="009A15A1" w:rsidP="00785BE0">
            <w:pPr>
              <w:spacing w:after="0"/>
              <w:ind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podporených zamestnancov a SZČO so ZP</w:t>
            </w:r>
          </w:p>
        </w:tc>
        <w:tc>
          <w:tcPr>
            <w:tcW w:w="2081"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DD96712" w14:textId="77777777" w:rsidR="009A15A1" w:rsidRPr="009A15A1" w:rsidRDefault="009A15A1" w:rsidP="00785BE0">
            <w:pPr>
              <w:spacing w:after="0"/>
              <w:ind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Čerpanie finančných prostriedkov </w:t>
            </w:r>
          </w:p>
          <w:p w14:paraId="5853E864" w14:textId="7D7822D5" w:rsidR="009A15A1" w:rsidRPr="009A15A1" w:rsidRDefault="009A15A1" w:rsidP="00785BE0">
            <w:pPr>
              <w:spacing w:after="0"/>
              <w:ind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sz w:val="20"/>
                <w:szCs w:val="20"/>
                <w:lang w:eastAsia="en-US"/>
              </w:rPr>
              <w:t>(v</w:t>
            </w:r>
            <w:r w:rsidRPr="009A15A1">
              <w:rPr>
                <w:rFonts w:asciiTheme="minorHAnsi" w:eastAsia="Calibri" w:hAnsiTheme="minorHAnsi" w:cstheme="minorHAnsi"/>
                <w:b/>
                <w:sz w:val="20"/>
                <w:szCs w:val="20"/>
                <w:lang w:eastAsia="en-US"/>
              </w:rPr>
              <w:t xml:space="preserve"> </w:t>
            </w:r>
            <w:r w:rsidR="00AB2CA5">
              <w:rPr>
                <w:rFonts w:asciiTheme="minorHAnsi" w:eastAsia="Calibri" w:hAnsiTheme="minorHAnsi" w:cstheme="minorHAnsi"/>
                <w:sz w:val="20"/>
                <w:szCs w:val="20"/>
                <w:lang w:eastAsia="en-US"/>
              </w:rPr>
              <w:t>eur</w:t>
            </w:r>
            <w:r w:rsidRPr="009A15A1">
              <w:rPr>
                <w:rFonts w:asciiTheme="minorHAnsi" w:eastAsia="Calibri" w:hAnsiTheme="minorHAnsi" w:cstheme="minorHAnsi"/>
                <w:sz w:val="20"/>
                <w:szCs w:val="20"/>
                <w:lang w:eastAsia="en-US"/>
              </w:rPr>
              <w:t>)</w:t>
            </w:r>
          </w:p>
        </w:tc>
      </w:tr>
      <w:tr w:rsidR="009A15A1" w:rsidRPr="009A15A1" w14:paraId="01CCF085" w14:textId="77777777" w:rsidTr="00F25BCA">
        <w:trPr>
          <w:trHeight w:val="315"/>
        </w:trPr>
        <w:tc>
          <w:tcPr>
            <w:tcW w:w="1009" w:type="pct"/>
            <w:tcBorders>
              <w:top w:val="single" w:sz="4" w:space="0" w:color="auto"/>
              <w:left w:val="single" w:sz="4" w:space="0" w:color="auto"/>
              <w:bottom w:val="single" w:sz="4" w:space="0" w:color="auto"/>
              <w:right w:val="single" w:sz="4" w:space="0" w:color="auto"/>
            </w:tcBorders>
            <w:shd w:val="clear" w:color="auto" w:fill="DBE5F1"/>
            <w:vAlign w:val="center"/>
          </w:tcPr>
          <w:p w14:paraId="7CC0AAE6" w14:textId="77777777" w:rsidR="009A15A1" w:rsidRPr="009A15A1" w:rsidRDefault="009A15A1" w:rsidP="00785BE0">
            <w:pPr>
              <w:spacing w:after="0"/>
              <w:ind w:hanging="3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2022</w:t>
            </w:r>
          </w:p>
        </w:tc>
        <w:tc>
          <w:tcPr>
            <w:tcW w:w="1910" w:type="pct"/>
            <w:tcBorders>
              <w:top w:val="single" w:sz="4" w:space="0" w:color="auto"/>
              <w:left w:val="single" w:sz="4" w:space="0" w:color="auto"/>
              <w:bottom w:val="single" w:sz="4" w:space="0" w:color="auto"/>
              <w:right w:val="single" w:sz="4" w:space="0" w:color="auto"/>
            </w:tcBorders>
            <w:vAlign w:val="center"/>
          </w:tcPr>
          <w:p w14:paraId="06692FF2"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7 822</w:t>
            </w:r>
          </w:p>
        </w:tc>
        <w:tc>
          <w:tcPr>
            <w:tcW w:w="2081" w:type="pct"/>
            <w:tcBorders>
              <w:top w:val="single" w:sz="4" w:space="0" w:color="auto"/>
              <w:left w:val="single" w:sz="4" w:space="0" w:color="auto"/>
              <w:bottom w:val="single" w:sz="4" w:space="0" w:color="auto"/>
              <w:right w:val="single" w:sz="4" w:space="0" w:color="auto"/>
            </w:tcBorders>
            <w:vAlign w:val="center"/>
          </w:tcPr>
          <w:p w14:paraId="0C610A18"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32 535 271</w:t>
            </w:r>
          </w:p>
        </w:tc>
      </w:tr>
      <w:tr w:rsidR="009A15A1" w:rsidRPr="009A15A1" w14:paraId="6CA57040" w14:textId="77777777" w:rsidTr="00F25BCA">
        <w:trPr>
          <w:trHeight w:val="306"/>
        </w:trPr>
        <w:tc>
          <w:tcPr>
            <w:tcW w:w="1009" w:type="pct"/>
            <w:tcBorders>
              <w:top w:val="single" w:sz="4" w:space="0" w:color="auto"/>
              <w:left w:val="single" w:sz="4" w:space="0" w:color="auto"/>
              <w:bottom w:val="single" w:sz="4" w:space="0" w:color="auto"/>
              <w:right w:val="single" w:sz="4" w:space="0" w:color="auto"/>
            </w:tcBorders>
            <w:shd w:val="clear" w:color="auto" w:fill="DBE5F1"/>
            <w:vAlign w:val="center"/>
          </w:tcPr>
          <w:p w14:paraId="2E33E1D4" w14:textId="77777777" w:rsidR="009A15A1" w:rsidRPr="009A15A1" w:rsidRDefault="009A15A1" w:rsidP="00785BE0">
            <w:pPr>
              <w:spacing w:after="0"/>
              <w:ind w:hanging="3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2023</w:t>
            </w:r>
          </w:p>
        </w:tc>
        <w:tc>
          <w:tcPr>
            <w:tcW w:w="1910" w:type="pct"/>
            <w:tcBorders>
              <w:top w:val="single" w:sz="4" w:space="0" w:color="auto"/>
              <w:left w:val="single" w:sz="4" w:space="0" w:color="auto"/>
              <w:bottom w:val="single" w:sz="4" w:space="0" w:color="auto"/>
              <w:right w:val="single" w:sz="4" w:space="0" w:color="auto"/>
            </w:tcBorders>
            <w:vAlign w:val="center"/>
          </w:tcPr>
          <w:p w14:paraId="176B4EBF"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8 034</w:t>
            </w:r>
          </w:p>
        </w:tc>
        <w:tc>
          <w:tcPr>
            <w:tcW w:w="2081" w:type="pct"/>
            <w:tcBorders>
              <w:top w:val="single" w:sz="4" w:space="0" w:color="auto"/>
              <w:left w:val="single" w:sz="4" w:space="0" w:color="auto"/>
              <w:bottom w:val="single" w:sz="4" w:space="0" w:color="auto"/>
              <w:right w:val="single" w:sz="4" w:space="0" w:color="auto"/>
            </w:tcBorders>
            <w:vAlign w:val="center"/>
          </w:tcPr>
          <w:p w14:paraId="0AB8BFDE"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34 675 801</w:t>
            </w:r>
          </w:p>
        </w:tc>
      </w:tr>
    </w:tbl>
    <w:p w14:paraId="21D047D4" w14:textId="62C2B425" w:rsidR="009A15A1" w:rsidRPr="009A15A1" w:rsidRDefault="009A15A1" w:rsidP="005671DC">
      <w:pPr>
        <w:spacing w:before="120" w:after="0"/>
        <w:ind w:firstLine="0"/>
        <w:rPr>
          <w:rFonts w:eastAsia="Calibri"/>
          <w:lang w:eastAsia="en-US"/>
        </w:rPr>
      </w:pPr>
      <w:r w:rsidRPr="009A15A1">
        <w:rPr>
          <w:rFonts w:eastAsia="Calibri"/>
          <w:lang w:eastAsia="en-US"/>
        </w:rPr>
        <w:t xml:space="preserve">Z celkového počtu 8 034 podporených občanov so ZP, bolo v roku 2023 podporených 55,28 % žien a 44,72 % mužov. Z hľadiska vekovej štruktúry, bolo z celkového počtu 8 034  podporených občanov so ZP najväčšie zastúpenie vo veku nad 50 rokov (podiel 57,37 %), vo veku od 30 do 49 rokov (podiel 38,93 %) a vo veku od 25 do 29 rokov (podiel 2,71 %). Najmenej podporovaných občanov so ZP bolo vo veku do 24 rokov (podiel 0,99 %) </w:t>
      </w:r>
      <w:r w:rsidR="00785BE0" w:rsidRPr="005671DC">
        <w:rPr>
          <w:rFonts w:eastAsia="Calibri"/>
          <w:lang w:eastAsia="en-US"/>
        </w:rPr>
        <w:t>- v štruktúre podľa grafu.</w:t>
      </w:r>
    </w:p>
    <w:p w14:paraId="4E605E2A" w14:textId="6B2F02FE" w:rsidR="009A15A1" w:rsidRPr="009A15A1" w:rsidRDefault="00785BE0" w:rsidP="009A15A1">
      <w:pPr>
        <w:spacing w:before="120" w:after="0" w:line="259" w:lineRule="auto"/>
        <w:ind w:firstLine="0"/>
        <w:rPr>
          <w:rFonts w:ascii="Arial" w:eastAsia="Calibri" w:hAnsi="Arial" w:cs="Arial"/>
          <w:sz w:val="22"/>
          <w:szCs w:val="22"/>
          <w:lang w:eastAsia="en-US"/>
        </w:rPr>
      </w:pPr>
      <w:r w:rsidRPr="009A15A1">
        <w:rPr>
          <w:rFonts w:ascii="Calibri" w:eastAsia="Calibri" w:hAnsi="Calibri"/>
          <w:noProof/>
          <w:sz w:val="22"/>
          <w:szCs w:val="22"/>
        </w:rPr>
        <w:drawing>
          <wp:anchor distT="0" distB="0" distL="114300" distR="114300" simplePos="0" relativeHeight="252537344" behindDoc="1" locked="0" layoutInCell="1" allowOverlap="1" wp14:anchorId="4B76115E" wp14:editId="5E649393">
            <wp:simplePos x="0" y="0"/>
            <wp:positionH relativeFrom="margin">
              <wp:posOffset>-1933</wp:posOffset>
            </wp:positionH>
            <wp:positionV relativeFrom="paragraph">
              <wp:posOffset>42766</wp:posOffset>
            </wp:positionV>
            <wp:extent cx="5819775" cy="2814486"/>
            <wp:effectExtent l="0" t="0" r="9525" b="5080"/>
            <wp:wrapNone/>
            <wp:docPr id="348" name="Graf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62095C67" w14:textId="77777777" w:rsidR="009A15A1" w:rsidRPr="009A15A1" w:rsidRDefault="009A15A1" w:rsidP="009A15A1">
      <w:pPr>
        <w:spacing w:before="120" w:after="0" w:line="259" w:lineRule="auto"/>
        <w:ind w:firstLine="0"/>
        <w:rPr>
          <w:rFonts w:ascii="Arial" w:eastAsia="Calibri" w:hAnsi="Arial" w:cs="Arial"/>
          <w:sz w:val="22"/>
          <w:szCs w:val="22"/>
          <w:lang w:eastAsia="en-US"/>
        </w:rPr>
      </w:pPr>
    </w:p>
    <w:p w14:paraId="1C2AD1E2" w14:textId="77777777" w:rsidR="009A15A1" w:rsidRPr="009A15A1" w:rsidRDefault="009A15A1" w:rsidP="009A15A1">
      <w:pPr>
        <w:spacing w:before="120" w:after="160" w:line="259" w:lineRule="auto"/>
        <w:ind w:firstLine="0"/>
        <w:jc w:val="left"/>
        <w:rPr>
          <w:rFonts w:ascii="Calibri" w:eastAsia="Calibri" w:hAnsi="Calibri"/>
          <w:bCs/>
          <w:iCs/>
          <w:sz w:val="22"/>
          <w:szCs w:val="22"/>
          <w:lang w:eastAsia="en-US"/>
        </w:rPr>
      </w:pPr>
    </w:p>
    <w:p w14:paraId="31C2853F" w14:textId="77777777" w:rsidR="009A15A1" w:rsidRPr="009A15A1" w:rsidRDefault="009A15A1" w:rsidP="009A15A1">
      <w:pPr>
        <w:spacing w:before="120" w:after="160" w:line="259" w:lineRule="auto"/>
        <w:ind w:firstLine="0"/>
        <w:jc w:val="left"/>
        <w:rPr>
          <w:rFonts w:ascii="Calibri" w:eastAsia="Calibri" w:hAnsi="Calibri"/>
          <w:bCs/>
          <w:iCs/>
          <w:sz w:val="22"/>
          <w:szCs w:val="22"/>
          <w:lang w:eastAsia="en-US"/>
        </w:rPr>
      </w:pPr>
    </w:p>
    <w:p w14:paraId="0E7E99EE" w14:textId="77777777" w:rsidR="009A15A1" w:rsidRPr="009A15A1" w:rsidRDefault="009A15A1" w:rsidP="009A15A1">
      <w:pPr>
        <w:spacing w:before="120" w:after="160" w:line="259" w:lineRule="auto"/>
        <w:ind w:firstLine="0"/>
        <w:jc w:val="left"/>
        <w:rPr>
          <w:rFonts w:ascii="Calibri" w:eastAsia="Calibri" w:hAnsi="Calibri"/>
          <w:bCs/>
          <w:iCs/>
          <w:sz w:val="22"/>
          <w:szCs w:val="22"/>
          <w:lang w:eastAsia="en-US"/>
        </w:rPr>
      </w:pPr>
    </w:p>
    <w:p w14:paraId="29E40359" w14:textId="77777777" w:rsidR="009A15A1" w:rsidRPr="009A15A1" w:rsidRDefault="009A15A1" w:rsidP="009A15A1">
      <w:pPr>
        <w:tabs>
          <w:tab w:val="left" w:pos="2754"/>
        </w:tabs>
        <w:spacing w:before="120" w:after="160" w:line="259" w:lineRule="auto"/>
        <w:ind w:firstLine="0"/>
        <w:jc w:val="left"/>
        <w:rPr>
          <w:rFonts w:ascii="Calibri" w:eastAsia="Calibri" w:hAnsi="Calibri"/>
          <w:bCs/>
          <w:iCs/>
          <w:sz w:val="22"/>
          <w:szCs w:val="22"/>
          <w:lang w:eastAsia="en-US"/>
        </w:rPr>
      </w:pPr>
    </w:p>
    <w:p w14:paraId="2B61368A" w14:textId="77777777" w:rsidR="009A15A1" w:rsidRPr="009A15A1" w:rsidRDefault="009A15A1" w:rsidP="009A15A1">
      <w:pPr>
        <w:spacing w:after="160" w:line="259" w:lineRule="auto"/>
        <w:ind w:firstLine="0"/>
        <w:jc w:val="left"/>
        <w:rPr>
          <w:rFonts w:eastAsia="Calibri"/>
          <w:b/>
          <w:lang w:eastAsia="en-US"/>
        </w:rPr>
      </w:pPr>
    </w:p>
    <w:p w14:paraId="37E73C3F" w14:textId="6262E7A4" w:rsidR="009A15A1" w:rsidRDefault="009A15A1" w:rsidP="00A06B65">
      <w:pPr>
        <w:pStyle w:val="rove2"/>
        <w:tabs>
          <w:tab w:val="left" w:pos="567"/>
        </w:tabs>
        <w:spacing w:before="240" w:after="120"/>
      </w:pPr>
    </w:p>
    <w:p w14:paraId="075D750B" w14:textId="1CC57BD0" w:rsidR="009A15A1" w:rsidRDefault="009A15A1" w:rsidP="00A06B65">
      <w:pPr>
        <w:pStyle w:val="rove2"/>
        <w:tabs>
          <w:tab w:val="left" w:pos="567"/>
        </w:tabs>
        <w:spacing w:before="240" w:after="120"/>
      </w:pPr>
    </w:p>
    <w:p w14:paraId="087CEBC8" w14:textId="77777777" w:rsidR="00785BE0" w:rsidRDefault="00785BE0" w:rsidP="009E4C99">
      <w:pPr>
        <w:spacing w:before="120"/>
        <w:ind w:firstLine="0"/>
        <w:rPr>
          <w:b/>
        </w:rPr>
      </w:pPr>
      <w:bookmarkStart w:id="140" w:name="_Toc515876436"/>
      <w:bookmarkStart w:id="141" w:name="_Toc37094622"/>
      <w:bookmarkStart w:id="142" w:name="_Hlk103528031"/>
      <w:bookmarkEnd w:id="138"/>
      <w:bookmarkEnd w:id="139"/>
    </w:p>
    <w:p w14:paraId="04A5A495" w14:textId="77777777" w:rsidR="00785BE0" w:rsidRDefault="00785BE0" w:rsidP="009E4C99">
      <w:pPr>
        <w:spacing w:before="120"/>
        <w:ind w:firstLine="0"/>
        <w:rPr>
          <w:b/>
        </w:rPr>
      </w:pPr>
    </w:p>
    <w:p w14:paraId="2B4BB9BF" w14:textId="725FDA63" w:rsidR="009E4C99" w:rsidRPr="005002DD" w:rsidRDefault="00551EE3" w:rsidP="005002DD">
      <w:pPr>
        <w:pStyle w:val="Nadpis20"/>
        <w:tabs>
          <w:tab w:val="left" w:pos="567"/>
        </w:tabs>
        <w:jc w:val="both"/>
        <w:rPr>
          <w:iCs w:val="0"/>
        </w:rPr>
      </w:pPr>
      <w:bookmarkStart w:id="143" w:name="_Toc173741570"/>
      <w:r w:rsidRPr="005002DD">
        <w:rPr>
          <w:iCs w:val="0"/>
        </w:rPr>
        <w:lastRenderedPageBreak/>
        <w:t>5.5</w:t>
      </w:r>
      <w:bookmarkStart w:id="144" w:name="_Hlk37971968"/>
      <w:bookmarkEnd w:id="140"/>
      <w:bookmarkEnd w:id="141"/>
      <w:r w:rsidR="009E4C99" w:rsidRPr="005002DD">
        <w:rPr>
          <w:iCs w:val="0"/>
        </w:rPr>
        <w:t xml:space="preserve">  Vyrovnávací príspevok - § 19b zákona o sociálnej ekonomike</w:t>
      </w:r>
      <w:bookmarkEnd w:id="143"/>
    </w:p>
    <w:p w14:paraId="0CCA3DD8" w14:textId="77777777" w:rsidR="009A15A1" w:rsidRPr="009A15A1" w:rsidRDefault="009A15A1" w:rsidP="0027347C">
      <w:pPr>
        <w:spacing w:before="120" w:after="0"/>
        <w:ind w:firstLine="0"/>
        <w:rPr>
          <w:rFonts w:eastAsia="Calibri"/>
          <w:lang w:eastAsia="en-US"/>
        </w:rPr>
      </w:pPr>
      <w:bookmarkStart w:id="145" w:name="_Hlk103528832"/>
      <w:bookmarkStart w:id="146" w:name="_Hlk37972037"/>
      <w:bookmarkEnd w:id="142"/>
      <w:bookmarkEnd w:id="144"/>
      <w:r w:rsidRPr="009A15A1">
        <w:rPr>
          <w:rFonts w:eastAsia="Calibri"/>
          <w:lang w:eastAsia="en-US"/>
        </w:rPr>
        <w:t xml:space="preserve">S účinnosťou od 1. 1. 2023 boli vyrovnávacie príspevky integračnému podniku podľa § 53g zákona o službách zamestnanosti zrušené. Nahradené boli § 19b zákona o sociálnej ekonomike s názvom vyrovnávací príspevok. </w:t>
      </w:r>
    </w:p>
    <w:p w14:paraId="0AAF27A5" w14:textId="0A4F20DA" w:rsidR="009A15A1" w:rsidRPr="009A15A1" w:rsidRDefault="009A15A1" w:rsidP="00785BE0">
      <w:pPr>
        <w:spacing w:before="120" w:after="0"/>
        <w:ind w:firstLine="0"/>
        <w:rPr>
          <w:rFonts w:eastAsia="Calibri"/>
          <w:bCs/>
          <w:lang w:eastAsia="en-US"/>
        </w:rPr>
      </w:pPr>
      <w:r w:rsidRPr="009A15A1">
        <w:rPr>
          <w:rFonts w:eastAsia="Calibri"/>
          <w:bCs/>
          <w:lang w:eastAsia="en-US"/>
        </w:rPr>
        <w:t xml:space="preserve">Úrad poskytne vyrovnávací príspevok integračnému podniku na základe uzatvorenej písomnej dohody na mzdové náklady spojené so zamestnávaním znevýhodnených osôb alebo zraniteľných osôb v zmysle zákona o sociálnej ekonomike, dodatočných nákladov spojených so zamestnávaním osôb, ktoré sú znevýhodnenými osobami z dôvodu spočívajúcom v ich zdravotnom stave a náklady vynaložené na pomoc zamestnaným znevýhodneným osobám, okrem osôb, ktoré sú znevýhodnenými osobami z dôvodu spočívajúcom v ich zdravotnom stave. </w:t>
      </w:r>
    </w:p>
    <w:p w14:paraId="7C90A9DF" w14:textId="77777777" w:rsidR="009A15A1" w:rsidRPr="009A15A1" w:rsidRDefault="009A15A1" w:rsidP="00785BE0">
      <w:pPr>
        <w:spacing w:before="120" w:after="0"/>
        <w:ind w:left="-30" w:right="-30" w:firstLine="0"/>
        <w:textAlignment w:val="baseline"/>
        <w:rPr>
          <w:rFonts w:eastAsia="Calibri"/>
          <w:lang w:eastAsia="en-US"/>
        </w:rPr>
      </w:pPr>
      <w:r w:rsidRPr="009A15A1">
        <w:rPr>
          <w:rFonts w:eastAsia="Calibri"/>
          <w:lang w:eastAsia="en-US"/>
        </w:rPr>
        <w:t>V roku 2023 bol vyrovnávací príspevok poskytnutý 604 integračným podnikom, čo je v porovnaní s rokom 2022 o 39 podnikov viac.  </w:t>
      </w:r>
    </w:p>
    <w:p w14:paraId="54D1D469" w14:textId="77777777" w:rsidR="009A15A1" w:rsidRPr="009A15A1" w:rsidRDefault="009A15A1" w:rsidP="00785BE0">
      <w:pPr>
        <w:spacing w:before="120" w:after="0"/>
        <w:ind w:left="-30" w:right="-30" w:firstLine="0"/>
        <w:textAlignment w:val="baseline"/>
        <w:rPr>
          <w:rFonts w:eastAsia="Calibri"/>
          <w:lang w:eastAsia="en-US"/>
        </w:rPr>
      </w:pPr>
      <w:r w:rsidRPr="009A15A1">
        <w:rPr>
          <w:rFonts w:eastAsia="Calibri"/>
          <w:lang w:eastAsia="en-US"/>
        </w:rPr>
        <w:t xml:space="preserve">V roku 2023 bolo finančne podporovaných celkom 9 283 znevýhodnených a zraniteľných osôb zamestnaných v integračných podnikoch. V tomto počte sú zarátane osoby, na ktoré sa vyplácali príspevky z dohôd uzatvorených v roku 2022 ešte podľa § 53g zákona o službách zamestnanosti (3 908 zamestnancov) a 5 375 zamestnancov podporovaných už v rámci nového § 19b zákona o sociálnej ekonomike. </w:t>
      </w:r>
    </w:p>
    <w:p w14:paraId="60BCACCE" w14:textId="54805B94" w:rsidR="009A15A1" w:rsidRPr="009A15A1" w:rsidRDefault="009A15A1" w:rsidP="00785BE0">
      <w:pPr>
        <w:spacing w:before="120" w:after="120"/>
        <w:ind w:left="-28" w:right="-28" w:firstLine="0"/>
        <w:textAlignment w:val="baseline"/>
        <w:rPr>
          <w:rFonts w:eastAsia="Calibri"/>
          <w:lang w:eastAsia="en-US"/>
        </w:rPr>
      </w:pPr>
      <w:r w:rsidRPr="009A15A1">
        <w:rPr>
          <w:rFonts w:eastAsia="Calibri"/>
          <w:lang w:eastAsia="en-US"/>
        </w:rPr>
        <w:t xml:space="preserve">Za hodnotený rok 2023 bolo na § 19b </w:t>
      </w:r>
      <w:r w:rsidRPr="009A15A1">
        <w:rPr>
          <w:rFonts w:eastAsia="Calibri"/>
          <w:u w:val="single"/>
          <w:lang w:eastAsia="en-US"/>
        </w:rPr>
        <w:t>zaradených</w:t>
      </w:r>
      <w:r w:rsidRPr="009A15A1">
        <w:rPr>
          <w:rFonts w:eastAsia="Calibri"/>
          <w:lang w:eastAsia="en-US"/>
        </w:rPr>
        <w:t xml:space="preserve"> 5 802 klientov. Oproti roku 2022 to predstavuje nárast počtu zaradených osôb o 890. Rastúci trend sa prejavil aj vo vyššej čerpanej sume finančných prostriedkov, ktorá v roku 2023</w:t>
      </w:r>
      <w:r w:rsidR="005B560B">
        <w:rPr>
          <w:rFonts w:eastAsia="Calibri"/>
          <w:lang w:eastAsia="en-US"/>
        </w:rPr>
        <w:t xml:space="preserve"> predstavovala čiastku 40 911 91</w:t>
      </w:r>
      <w:r w:rsidRPr="009A15A1">
        <w:rPr>
          <w:rFonts w:eastAsia="Calibri"/>
          <w:lang w:eastAsia="en-US"/>
        </w:rPr>
        <w:t xml:space="preserve">3 </w:t>
      </w:r>
      <w:r w:rsidR="00AB2CA5">
        <w:rPr>
          <w:rFonts w:eastAsia="Calibri"/>
          <w:lang w:eastAsia="en-US"/>
        </w:rPr>
        <w:t>eur</w:t>
      </w:r>
      <w:r w:rsidRPr="009A15A1">
        <w:rPr>
          <w:rFonts w:eastAsia="Calibri"/>
          <w:lang w:eastAsia="en-US"/>
        </w:rPr>
        <w:t xml:space="preserve"> (spolu na § 53g aj § 19b), čo je </w:t>
      </w:r>
      <w:r w:rsidR="005B560B">
        <w:rPr>
          <w:rFonts w:eastAsia="Calibri"/>
          <w:lang w:eastAsia="en-US"/>
        </w:rPr>
        <w:t>v porovnaní s rokom 2022 o 7 916 93</w:t>
      </w:r>
      <w:r w:rsidRPr="009A15A1">
        <w:rPr>
          <w:rFonts w:eastAsia="Calibri"/>
          <w:lang w:eastAsia="en-US"/>
        </w:rPr>
        <w:t xml:space="preserve">0 </w:t>
      </w:r>
      <w:r w:rsidR="00AB2CA5">
        <w:rPr>
          <w:rFonts w:eastAsia="Calibri"/>
          <w:lang w:eastAsia="en-US"/>
        </w:rPr>
        <w:t>eur</w:t>
      </w:r>
      <w:r w:rsidRPr="009A15A1">
        <w:rPr>
          <w:rFonts w:eastAsia="Calibri"/>
          <w:lang w:eastAsia="en-US"/>
        </w:rPr>
        <w:t xml:space="preserve"> viac. </w:t>
      </w:r>
    </w:p>
    <w:tbl>
      <w:tblPr>
        <w:tblpPr w:leftFromText="141" w:rightFromText="141" w:vertAnchor="text" w:tblpXSpec="center" w:tblpY="1"/>
        <w:tblOverlap w:val="neve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2700"/>
        <w:gridCol w:w="2696"/>
        <w:gridCol w:w="2699"/>
      </w:tblGrid>
      <w:tr w:rsidR="009A15A1" w:rsidRPr="009A15A1" w14:paraId="5F69CEC4" w14:textId="77777777" w:rsidTr="00785BE0">
        <w:trPr>
          <w:trHeight w:val="96"/>
        </w:trPr>
        <w:tc>
          <w:tcPr>
            <w:tcW w:w="1092" w:type="dxa"/>
            <w:shd w:val="clear" w:color="auto" w:fill="DBE5F1"/>
            <w:vAlign w:val="center"/>
          </w:tcPr>
          <w:p w14:paraId="413E39EC" w14:textId="77777777" w:rsidR="009A15A1" w:rsidRPr="009A15A1" w:rsidRDefault="009A15A1" w:rsidP="00785BE0">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bCs/>
                <w:sz w:val="20"/>
                <w:szCs w:val="20"/>
                <w:lang w:eastAsia="en-US"/>
              </w:rPr>
              <w:t xml:space="preserve">               Rok</w:t>
            </w:r>
          </w:p>
        </w:tc>
        <w:tc>
          <w:tcPr>
            <w:tcW w:w="2700" w:type="dxa"/>
            <w:shd w:val="clear" w:color="auto" w:fill="DBE5F1"/>
            <w:vAlign w:val="center"/>
          </w:tcPr>
          <w:p w14:paraId="0B40D978" w14:textId="77777777" w:rsidR="009A15A1" w:rsidRPr="009A15A1" w:rsidRDefault="009A15A1" w:rsidP="00785BE0">
            <w:pPr>
              <w:spacing w:after="0"/>
              <w:ind w:left="192" w:hanging="118"/>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integračných podnikov</w:t>
            </w:r>
          </w:p>
        </w:tc>
        <w:tc>
          <w:tcPr>
            <w:tcW w:w="2696" w:type="dxa"/>
            <w:shd w:val="clear" w:color="auto" w:fill="DBE5F1"/>
            <w:vAlign w:val="center"/>
          </w:tcPr>
          <w:p w14:paraId="51E3960D" w14:textId="77777777" w:rsidR="009A15A1" w:rsidRPr="009A15A1" w:rsidRDefault="009A15A1" w:rsidP="00785BE0">
            <w:pPr>
              <w:spacing w:after="0"/>
              <w:ind w:left="155" w:firstLine="0"/>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Počet zaradených klientov</w:t>
            </w:r>
          </w:p>
        </w:tc>
        <w:tc>
          <w:tcPr>
            <w:tcW w:w="2699" w:type="dxa"/>
            <w:shd w:val="clear" w:color="auto" w:fill="DBE5F1"/>
            <w:vAlign w:val="center"/>
          </w:tcPr>
          <w:p w14:paraId="2300592D" w14:textId="401B4B8A" w:rsidR="009A15A1" w:rsidRPr="009A15A1" w:rsidRDefault="009A15A1" w:rsidP="00785BE0">
            <w:pPr>
              <w:spacing w:after="0"/>
              <w:ind w:left="155"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b/>
                <w:sz w:val="20"/>
                <w:szCs w:val="20"/>
                <w:lang w:eastAsia="en-US"/>
              </w:rPr>
              <w:t xml:space="preserve">Čerpanie  finančných prostriedkov </w:t>
            </w:r>
            <w:r w:rsidRPr="009A15A1">
              <w:rPr>
                <w:rFonts w:asciiTheme="minorHAnsi" w:eastAsia="Calibri" w:hAnsiTheme="minorHAnsi" w:cstheme="minorHAnsi"/>
                <w:sz w:val="20"/>
                <w:szCs w:val="20"/>
                <w:lang w:eastAsia="en-US"/>
              </w:rPr>
              <w:t xml:space="preserve">(v </w:t>
            </w:r>
            <w:r w:rsidR="00AB2CA5">
              <w:rPr>
                <w:rFonts w:asciiTheme="minorHAnsi" w:eastAsia="Calibri" w:hAnsiTheme="minorHAnsi" w:cstheme="minorHAnsi"/>
                <w:sz w:val="20"/>
                <w:szCs w:val="20"/>
                <w:lang w:eastAsia="en-US"/>
              </w:rPr>
              <w:t>eur</w:t>
            </w:r>
            <w:r w:rsidRPr="009A15A1">
              <w:rPr>
                <w:rFonts w:asciiTheme="minorHAnsi" w:eastAsia="Calibri" w:hAnsiTheme="minorHAnsi" w:cstheme="minorHAnsi"/>
                <w:sz w:val="20"/>
                <w:szCs w:val="20"/>
                <w:lang w:eastAsia="en-US"/>
              </w:rPr>
              <w:t>)</w:t>
            </w:r>
          </w:p>
        </w:tc>
      </w:tr>
      <w:tr w:rsidR="009A15A1" w:rsidRPr="009A15A1" w14:paraId="7F56F843" w14:textId="77777777" w:rsidTr="00785BE0">
        <w:trPr>
          <w:trHeight w:val="395"/>
        </w:trPr>
        <w:tc>
          <w:tcPr>
            <w:tcW w:w="1092" w:type="dxa"/>
            <w:shd w:val="clear" w:color="auto" w:fill="DBE5F1"/>
            <w:vAlign w:val="center"/>
          </w:tcPr>
          <w:p w14:paraId="792E109D" w14:textId="77777777" w:rsidR="009A15A1" w:rsidRPr="009A15A1" w:rsidRDefault="009A15A1" w:rsidP="00785BE0">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               2022</w:t>
            </w:r>
          </w:p>
        </w:tc>
        <w:tc>
          <w:tcPr>
            <w:tcW w:w="2700" w:type="dxa"/>
            <w:vAlign w:val="center"/>
          </w:tcPr>
          <w:p w14:paraId="774047F3"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565</w:t>
            </w:r>
          </w:p>
        </w:tc>
        <w:tc>
          <w:tcPr>
            <w:tcW w:w="2696" w:type="dxa"/>
            <w:vAlign w:val="center"/>
          </w:tcPr>
          <w:p w14:paraId="78152B49"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4 912</w:t>
            </w:r>
          </w:p>
        </w:tc>
        <w:tc>
          <w:tcPr>
            <w:tcW w:w="2699" w:type="dxa"/>
            <w:vAlign w:val="center"/>
          </w:tcPr>
          <w:p w14:paraId="5F2A9304"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32 994 983</w:t>
            </w:r>
          </w:p>
        </w:tc>
      </w:tr>
      <w:tr w:rsidR="009A15A1" w:rsidRPr="009A15A1" w14:paraId="196E4B6C" w14:textId="77777777" w:rsidTr="00785BE0">
        <w:trPr>
          <w:trHeight w:val="395"/>
        </w:trPr>
        <w:tc>
          <w:tcPr>
            <w:tcW w:w="1092" w:type="dxa"/>
            <w:shd w:val="clear" w:color="auto" w:fill="DBE5F1"/>
            <w:vAlign w:val="center"/>
          </w:tcPr>
          <w:p w14:paraId="467F0D30" w14:textId="77777777" w:rsidR="009A15A1" w:rsidRPr="009A15A1" w:rsidRDefault="009A15A1" w:rsidP="00785BE0">
            <w:pPr>
              <w:spacing w:after="0"/>
              <w:ind w:hanging="714"/>
              <w:jc w:val="center"/>
              <w:rPr>
                <w:rFonts w:asciiTheme="minorHAnsi" w:eastAsia="Calibri" w:hAnsiTheme="minorHAnsi" w:cstheme="minorHAnsi"/>
                <w:b/>
                <w:sz w:val="20"/>
                <w:szCs w:val="20"/>
                <w:lang w:eastAsia="en-US"/>
              </w:rPr>
            </w:pPr>
            <w:r w:rsidRPr="009A15A1">
              <w:rPr>
                <w:rFonts w:asciiTheme="minorHAnsi" w:eastAsia="Calibri" w:hAnsiTheme="minorHAnsi" w:cstheme="minorHAnsi"/>
                <w:b/>
                <w:sz w:val="20"/>
                <w:szCs w:val="20"/>
                <w:lang w:eastAsia="en-US"/>
              </w:rPr>
              <w:t xml:space="preserve">               2023</w:t>
            </w:r>
          </w:p>
        </w:tc>
        <w:tc>
          <w:tcPr>
            <w:tcW w:w="2700" w:type="dxa"/>
            <w:vAlign w:val="center"/>
          </w:tcPr>
          <w:p w14:paraId="1329C52E"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604</w:t>
            </w:r>
          </w:p>
        </w:tc>
        <w:tc>
          <w:tcPr>
            <w:tcW w:w="2696" w:type="dxa"/>
            <w:vAlign w:val="center"/>
          </w:tcPr>
          <w:p w14:paraId="447E27EA" w14:textId="77777777" w:rsidR="009A15A1" w:rsidRPr="009A15A1" w:rsidRDefault="009A15A1" w:rsidP="00785BE0">
            <w:pPr>
              <w:spacing w:after="0"/>
              <w:ind w:firstLine="0"/>
              <w:jc w:val="center"/>
              <w:rPr>
                <w:rFonts w:asciiTheme="minorHAnsi" w:eastAsia="Calibri" w:hAnsiTheme="minorHAnsi" w:cstheme="minorHAnsi"/>
                <w:sz w:val="20"/>
                <w:szCs w:val="20"/>
                <w:lang w:eastAsia="en-US"/>
              </w:rPr>
            </w:pPr>
            <w:r w:rsidRPr="009A15A1">
              <w:rPr>
                <w:rFonts w:asciiTheme="minorHAnsi" w:eastAsia="Calibri" w:hAnsiTheme="minorHAnsi" w:cstheme="minorHAnsi"/>
                <w:sz w:val="20"/>
                <w:szCs w:val="20"/>
                <w:lang w:eastAsia="en-US"/>
              </w:rPr>
              <w:t>5 802</w:t>
            </w:r>
          </w:p>
        </w:tc>
        <w:tc>
          <w:tcPr>
            <w:tcW w:w="2699" w:type="dxa"/>
            <w:vAlign w:val="center"/>
          </w:tcPr>
          <w:p w14:paraId="36CE0A4F" w14:textId="451C7B7C" w:rsidR="009A15A1" w:rsidRPr="009A15A1" w:rsidRDefault="005B560B" w:rsidP="00785BE0">
            <w:pPr>
              <w:spacing w:after="0"/>
              <w:ind w:firstLine="0"/>
              <w:jc w:val="center"/>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40 911 913</w:t>
            </w:r>
          </w:p>
        </w:tc>
      </w:tr>
    </w:tbl>
    <w:p w14:paraId="37503617" w14:textId="77777777" w:rsidR="009A15A1" w:rsidRPr="009A15A1" w:rsidRDefault="009A15A1" w:rsidP="00785BE0">
      <w:pPr>
        <w:spacing w:after="0"/>
        <w:ind w:firstLine="0"/>
        <w:jc w:val="left"/>
        <w:rPr>
          <w:rFonts w:eastAsia="Calibri"/>
          <w:lang w:eastAsia="en-US"/>
        </w:rPr>
      </w:pPr>
    </w:p>
    <w:p w14:paraId="1B37F19D" w14:textId="21D48310" w:rsidR="009A15A1" w:rsidRDefault="009A15A1" w:rsidP="00970F64">
      <w:pPr>
        <w:spacing w:after="120"/>
        <w:ind w:firstLine="0"/>
        <w:rPr>
          <w:rFonts w:eastAsia="Calibri"/>
          <w:lang w:eastAsia="en-US"/>
        </w:rPr>
      </w:pPr>
      <w:r w:rsidRPr="009A15A1">
        <w:rPr>
          <w:rFonts w:eastAsia="Calibri"/>
          <w:lang w:eastAsia="en-US"/>
        </w:rPr>
        <w:t xml:space="preserve">Z hľadiska druhu znevýhodnenia bolo v rámci integračných podnikov zaradených najviac zamestnancov, ktorí sú znevýhodnenými osobami podľa § 2 ods. 5 písm. b) zákona o sociálnej </w:t>
      </w:r>
      <w:r w:rsidR="00785BE0">
        <w:rPr>
          <w:rFonts w:eastAsia="Calibri"/>
          <w:lang w:eastAsia="en-US"/>
        </w:rPr>
        <w:t>ekonomike, viď graf</w:t>
      </w:r>
      <w:r w:rsidRPr="009A15A1">
        <w:rPr>
          <w:rFonts w:eastAsia="Calibri"/>
          <w:lang w:eastAsia="en-US"/>
        </w:rPr>
        <w:t>.</w:t>
      </w:r>
    </w:p>
    <w:p w14:paraId="572B4B4E" w14:textId="77777777" w:rsidR="009A15A1" w:rsidRPr="009A15A1" w:rsidRDefault="009A15A1" w:rsidP="009A15A1">
      <w:pPr>
        <w:spacing w:after="160" w:line="259" w:lineRule="auto"/>
        <w:ind w:firstLine="0"/>
        <w:jc w:val="left"/>
        <w:rPr>
          <w:rFonts w:ascii="Calibri" w:eastAsia="Calibri" w:hAnsi="Calibri"/>
          <w:sz w:val="22"/>
          <w:szCs w:val="22"/>
          <w:lang w:eastAsia="en-US"/>
        </w:rPr>
      </w:pPr>
      <w:r w:rsidRPr="009A15A1">
        <w:rPr>
          <w:rFonts w:ascii="Calibri" w:eastAsia="Calibri" w:hAnsi="Calibri"/>
          <w:noProof/>
          <w:sz w:val="22"/>
          <w:szCs w:val="22"/>
        </w:rPr>
        <w:drawing>
          <wp:inline distT="0" distB="0" distL="0" distR="0" wp14:anchorId="77A7E90C" wp14:editId="1129F180">
            <wp:extent cx="5760720" cy="3164619"/>
            <wp:effectExtent l="0" t="0" r="11430" b="1714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2F4E2A7" w14:textId="77777777" w:rsidR="009A15A1" w:rsidRPr="009A15A1" w:rsidRDefault="009A15A1" w:rsidP="009A15A1">
      <w:pPr>
        <w:spacing w:after="160" w:line="259" w:lineRule="auto"/>
        <w:ind w:firstLine="0"/>
        <w:jc w:val="left"/>
        <w:rPr>
          <w:rFonts w:ascii="Calibri" w:eastAsia="Calibri" w:hAnsi="Calibri"/>
          <w:sz w:val="22"/>
          <w:szCs w:val="22"/>
          <w:lang w:eastAsia="en-US"/>
        </w:rPr>
      </w:pPr>
    </w:p>
    <w:p w14:paraId="73CC14EA" w14:textId="4050B339" w:rsidR="009B57BA" w:rsidRPr="00C35CA8" w:rsidRDefault="0048705B" w:rsidP="00D4483F">
      <w:pPr>
        <w:pStyle w:val="Nadpis1"/>
        <w:numPr>
          <w:ilvl w:val="0"/>
          <w:numId w:val="0"/>
        </w:numPr>
        <w:spacing w:before="120" w:after="120"/>
        <w:ind w:left="720" w:hanging="720"/>
        <w:rPr>
          <w:lang w:eastAsia="en-US"/>
        </w:rPr>
      </w:pPr>
      <w:bookmarkStart w:id="147" w:name="_Toc514941067"/>
      <w:bookmarkStart w:id="148" w:name="_Toc37094629"/>
      <w:bookmarkStart w:id="149" w:name="_Toc173741571"/>
      <w:bookmarkStart w:id="150" w:name="_Hlk37972096"/>
      <w:bookmarkEnd w:id="145"/>
      <w:bookmarkEnd w:id="146"/>
      <w:r w:rsidRPr="00C35CA8">
        <w:rPr>
          <w:lang w:eastAsia="en-US"/>
        </w:rPr>
        <w:lastRenderedPageBreak/>
        <w:t>6</w:t>
      </w:r>
      <w:r w:rsidR="006353F3" w:rsidRPr="00C35CA8">
        <w:rPr>
          <w:lang w:eastAsia="en-US"/>
        </w:rPr>
        <w:tab/>
      </w:r>
      <w:r w:rsidR="000E3E8B" w:rsidRPr="00C35CA8">
        <w:rPr>
          <w:lang w:eastAsia="en-US"/>
        </w:rPr>
        <w:t>PROJEKTY A PROGRAMY - § 54 ZÁKONA</w:t>
      </w:r>
      <w:bookmarkEnd w:id="147"/>
      <w:bookmarkEnd w:id="148"/>
      <w:r w:rsidR="005F2728" w:rsidRPr="00C35CA8">
        <w:rPr>
          <w:lang w:eastAsia="en-US"/>
        </w:rPr>
        <w:t xml:space="preserve"> O SLUŽBÁCH ZAMESTNANOSTI</w:t>
      </w:r>
      <w:bookmarkEnd w:id="149"/>
    </w:p>
    <w:p w14:paraId="1D47EA70" w14:textId="77777777" w:rsidR="009B57BA" w:rsidRPr="00C35CA8" w:rsidRDefault="0048705B" w:rsidP="00D366D0">
      <w:pPr>
        <w:pStyle w:val="Nadpis20"/>
        <w:tabs>
          <w:tab w:val="left" w:pos="567"/>
        </w:tabs>
        <w:jc w:val="both"/>
        <w:rPr>
          <w:color w:val="auto"/>
          <w:lang w:eastAsia="en-US"/>
        </w:rPr>
      </w:pPr>
      <w:bookmarkStart w:id="151" w:name="_Toc514941069"/>
      <w:bookmarkStart w:id="152" w:name="_Toc37094630"/>
      <w:bookmarkStart w:id="153" w:name="_Toc173741572"/>
      <w:bookmarkStart w:id="154" w:name="_Hlk103529527"/>
      <w:bookmarkEnd w:id="150"/>
      <w:r w:rsidRPr="00C35CA8">
        <w:rPr>
          <w:rStyle w:val="rove2Char"/>
          <w:b/>
        </w:rPr>
        <w:t>6</w:t>
      </w:r>
      <w:bookmarkStart w:id="155" w:name="_Hlk37972195"/>
      <w:r w:rsidR="004219D8" w:rsidRPr="00C35CA8">
        <w:rPr>
          <w:rStyle w:val="rove2Char"/>
          <w:b/>
        </w:rPr>
        <w:t>.1</w:t>
      </w:r>
      <w:r w:rsidR="004219D8" w:rsidRPr="00C35CA8">
        <w:rPr>
          <w:rStyle w:val="rove2Char"/>
          <w:b/>
        </w:rPr>
        <w:tab/>
      </w:r>
      <w:r w:rsidR="009B57BA" w:rsidRPr="00C35CA8">
        <w:rPr>
          <w:rStyle w:val="rove2Char"/>
          <w:b/>
        </w:rPr>
        <w:t xml:space="preserve">Národné projekty realizované podľa § 54 zákona v rámci </w:t>
      </w:r>
      <w:r w:rsidR="00002BA9" w:rsidRPr="00C35CA8">
        <w:rPr>
          <w:rStyle w:val="rove2Char"/>
          <w:b/>
        </w:rPr>
        <w:t>O</w:t>
      </w:r>
      <w:r w:rsidR="005E5CBC" w:rsidRPr="00C35CA8">
        <w:rPr>
          <w:rStyle w:val="rove2Char"/>
          <w:b/>
        </w:rPr>
        <w:t>peračného programu</w:t>
      </w:r>
      <w:r w:rsidR="00A37F01" w:rsidRPr="00C35CA8">
        <w:rPr>
          <w:rStyle w:val="rove2Char"/>
          <w:b/>
        </w:rPr>
        <w:br/>
        <w:t xml:space="preserve">         </w:t>
      </w:r>
      <w:r w:rsidR="005E5CBC" w:rsidRPr="00C35CA8">
        <w:rPr>
          <w:rStyle w:val="rove2Char"/>
          <w:b/>
        </w:rPr>
        <w:t xml:space="preserve"> </w:t>
      </w:r>
      <w:r w:rsidR="009B57BA" w:rsidRPr="00C35CA8">
        <w:rPr>
          <w:rStyle w:val="rove2Char"/>
          <w:b/>
        </w:rPr>
        <w:t>Ľudské zdroje</w:t>
      </w:r>
      <w:r w:rsidR="009B57BA" w:rsidRPr="00C35CA8">
        <w:rPr>
          <w:lang w:eastAsia="en-US"/>
        </w:rPr>
        <w:t xml:space="preserve"> zamerané na zavedenie záruky pre mladých nezamestnaných ľudí</w:t>
      </w:r>
      <w:r w:rsidR="00A37F01" w:rsidRPr="00C35CA8">
        <w:rPr>
          <w:lang w:eastAsia="en-US"/>
        </w:rPr>
        <w:br/>
        <w:t xml:space="preserve">        </w:t>
      </w:r>
      <w:r w:rsidR="009B57BA" w:rsidRPr="00C35CA8">
        <w:rPr>
          <w:lang w:eastAsia="en-US"/>
        </w:rPr>
        <w:t xml:space="preserve"> </w:t>
      </w:r>
      <w:r w:rsidR="00A37F01" w:rsidRPr="00C35CA8">
        <w:rPr>
          <w:lang w:eastAsia="en-US"/>
        </w:rPr>
        <w:t xml:space="preserve"> </w:t>
      </w:r>
      <w:r w:rsidR="009B57BA" w:rsidRPr="00C35CA8">
        <w:rPr>
          <w:lang w:eastAsia="en-US"/>
        </w:rPr>
        <w:t>(UoZ), ktorí patria k NEET, zvýšenie zamestnan</w:t>
      </w:r>
      <w:r w:rsidR="00A37F01" w:rsidRPr="00C35CA8">
        <w:rPr>
          <w:lang w:eastAsia="en-US"/>
        </w:rPr>
        <w:t>osti, zamestnateľnosti a účasti</w:t>
      </w:r>
      <w:r w:rsidR="00A37F01" w:rsidRPr="00C35CA8">
        <w:rPr>
          <w:lang w:eastAsia="en-US"/>
        </w:rPr>
        <w:br/>
        <w:t xml:space="preserve">          </w:t>
      </w:r>
      <w:r w:rsidR="009B57BA" w:rsidRPr="00C35CA8">
        <w:rPr>
          <w:lang w:eastAsia="en-US"/>
        </w:rPr>
        <w:t xml:space="preserve">mladých ľudí na trhu práce </w:t>
      </w:r>
      <w:r w:rsidR="00CB65C5" w:rsidRPr="00C35CA8">
        <w:rPr>
          <w:lang w:eastAsia="en-US"/>
        </w:rPr>
        <w:t xml:space="preserve">- </w:t>
      </w:r>
      <w:r w:rsidR="009B57BA" w:rsidRPr="00C35CA8">
        <w:rPr>
          <w:lang w:eastAsia="en-US"/>
        </w:rPr>
        <w:t>Prioritná os 2: Iniciatíva na podporu zamestnanosti</w:t>
      </w:r>
      <w:r w:rsidR="00A37F01" w:rsidRPr="00C35CA8">
        <w:rPr>
          <w:lang w:eastAsia="en-US"/>
        </w:rPr>
        <w:br/>
        <w:t xml:space="preserve">       </w:t>
      </w:r>
      <w:r w:rsidR="009B57BA" w:rsidRPr="00C35CA8">
        <w:rPr>
          <w:lang w:eastAsia="en-US"/>
        </w:rPr>
        <w:t xml:space="preserve"> </w:t>
      </w:r>
      <w:r w:rsidR="00A37F01" w:rsidRPr="00C35CA8">
        <w:rPr>
          <w:lang w:eastAsia="en-US"/>
        </w:rPr>
        <w:t xml:space="preserve">  </w:t>
      </w:r>
      <w:r w:rsidR="009B57BA" w:rsidRPr="00C35CA8">
        <w:rPr>
          <w:lang w:eastAsia="en-US"/>
        </w:rPr>
        <w:t>mladých ľudí</w:t>
      </w:r>
      <w:bookmarkEnd w:id="151"/>
      <w:bookmarkEnd w:id="152"/>
      <w:bookmarkEnd w:id="153"/>
      <w:r w:rsidR="009341B3" w:rsidRPr="00C35CA8">
        <w:rPr>
          <w:lang w:eastAsia="en-US"/>
        </w:rPr>
        <w:t xml:space="preserve"> </w:t>
      </w:r>
    </w:p>
    <w:bookmarkEnd w:id="154"/>
    <w:bookmarkEnd w:id="155"/>
    <w:p w14:paraId="6AF99D55" w14:textId="2C4EA9B8" w:rsidR="00D807C3" w:rsidRPr="00C35CA8" w:rsidRDefault="00002BA9" w:rsidP="00D4483F">
      <w:pPr>
        <w:spacing w:before="120" w:after="120"/>
      </w:pPr>
      <w:r w:rsidRPr="00C35CA8">
        <w:t>NP</w:t>
      </w:r>
      <w:r w:rsidR="00D807C3" w:rsidRPr="00C35CA8">
        <w:t xml:space="preserve"> zamerané na podporu zvýšenia zamestnateľnosti a zamestnanosti mladých ľudí</w:t>
      </w:r>
      <w:r w:rsidR="00CC16CF" w:rsidRPr="00C35CA8">
        <w:t xml:space="preserve"> </w:t>
      </w:r>
      <w:r w:rsidR="00D807C3" w:rsidRPr="00C35CA8">
        <w:t>sa aj v roku 20</w:t>
      </w:r>
      <w:r w:rsidRPr="00C35CA8">
        <w:t>2</w:t>
      </w:r>
      <w:r w:rsidR="00987D49">
        <w:t>3</w:t>
      </w:r>
      <w:r w:rsidR="00D807C3" w:rsidRPr="00C35CA8">
        <w:t xml:space="preserve"> realizovali ako podporné opatrenia pre integráciu mladých ľudí na </w:t>
      </w:r>
      <w:r w:rsidRPr="00C35CA8">
        <w:t>TP</w:t>
      </w:r>
      <w:r w:rsidR="00D807C3" w:rsidRPr="00C35CA8">
        <w:t xml:space="preserve"> v rámci </w:t>
      </w:r>
      <w:r w:rsidRPr="00C35CA8">
        <w:t>n</w:t>
      </w:r>
      <w:r w:rsidR="00D807C3" w:rsidRPr="00C35CA8">
        <w:t xml:space="preserve">árodného plánu implementácie </w:t>
      </w:r>
      <w:r w:rsidR="00D5069E" w:rsidRPr="00C35CA8">
        <w:t>Z</w:t>
      </w:r>
      <w:r w:rsidR="00D807C3" w:rsidRPr="00C35CA8">
        <w:t>áruky pre mladých ľudí v</w:t>
      </w:r>
      <w:r w:rsidR="00987D49">
        <w:t> </w:t>
      </w:r>
      <w:r w:rsidRPr="00C35CA8">
        <w:t>SR</w:t>
      </w:r>
      <w:r w:rsidR="00987D49">
        <w:t xml:space="preserve"> ešte z roku 2014</w:t>
      </w:r>
      <w:r w:rsidR="00D807C3" w:rsidRPr="00C35CA8">
        <w:t>.</w:t>
      </w:r>
    </w:p>
    <w:p w14:paraId="28439684" w14:textId="48C65070" w:rsidR="00D807C3" w:rsidRPr="00C35CA8" w:rsidRDefault="00002BA9" w:rsidP="00987D49">
      <w:pPr>
        <w:spacing w:before="120" w:after="0"/>
        <w:ind w:hanging="6"/>
      </w:pPr>
      <w:r w:rsidRPr="00C35CA8">
        <w:t>NP</w:t>
      </w:r>
      <w:r w:rsidR="00D807C3" w:rsidRPr="00C35CA8">
        <w:t xml:space="preserve"> zamerané na podporu zvýšenia zamestnateľnosti a zamestnanosti mladých ľudí</w:t>
      </w:r>
      <w:r w:rsidR="00CC16CF" w:rsidRPr="00C35CA8">
        <w:t xml:space="preserve"> </w:t>
      </w:r>
      <w:r w:rsidR="00707F5B" w:rsidRPr="00C35CA8">
        <w:br/>
      </w:r>
      <w:r w:rsidR="00987D49">
        <w:t xml:space="preserve">boli aj v hodnotenom roku </w:t>
      </w:r>
      <w:r w:rsidR="00D807C3" w:rsidRPr="00C35CA8">
        <w:t xml:space="preserve">financované z prostriedkov </w:t>
      </w:r>
      <w:r w:rsidR="00987D49" w:rsidRPr="00C35CA8">
        <w:t xml:space="preserve">EÚ v rámci OP ĽZ </w:t>
      </w:r>
      <w:r w:rsidR="00D807C3" w:rsidRPr="00C35CA8">
        <w:t>a spolufinancovan</w:t>
      </w:r>
      <w:r w:rsidRPr="00C35CA8">
        <w:t>é</w:t>
      </w:r>
      <w:r w:rsidR="00987D49">
        <w:t xml:space="preserve"> z finančných prostriedkov </w:t>
      </w:r>
      <w:r w:rsidR="00987D49" w:rsidRPr="00C35CA8">
        <w:t>ŠR SR</w:t>
      </w:r>
      <w:r w:rsidR="00D807C3" w:rsidRPr="00C35CA8">
        <w:t>. Podporným rám</w:t>
      </w:r>
      <w:r w:rsidR="00987D49">
        <w:t xml:space="preserve">com pre implementáciu záruky bol </w:t>
      </w:r>
      <w:r w:rsidRPr="00C35CA8">
        <w:t xml:space="preserve">OP ĽZ </w:t>
      </w:r>
      <w:r w:rsidR="00D807C3" w:rsidRPr="00C35CA8">
        <w:t xml:space="preserve">na programové obdobie 2014 – 2020, najmä </w:t>
      </w:r>
      <w:r w:rsidR="00987D49">
        <w:t xml:space="preserve">prioritná os </w:t>
      </w:r>
      <w:r w:rsidR="00D5069E" w:rsidRPr="00C35CA8">
        <w:t>2</w:t>
      </w:r>
      <w:r w:rsidR="00D807C3" w:rsidRPr="00C35CA8">
        <w:t xml:space="preserve"> </w:t>
      </w:r>
      <w:r w:rsidR="00987D49">
        <w:t xml:space="preserve">- </w:t>
      </w:r>
      <w:r w:rsidR="00D807C3" w:rsidRPr="00C35CA8">
        <w:t>Iniciatíva na podporu zamestnanosti mladých ľudí.</w:t>
      </w:r>
      <w:r w:rsidR="00987D49">
        <w:t xml:space="preserve"> </w:t>
      </w:r>
    </w:p>
    <w:p w14:paraId="364DF360" w14:textId="2DA740A3" w:rsidR="00204668" w:rsidRDefault="00FA7002" w:rsidP="003D0835">
      <w:pPr>
        <w:pStyle w:val="Nadpis30"/>
        <w:spacing w:before="240" w:after="0"/>
        <w:ind w:hanging="6"/>
      </w:pPr>
      <w:bookmarkStart w:id="156" w:name="_Toc515876444"/>
      <w:bookmarkStart w:id="157" w:name="_Toc37094635"/>
      <w:bookmarkStart w:id="158" w:name="_Hlk103530074"/>
      <w:bookmarkStart w:id="159" w:name="_Toc173741573"/>
      <w:r w:rsidRPr="00C35CA8">
        <w:t>6.1.1</w:t>
      </w:r>
      <w:r w:rsidR="007008AC" w:rsidRPr="00C35CA8">
        <w:tab/>
      </w:r>
      <w:bookmarkStart w:id="160" w:name="_Toc37094636"/>
      <w:bookmarkEnd w:id="156"/>
      <w:bookmarkEnd w:id="157"/>
      <w:bookmarkEnd w:id="158"/>
      <w:r w:rsidR="0027347C" w:rsidRPr="00C35CA8">
        <w:rPr>
          <w:rStyle w:val="rove3Char"/>
          <w:rFonts w:ascii="Times New Roman" w:eastAsia="Calibri" w:hAnsi="Times New Roman"/>
          <w:b/>
        </w:rPr>
        <w:t>Národný projekt  „Prax pre</w:t>
      </w:r>
      <w:r w:rsidR="0027347C" w:rsidRPr="00C35CA8">
        <w:t xml:space="preserve"> mladých“</w:t>
      </w:r>
      <w:bookmarkEnd w:id="159"/>
    </w:p>
    <w:p w14:paraId="32E2C72D" w14:textId="77777777" w:rsidR="0027347C" w:rsidRPr="0027347C" w:rsidRDefault="0027347C" w:rsidP="0027347C">
      <w:pPr>
        <w:spacing w:before="120" w:after="0"/>
        <w:ind w:hanging="6"/>
        <w:rPr>
          <w:b/>
        </w:rPr>
      </w:pPr>
      <w:r w:rsidRPr="0027347C">
        <w:t xml:space="preserve">Projekt bol zameraný na zvýšenie možností uplatnenia mladých UoZ – NEET do 29 rokov veku na TP a  realizoval sa od 9. septembra 2022 do decembra 2023. </w:t>
      </w:r>
    </w:p>
    <w:p w14:paraId="40FFDF97" w14:textId="77777777" w:rsidR="0027347C" w:rsidRPr="0027347C" w:rsidRDefault="0027347C" w:rsidP="0027347C">
      <w:pPr>
        <w:spacing w:before="120" w:after="0"/>
        <w:ind w:hanging="6"/>
      </w:pPr>
      <w:r w:rsidRPr="0027347C">
        <w:t>Realizoval sa na celom území SR mimo BSK v rámci OP ĽZ, PO2 – Iniciatíva na podporu zamestnanosti mladých ľudí.</w:t>
      </w:r>
    </w:p>
    <w:p w14:paraId="33318051" w14:textId="77777777" w:rsidR="0027347C" w:rsidRPr="0027347C" w:rsidRDefault="0027347C" w:rsidP="0027347C">
      <w:pPr>
        <w:spacing w:before="120" w:after="0"/>
        <w:ind w:hanging="6"/>
      </w:pPr>
      <w:r w:rsidRPr="0027347C">
        <w:rPr>
          <w:bCs/>
        </w:rPr>
        <w:t>Cieľom projektu</w:t>
      </w:r>
      <w:r w:rsidRPr="0027347C">
        <w:t xml:space="preserve"> bola podpora zvýšenia zamestnateľnosti mladých UoZ  – NEET do 29 rokov veku  prostredníctvom získavania a prehlbovania pracovných zručností a skúseností, ktoré zodpovedali ich dosiahnutému stupňu vzdelania formou praxe, ktorú mladí UoZ vykonávali u zamestnávateľa.</w:t>
      </w:r>
    </w:p>
    <w:p w14:paraId="0D1482D0" w14:textId="49E6547E" w:rsidR="0027347C" w:rsidRPr="0027347C" w:rsidRDefault="0027347C" w:rsidP="0027347C">
      <w:pPr>
        <w:spacing w:before="120" w:after="0"/>
        <w:ind w:hanging="6"/>
      </w:pPr>
      <w:r w:rsidRPr="0027347C">
        <w:rPr>
          <w:bCs/>
        </w:rPr>
        <w:t>Cieľovou skupinou</w:t>
      </w:r>
      <w:r w:rsidRPr="0027347C">
        <w:t xml:space="preserve"> boli UoZ – NEET do 29 rokov veku (29 rokov mínus 1 deň), </w:t>
      </w:r>
      <w:r w:rsidRPr="0027347C">
        <w:rPr>
          <w:u w:val="single"/>
        </w:rPr>
        <w:t xml:space="preserve">vedení </w:t>
      </w:r>
      <w:r w:rsidRPr="0027347C">
        <w:t xml:space="preserve">v evidencii UoZ </w:t>
      </w:r>
      <w:r w:rsidRPr="0027347C">
        <w:rPr>
          <w:u w:val="single"/>
        </w:rPr>
        <w:t>najmenej 1 mesiac</w:t>
      </w:r>
      <w:r w:rsidRPr="0027347C">
        <w:t xml:space="preserve">, ktorí počas vykonávania praxe </w:t>
      </w:r>
      <w:r w:rsidR="00D366D0" w:rsidRPr="0027347C">
        <w:t>nemohli</w:t>
      </w:r>
      <w:r w:rsidRPr="0027347C">
        <w:t xml:space="preserve"> byť v pracovnom vzťahu podľa § 6 ods. 2 písm. a) zákona o službách zamestnanosti.</w:t>
      </w:r>
    </w:p>
    <w:p w14:paraId="66EB21CE" w14:textId="77777777" w:rsidR="0027347C" w:rsidRPr="0027347C" w:rsidRDefault="0027347C" w:rsidP="0027347C">
      <w:pPr>
        <w:spacing w:before="120" w:after="0"/>
        <w:ind w:hanging="6"/>
      </w:pPr>
      <w:r w:rsidRPr="0027347C">
        <w:rPr>
          <w:bCs/>
        </w:rPr>
        <w:t>Hlavnou aktivitou projektu</w:t>
      </w:r>
      <w:r w:rsidRPr="0027347C">
        <w:t xml:space="preserve"> bolo zabezpečenie UoZ - NEET na účely vykonávania praxe                             pre zamestnávateľa a poskytovanie finančného príspevku UoZ na vykonávanie praxe.</w:t>
      </w:r>
    </w:p>
    <w:p w14:paraId="657CB72C" w14:textId="77777777" w:rsidR="0027347C" w:rsidRPr="0027347C" w:rsidRDefault="0027347C" w:rsidP="0027347C">
      <w:pPr>
        <w:spacing w:before="120" w:after="0"/>
        <w:ind w:hanging="6"/>
      </w:pPr>
      <w:r w:rsidRPr="0027347C">
        <w:rPr>
          <w:bCs/>
        </w:rPr>
        <w:t>Prax</w:t>
      </w:r>
      <w:r w:rsidRPr="0027347C">
        <w:t xml:space="preserve"> sa vykonávala u zamestnávateľa najmenej 3 mesiace a najviac 6 mesiacov bez možnosti jej predĺženia a opakovaného vykonávania v rozsahu 20 hodín týždenne. </w:t>
      </w:r>
    </w:p>
    <w:p w14:paraId="7C8BFCEE" w14:textId="77777777" w:rsidR="0027347C" w:rsidRPr="0027347C" w:rsidRDefault="0027347C" w:rsidP="0027347C">
      <w:pPr>
        <w:spacing w:before="120" w:after="0"/>
        <w:ind w:hanging="6"/>
        <w:rPr>
          <w:u w:val="single"/>
        </w:rPr>
      </w:pPr>
      <w:r w:rsidRPr="0027347C">
        <w:rPr>
          <w:bCs/>
        </w:rPr>
        <w:t>Finančné príspevky</w:t>
      </w:r>
      <w:r w:rsidRPr="0027347C">
        <w:t xml:space="preserve"> poskytoval UoZ úrad, v ktorého územnom obvode mal UoZ trvalý pobyt. </w:t>
      </w:r>
      <w:r w:rsidRPr="0027347C">
        <w:rPr>
          <w:u w:val="single"/>
        </w:rPr>
        <w:t>Na finančný príspevok nebol právny nárok.</w:t>
      </w:r>
    </w:p>
    <w:p w14:paraId="5B19341C" w14:textId="77777777" w:rsidR="0027347C" w:rsidRPr="0027347C" w:rsidRDefault="0027347C" w:rsidP="0027347C">
      <w:pPr>
        <w:spacing w:before="120" w:after="0"/>
        <w:ind w:hanging="6"/>
      </w:pPr>
      <w:r w:rsidRPr="0027347C">
        <w:t xml:space="preserve">V roku 2023 bolo prijatých </w:t>
      </w:r>
      <w:r w:rsidRPr="0027347C">
        <w:rPr>
          <w:bCs/>
        </w:rPr>
        <w:t>1 095  žiadostí zamestnávateľov</w:t>
      </w:r>
      <w:r w:rsidRPr="0027347C">
        <w:t xml:space="preserve"> o zabezpečenie mladého UoZ                             na účely vykonávania praxe, z toho bolo </w:t>
      </w:r>
      <w:r w:rsidRPr="0027347C">
        <w:rPr>
          <w:bCs/>
        </w:rPr>
        <w:t xml:space="preserve">schválených 983 </w:t>
      </w:r>
      <w:r w:rsidRPr="0027347C">
        <w:t xml:space="preserve">žiadostí (89,77 %) na 1 694 PM a zároveň bolo prijatých </w:t>
      </w:r>
      <w:r w:rsidRPr="0027347C">
        <w:rPr>
          <w:bCs/>
        </w:rPr>
        <w:t>1 625 žiadostí UoZ</w:t>
      </w:r>
      <w:r w:rsidRPr="0027347C">
        <w:t xml:space="preserve"> o zaradenie na prax a o poskytnutie finančného príspevku na vykonávanie praxe, z toho bolo </w:t>
      </w:r>
      <w:r w:rsidRPr="0027347C">
        <w:rPr>
          <w:bCs/>
        </w:rPr>
        <w:t xml:space="preserve">schválených 1 531 </w:t>
      </w:r>
      <w:r w:rsidRPr="0027347C">
        <w:t xml:space="preserve">žiadostí (94,22 %).  </w:t>
      </w:r>
    </w:p>
    <w:p w14:paraId="70F0EF2F" w14:textId="77777777" w:rsidR="0027347C" w:rsidRPr="0027347C" w:rsidRDefault="0027347C" w:rsidP="0027347C">
      <w:r w:rsidRPr="0027347C">
        <w:t xml:space="preserve">Do projektu bolo v roku 2023 </w:t>
      </w:r>
      <w:r w:rsidRPr="0027347C">
        <w:rPr>
          <w:bCs/>
        </w:rPr>
        <w:t>zaradených 1 715 UoZ,</w:t>
      </w:r>
      <w:r w:rsidRPr="0027347C">
        <w:t xml:space="preserve"> z toho 1 142 žien a 574 mužov s čerpaním finančných prostriedkov vo výške </w:t>
      </w:r>
      <w:r w:rsidRPr="0027347C">
        <w:rPr>
          <w:bCs/>
        </w:rPr>
        <w:t>2 542 029,62 eur.</w:t>
      </w:r>
    </w:p>
    <w:p w14:paraId="6614D62F" w14:textId="508A547C" w:rsidR="0027347C" w:rsidRPr="0027347C" w:rsidRDefault="0027347C" w:rsidP="0027347C">
      <w:pPr>
        <w:spacing w:before="120" w:after="0"/>
        <w:ind w:hanging="6"/>
      </w:pPr>
      <w:r w:rsidRPr="0027347C">
        <w:t xml:space="preserve">Z hľadiska vekovej štruktúry, najväčšiu skupinu tvorili UoZ vo veku do 24 rokov  – </w:t>
      </w:r>
      <w:r w:rsidRPr="0027347C">
        <w:rPr>
          <w:bCs/>
        </w:rPr>
        <w:t>1 219 UoZ</w:t>
      </w:r>
      <w:r w:rsidRPr="0027347C">
        <w:t>, čo je 71,04 % zo všetkých zaradených UoZ na vykonávanie praxe. Druhou skupinou boli UoZ vo veku do 25 – 29 rokov – 497 UoZ (28,96 %), pričom všetkých 1716 UoZ, zaradených                                 do projektu spĺňalo vekovú skupinu do 29 rokov mínus jeden deň (100 %).  Počet zaradených UoZ  na vykonávanie praxe  podľa vekovej štruktúry je vyjadrený v nasledujúcom grafe.</w:t>
      </w:r>
    </w:p>
    <w:p w14:paraId="0467882F" w14:textId="56B8D46F" w:rsidR="0027347C" w:rsidRDefault="0027347C" w:rsidP="0027347C"/>
    <w:p w14:paraId="0BBA8E7A" w14:textId="0ED12B12" w:rsidR="0027347C" w:rsidRDefault="0027347C" w:rsidP="0027347C"/>
    <w:p w14:paraId="096E0F82" w14:textId="52F27168" w:rsidR="0027347C" w:rsidRDefault="0027347C" w:rsidP="0027347C"/>
    <w:p w14:paraId="39F5974C" w14:textId="37BA048F" w:rsidR="0027347C" w:rsidRDefault="0027347C" w:rsidP="0027347C"/>
    <w:p w14:paraId="764DA23C" w14:textId="637E09D6" w:rsidR="0027347C" w:rsidRDefault="0027347C" w:rsidP="0027347C">
      <w:r>
        <w:rPr>
          <w:rFonts w:asciiTheme="minorHAnsi" w:hAnsiTheme="minorHAnsi"/>
          <w:noProof/>
        </w:rPr>
        <w:drawing>
          <wp:inline distT="0" distB="0" distL="0" distR="0" wp14:anchorId="754C4E06" wp14:editId="3AA4706A">
            <wp:extent cx="5829300" cy="2767054"/>
            <wp:effectExtent l="0" t="0" r="0" b="14605"/>
            <wp:docPr id="227" name="Graf 227">
              <a:extLst xmlns:a="http://schemas.openxmlformats.org/drawingml/2006/main">
                <a:ext uri="{FF2B5EF4-FFF2-40B4-BE49-F238E27FC236}">
                  <a16:creationId xmlns:a16="http://schemas.microsoft.com/office/drawing/2014/main" id="{0B87CC50-89DE-853A-942C-3998104EA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D824AF" w14:textId="77777777" w:rsidR="0027347C" w:rsidRPr="0027347C" w:rsidRDefault="0027347C" w:rsidP="0027347C">
      <w:r w:rsidRPr="0027347C">
        <w:rPr>
          <w:bCs/>
        </w:rPr>
        <w:t>Z hľadiska znevýhodnenia,</w:t>
      </w:r>
      <w:r w:rsidRPr="0027347C">
        <w:t xml:space="preserve"> z  celkového počtu znevýhodnených 1500 UoZ bolo najviac (</w:t>
      </w:r>
      <w:r w:rsidRPr="0027347C">
        <w:rPr>
          <w:i/>
        </w:rPr>
        <w:t>jeden UoZ môže mať aj viac znevýhodnení</w:t>
      </w:r>
      <w:r w:rsidRPr="0027347C">
        <w:t>):</w:t>
      </w:r>
    </w:p>
    <w:p w14:paraId="5B0403E5" w14:textId="77777777" w:rsidR="0027347C" w:rsidRPr="0027347C" w:rsidRDefault="0027347C" w:rsidP="0027347C">
      <w:pPr>
        <w:numPr>
          <w:ilvl w:val="0"/>
          <w:numId w:val="7"/>
        </w:numPr>
        <w:ind w:left="284" w:hanging="284"/>
      </w:pPr>
      <w:r w:rsidRPr="0027347C">
        <w:t>1 391 UoZ, ktorí najmenej 12 po sebe nasledujúcich kalendárnych mesiacov pred zaradením do evidencie UoZ  nemali pravidelne platené zamestnanie – 92,73 %</w:t>
      </w:r>
    </w:p>
    <w:p w14:paraId="44165C7B" w14:textId="77777777" w:rsidR="0027347C" w:rsidRPr="0027347C" w:rsidRDefault="0027347C" w:rsidP="0027347C">
      <w:pPr>
        <w:numPr>
          <w:ilvl w:val="0"/>
          <w:numId w:val="7"/>
        </w:numPr>
        <w:ind w:left="284" w:hanging="284"/>
      </w:pPr>
      <w:r w:rsidRPr="0027347C">
        <w:t>696 UoZ -  absolventov škôl – 46,40 %,</w:t>
      </w:r>
    </w:p>
    <w:p w14:paraId="28E6B0EE" w14:textId="77777777" w:rsidR="0027347C" w:rsidRPr="0027347C" w:rsidRDefault="0027347C" w:rsidP="0027347C">
      <w:pPr>
        <w:numPr>
          <w:ilvl w:val="0"/>
          <w:numId w:val="7"/>
        </w:numPr>
        <w:ind w:left="284" w:hanging="284"/>
      </w:pPr>
      <w:r w:rsidRPr="0027347C">
        <w:t>563  UoZ dlhodobo nezamestnaní – 37,53 %</w:t>
      </w:r>
    </w:p>
    <w:p w14:paraId="351E508F" w14:textId="77777777" w:rsidR="0027347C" w:rsidRPr="0027347C" w:rsidRDefault="0027347C" w:rsidP="0027347C">
      <w:pPr>
        <w:numPr>
          <w:ilvl w:val="0"/>
          <w:numId w:val="7"/>
        </w:numPr>
        <w:ind w:left="284" w:hanging="284"/>
      </w:pPr>
      <w:r w:rsidRPr="0027347C">
        <w:t>113 UoZ so vzdelaním nižším ako stredné odborné – 7,53 %</w:t>
      </w:r>
    </w:p>
    <w:p w14:paraId="67055D55" w14:textId="77777777" w:rsidR="0027347C" w:rsidRPr="0027347C" w:rsidRDefault="0027347C" w:rsidP="0027347C">
      <w:pPr>
        <w:numPr>
          <w:ilvl w:val="0"/>
          <w:numId w:val="7"/>
        </w:numPr>
        <w:ind w:left="284" w:hanging="284"/>
      </w:pPr>
      <w:r w:rsidRPr="0027347C">
        <w:t>27 UoZ so ZP – 1,80 %</w:t>
      </w:r>
    </w:p>
    <w:p w14:paraId="53DA687C" w14:textId="33DC9A20" w:rsidR="0027347C" w:rsidRPr="0027347C" w:rsidRDefault="0027347C" w:rsidP="0027347C">
      <w:r w:rsidRPr="0027347C">
        <w:rPr>
          <w:bCs/>
        </w:rPr>
        <w:t>Z hľadiska doby evidencie</w:t>
      </w:r>
      <w:r w:rsidRPr="0027347C">
        <w:t>, pred zaradením na vykonávanie praxe bolo v roku 2023  najviac – 521 UoZ (30,36 %) v evidencii UoZ do 3 mesiacov, 501 UoZ bolo v evidencii od 4 do 6 mesiacov (29,20 %), od 7 do 12 mesiacov bolo v evidencii 390 UoZ (22,73 %), od 13 do 24 mesiacov bolo v evidencii 189 UoZ (11,01%), nad 24 mesiacov bolo v evidencii 115 UoZ (6,70 %), čo znázorňuje graf</w:t>
      </w:r>
      <w:r>
        <w:t xml:space="preserve"> nižšie</w:t>
      </w:r>
      <w:r w:rsidRPr="0027347C">
        <w:t>.</w:t>
      </w:r>
    </w:p>
    <w:p w14:paraId="04344DE2" w14:textId="46231C1B" w:rsidR="0027347C" w:rsidRDefault="0027347C" w:rsidP="0027347C">
      <w:r>
        <w:rPr>
          <w:rFonts w:asciiTheme="minorHAnsi" w:hAnsiTheme="minorHAnsi"/>
          <w:noProof/>
        </w:rPr>
        <w:drawing>
          <wp:inline distT="0" distB="0" distL="0" distR="0" wp14:anchorId="4BFA22BB" wp14:editId="04973093">
            <wp:extent cx="5796915" cy="2838615"/>
            <wp:effectExtent l="0" t="0" r="13335" b="0"/>
            <wp:docPr id="228" name="Graf 228">
              <a:extLst xmlns:a="http://schemas.openxmlformats.org/drawingml/2006/main">
                <a:ext uri="{FF2B5EF4-FFF2-40B4-BE49-F238E27FC236}">
                  <a16:creationId xmlns:a16="http://schemas.microsoft.com/office/drawing/2014/main" id="{7E89C702-14E9-706F-E1F2-035269984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AC1FD12" w14:textId="3F949291" w:rsidR="0027347C" w:rsidRPr="0027347C" w:rsidRDefault="0027347C" w:rsidP="0027347C">
      <w:r w:rsidRPr="0027347C">
        <w:rPr>
          <w:bCs/>
        </w:rPr>
        <w:t>Podľa dosiahnutého stupňa</w:t>
      </w:r>
      <w:r w:rsidRPr="0027347C">
        <w:t xml:space="preserve"> vzdelania, v  roku 2023 bolo zaradených na vykonávanie praxe  najviac – 836 UoZ  s ukončeným úplným stredným odborným vzdelaním, čo je 48,75 % z celkového počtu zaradených UoZ,  233 UoZ s vysokoškolským vzdelaním druhého stupňa (13,59 %), 263 UoZ  s úplným stredným všeobecným vzdelaním (15,34 %), 153 UoZ so stredným odborným vzdelaním </w:t>
      </w:r>
      <w:bookmarkStart w:id="161" w:name="_Hlk129341579"/>
      <w:r w:rsidRPr="0027347C">
        <w:t xml:space="preserve">(8,92 %) </w:t>
      </w:r>
      <w:bookmarkEnd w:id="161"/>
      <w:r w:rsidRPr="0027347C">
        <w:t xml:space="preserve">a 107 UoZ s vysokoškolským vzdelaním I. stupňa </w:t>
      </w:r>
      <w:r w:rsidRPr="0027347C">
        <w:lastRenderedPageBreak/>
        <w:t>(6,24%).  Štruktúra zaradených UoZ na prax podľa dosiahnutého stupňa vzdelania v roku 2023 je vyjadrená v</w:t>
      </w:r>
      <w:r>
        <w:t xml:space="preserve"> nasledujúcom </w:t>
      </w:r>
      <w:r w:rsidRPr="0027347C">
        <w:t>grafe.</w:t>
      </w:r>
    </w:p>
    <w:p w14:paraId="50F4E45D" w14:textId="409C0FA8" w:rsidR="0027347C" w:rsidRDefault="0027347C" w:rsidP="0027347C">
      <w:r>
        <w:rPr>
          <w:rFonts w:asciiTheme="minorHAnsi" w:hAnsiTheme="minorHAnsi"/>
          <w:noProof/>
        </w:rPr>
        <w:drawing>
          <wp:inline distT="0" distB="0" distL="0" distR="0" wp14:anchorId="3E1176A6" wp14:editId="60AF78A0">
            <wp:extent cx="5760720" cy="3164619"/>
            <wp:effectExtent l="0" t="0" r="11430" b="17145"/>
            <wp:docPr id="234" name="Graf 234">
              <a:extLst xmlns:a="http://schemas.openxmlformats.org/drawingml/2006/main">
                <a:ext uri="{FF2B5EF4-FFF2-40B4-BE49-F238E27FC236}">
                  <a16:creationId xmlns:a16="http://schemas.microsoft.com/office/drawing/2014/main" id="{980098C0-C9E6-D43D-30AF-336EAE6AD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6B4733" w14:textId="0B586D25" w:rsidR="0027347C" w:rsidRPr="0027347C" w:rsidRDefault="0027347C" w:rsidP="0027347C">
      <w:r w:rsidRPr="0027347C">
        <w:rPr>
          <w:bCs/>
        </w:rPr>
        <w:t>Z hľadiska profesie</w:t>
      </w:r>
      <w:r w:rsidRPr="0027347C">
        <w:t xml:space="preserve"> (SK ISCO), ktorú v rámci praxe UoZ vykonávali, najväčšiu skupinu tvorili UoZ, ktorí pracovali ako administratívni pracovníci v počte 984 UoZ, čo je 57,34 % z celkového počtu 1715 zaradených UoZ, Ďalšou väčšou skupinou boli pracovníci v službách a obchode, ktorých bolo 205 UoZ (11,95 %), špecialisti - 202 UoZ (11,77 %) a technici a odborní pracovníci  v počte 133 UoZ (7,75 %). Zvyšných 192 UoZ spadajú do ostatných kategórii</w:t>
      </w:r>
      <w:r w:rsidR="009226D1">
        <w:t xml:space="preserve"> </w:t>
      </w:r>
      <w:r>
        <w:t>v štruktúre podľa grafu</w:t>
      </w:r>
      <w:r w:rsidRPr="0027347C">
        <w:t>.</w:t>
      </w:r>
    </w:p>
    <w:p w14:paraId="7DAD0348" w14:textId="71FA5D1F" w:rsidR="0027347C" w:rsidRDefault="0027347C" w:rsidP="0027347C">
      <w:r>
        <w:rPr>
          <w:rFonts w:asciiTheme="minorHAnsi" w:hAnsiTheme="minorHAnsi"/>
          <w:noProof/>
        </w:rPr>
        <w:drawing>
          <wp:inline distT="0" distB="0" distL="0" distR="0" wp14:anchorId="2CD35E22" wp14:editId="351BF523">
            <wp:extent cx="5828306" cy="3581400"/>
            <wp:effectExtent l="0" t="0" r="1270" b="0"/>
            <wp:docPr id="243" name="Graf 243">
              <a:extLst xmlns:a="http://schemas.openxmlformats.org/drawingml/2006/main">
                <a:ext uri="{FF2B5EF4-FFF2-40B4-BE49-F238E27FC236}">
                  <a16:creationId xmlns:a16="http://schemas.microsoft.com/office/drawing/2014/main" id="{3BB72F21-66D4-043F-29E4-40EBBF10D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AAE67B3" w14:textId="33731CD2" w:rsidR="0027347C" w:rsidRDefault="0027347C" w:rsidP="009226D1">
      <w:pPr>
        <w:spacing w:before="120" w:after="0"/>
        <w:ind w:hanging="6"/>
      </w:pPr>
      <w:r w:rsidRPr="0027347C">
        <w:rPr>
          <w:bCs/>
        </w:rPr>
        <w:t>Z hľadiska veľkosti podnikov</w:t>
      </w:r>
      <w:r w:rsidRPr="0027347C">
        <w:t>, bolo najviac mikropodnikov - 362, čo je 31,23 % zo všetkých 983 schválených žiadostí zamestnávateľov, ďalej to bol stredný podnik– 123 (12,51 %), malý podnik  v počte 118 (12 %), veľký podnik 102 (10,38 %) v  štruktúre podľa nasledujúceho grafu.</w:t>
      </w:r>
    </w:p>
    <w:p w14:paraId="2CAB09C9" w14:textId="7E2460E9" w:rsidR="0027347C" w:rsidRDefault="0027347C" w:rsidP="0027347C"/>
    <w:p w14:paraId="54A6D629" w14:textId="0D272B00" w:rsidR="0027347C" w:rsidRDefault="0027347C" w:rsidP="0027347C"/>
    <w:p w14:paraId="32A95DF1" w14:textId="3025ACFD" w:rsidR="0027347C" w:rsidRDefault="0027347C" w:rsidP="0027347C"/>
    <w:p w14:paraId="4D737EE0" w14:textId="79572A2C" w:rsidR="00C83C57" w:rsidRPr="00C35CA8" w:rsidRDefault="009226D1" w:rsidP="00373A7F">
      <w:r>
        <w:rPr>
          <w:rFonts w:asciiTheme="minorHAnsi" w:hAnsiTheme="minorHAnsi"/>
          <w:noProof/>
        </w:rPr>
        <w:drawing>
          <wp:inline distT="0" distB="0" distL="0" distR="0" wp14:anchorId="443AF2A5" wp14:editId="7ECF762C">
            <wp:extent cx="5812404" cy="2957830"/>
            <wp:effectExtent l="0" t="0" r="17145" b="13970"/>
            <wp:docPr id="244" name="Graf 244">
              <a:extLst xmlns:a="http://schemas.openxmlformats.org/drawingml/2006/main">
                <a:ext uri="{FF2B5EF4-FFF2-40B4-BE49-F238E27FC236}">
                  <a16:creationId xmlns:a16="http://schemas.microsoft.com/office/drawing/2014/main" id="{51533A9C-B5BB-9926-A858-36890A2EC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38F7C3" w14:textId="164C63CE" w:rsidR="00A62DAB" w:rsidRPr="00C35CA8" w:rsidRDefault="00F65C25" w:rsidP="00F93F4D">
      <w:pPr>
        <w:pStyle w:val="Nadpis20"/>
        <w:tabs>
          <w:tab w:val="left" w:pos="567"/>
        </w:tabs>
        <w:jc w:val="both"/>
      </w:pPr>
      <w:bookmarkStart w:id="162" w:name="_Toc515876447"/>
      <w:bookmarkStart w:id="163" w:name="_Toc37094639"/>
      <w:bookmarkStart w:id="164" w:name="_Toc173741574"/>
      <w:bookmarkStart w:id="165" w:name="_Hlk103533443"/>
      <w:bookmarkStart w:id="166" w:name="_Toc515876448"/>
      <w:bookmarkStart w:id="167" w:name="_Toc37094640"/>
      <w:bookmarkEnd w:id="160"/>
      <w:r w:rsidRPr="00C35CA8">
        <w:t>6</w:t>
      </w:r>
      <w:r w:rsidR="00A62DAB" w:rsidRPr="00C35CA8">
        <w:t>.2</w:t>
      </w:r>
      <w:r w:rsidR="00A62DAB" w:rsidRPr="00C35CA8">
        <w:tab/>
      </w:r>
      <w:bookmarkStart w:id="168" w:name="_Hlk37972833"/>
      <w:r w:rsidR="005E5CBC" w:rsidRPr="00C35CA8">
        <w:t xml:space="preserve">Národné projekty </w:t>
      </w:r>
      <w:r w:rsidR="00A62DAB" w:rsidRPr="00C35CA8">
        <w:t>realizované podľa § 54 zákona v rámci</w:t>
      </w:r>
      <w:r w:rsidR="005E5CBC" w:rsidRPr="00C35CA8">
        <w:t xml:space="preserve"> operačného programu</w:t>
      </w:r>
      <w:r w:rsidR="0041269B" w:rsidRPr="00C35CA8">
        <w:br/>
        <w:t xml:space="preserve">        </w:t>
      </w:r>
      <w:r w:rsidR="005E5CBC" w:rsidRPr="00C35CA8">
        <w:t xml:space="preserve"> </w:t>
      </w:r>
      <w:r w:rsidR="00A62DAB" w:rsidRPr="00C35CA8">
        <w:t xml:space="preserve">Ľudské zdroje zamerané na podporu  zvýšenia </w:t>
      </w:r>
      <w:r w:rsidR="00A62DAB" w:rsidRPr="00F93F4D">
        <w:rPr>
          <w:u w:val="single"/>
        </w:rPr>
        <w:t>za</w:t>
      </w:r>
      <w:r w:rsidR="0042106B" w:rsidRPr="00F93F4D">
        <w:rPr>
          <w:u w:val="single"/>
        </w:rPr>
        <w:t>mestnateľnosti</w:t>
      </w:r>
      <w:r w:rsidR="0042106B" w:rsidRPr="00C35CA8">
        <w:t xml:space="preserve"> a</w:t>
      </w:r>
      <w:r w:rsidR="0041269B" w:rsidRPr="00C35CA8">
        <w:t> </w:t>
      </w:r>
      <w:r w:rsidR="0042106B" w:rsidRPr="00F93F4D">
        <w:rPr>
          <w:u w:val="single"/>
        </w:rPr>
        <w:t>zamestnanosti</w:t>
      </w:r>
      <w:r w:rsidR="0041269B" w:rsidRPr="00C35CA8">
        <w:br/>
        <w:t xml:space="preserve">     </w:t>
      </w:r>
      <w:r w:rsidR="0042106B" w:rsidRPr="00C35CA8">
        <w:t xml:space="preserve"> </w:t>
      </w:r>
      <w:r w:rsidR="0041269B" w:rsidRPr="00C35CA8">
        <w:t xml:space="preserve">   </w:t>
      </w:r>
      <w:r w:rsidR="0042106B" w:rsidRPr="00C35CA8">
        <w:t xml:space="preserve">s </w:t>
      </w:r>
      <w:r w:rsidR="00A62DAB" w:rsidRPr="00C35CA8">
        <w:t xml:space="preserve"> dôrazom na </w:t>
      </w:r>
      <w:r w:rsidR="00A62DAB" w:rsidRPr="00F93F4D">
        <w:rPr>
          <w:u w:val="single"/>
        </w:rPr>
        <w:t>dlhodobo nezamestnaných</w:t>
      </w:r>
      <w:r w:rsidR="00A62DAB" w:rsidRPr="00C35CA8">
        <w:t xml:space="preserve">, </w:t>
      </w:r>
      <w:r w:rsidR="00A62DAB" w:rsidRPr="00F93F4D">
        <w:rPr>
          <w:u w:val="single"/>
        </w:rPr>
        <w:t>nízko kvalifikovaných</w:t>
      </w:r>
      <w:r w:rsidR="00A62DAB" w:rsidRPr="00C35CA8">
        <w:t xml:space="preserve">, </w:t>
      </w:r>
      <w:r w:rsidR="00A62DAB" w:rsidRPr="00F93F4D">
        <w:rPr>
          <w:u w:val="single"/>
        </w:rPr>
        <w:t>starších</w:t>
      </w:r>
      <w:r w:rsidR="00F93F4D" w:rsidRPr="00F93F4D">
        <w:rPr>
          <w:u w:val="single"/>
        </w:rPr>
        <w:t xml:space="preserve"> ľudí</w:t>
      </w:r>
      <w:r w:rsidR="0041269B" w:rsidRPr="00C35CA8">
        <w:br/>
        <w:t xml:space="preserve">         </w:t>
      </w:r>
      <w:r w:rsidR="00A62DAB" w:rsidRPr="00C35CA8">
        <w:t xml:space="preserve">a </w:t>
      </w:r>
      <w:r w:rsidR="0042106B" w:rsidRPr="00F93F4D">
        <w:rPr>
          <w:u w:val="single"/>
        </w:rPr>
        <w:t>z</w:t>
      </w:r>
      <w:r w:rsidR="00A62DAB" w:rsidRPr="00F93F4D">
        <w:rPr>
          <w:u w:val="single"/>
        </w:rPr>
        <w:t>dravotne postihnuté osoby</w:t>
      </w:r>
      <w:r w:rsidR="00A62DAB" w:rsidRPr="00C35CA8">
        <w:t xml:space="preserve"> - Prioritná os 3: Zamestnanosť</w:t>
      </w:r>
      <w:bookmarkEnd w:id="162"/>
      <w:bookmarkEnd w:id="163"/>
      <w:bookmarkEnd w:id="164"/>
    </w:p>
    <w:p w14:paraId="79BE2168" w14:textId="484FD980" w:rsidR="007A17F8" w:rsidRDefault="00F65C25" w:rsidP="007513A5">
      <w:pPr>
        <w:pStyle w:val="Nadpis30"/>
        <w:tabs>
          <w:tab w:val="left" w:pos="567"/>
        </w:tabs>
        <w:spacing w:before="240" w:after="0"/>
        <w:ind w:hanging="6"/>
      </w:pPr>
      <w:bookmarkStart w:id="169" w:name="_Toc173741575"/>
      <w:bookmarkStart w:id="170" w:name="_Hlk103536524"/>
      <w:bookmarkEnd w:id="165"/>
      <w:bookmarkEnd w:id="168"/>
      <w:r w:rsidRPr="00C35CA8">
        <w:t>6</w:t>
      </w:r>
      <w:r w:rsidR="007A17F8" w:rsidRPr="00C35CA8">
        <w:t>.2.1</w:t>
      </w:r>
      <w:r w:rsidR="007A17F8" w:rsidRPr="00C35CA8">
        <w:tab/>
      </w:r>
      <w:bookmarkStart w:id="171" w:name="_Hlk37972850"/>
      <w:bookmarkEnd w:id="166"/>
      <w:bookmarkEnd w:id="167"/>
      <w:r w:rsidR="008611D9" w:rsidRPr="00C35CA8">
        <w:t>Národný projekt  „Spoločne hľadáme prácu II“</w:t>
      </w:r>
      <w:bookmarkEnd w:id="169"/>
    </w:p>
    <w:p w14:paraId="1BE94C18" w14:textId="740283F0" w:rsidR="00373A7F" w:rsidRPr="00373A7F" w:rsidRDefault="00373A7F" w:rsidP="007A3979">
      <w:pPr>
        <w:spacing w:before="120" w:after="0"/>
        <w:ind w:hanging="6"/>
      </w:pPr>
      <w:bookmarkStart w:id="172" w:name="_Toc37094643"/>
      <w:r w:rsidRPr="00373A7F">
        <w:t>Financovanie siete EURES s</w:t>
      </w:r>
      <w:r w:rsidR="007A3979">
        <w:t>a v období 2021 – 2023 realizovalo</w:t>
      </w:r>
      <w:r w:rsidRPr="00373A7F">
        <w:t xml:space="preserve"> v rámci </w:t>
      </w:r>
      <w:r w:rsidRPr="00CA36D1">
        <w:t>NP Spo</w:t>
      </w:r>
      <w:r w:rsidR="007A3979" w:rsidRPr="00CA36D1">
        <w:t>ločne hľadáme prácu II</w:t>
      </w:r>
      <w:r w:rsidRPr="00373A7F">
        <w:t xml:space="preserve"> (kód ITMS 2014+: 312031AUX6)</w:t>
      </w:r>
      <w:r w:rsidR="007A3979">
        <w:t>,</w:t>
      </w:r>
      <w:r w:rsidRPr="00373A7F">
        <w:t xml:space="preserve"> vďaka podpore z ESF v rámci OP ĽZ. </w:t>
      </w:r>
    </w:p>
    <w:p w14:paraId="6018EF03" w14:textId="4CCECEF7" w:rsidR="00373A7F" w:rsidRPr="00373A7F" w:rsidRDefault="00373A7F" w:rsidP="007A3979">
      <w:pPr>
        <w:spacing w:before="120" w:after="0"/>
        <w:ind w:hanging="6"/>
      </w:pPr>
      <w:r w:rsidRPr="00373A7F">
        <w:t>Hlavným koordinátorom všetkých aktivít bola EURES Národná koordinačná kancelária (ďalej iba NKK) na ústredí a jednotlivé aktivity realizovali vyškolení EURES poradcovia pôsobiaci                   na úradoch.</w:t>
      </w:r>
    </w:p>
    <w:p w14:paraId="37962C11" w14:textId="77777777" w:rsidR="00373A7F" w:rsidRPr="00373A7F" w:rsidRDefault="00373A7F" w:rsidP="007A3979">
      <w:pPr>
        <w:spacing w:before="120" w:after="0"/>
        <w:ind w:hanging="6"/>
      </w:pPr>
      <w:r w:rsidRPr="007A3979">
        <w:rPr>
          <w:b/>
        </w:rPr>
        <w:t>Jednotlivé aktivity</w:t>
      </w:r>
      <w:r w:rsidRPr="00373A7F">
        <w:t>: </w:t>
      </w:r>
    </w:p>
    <w:p w14:paraId="17256A2F" w14:textId="77777777" w:rsidR="00373A7F" w:rsidRPr="007A3979" w:rsidRDefault="00373A7F" w:rsidP="00373A7F">
      <w:pPr>
        <w:rPr>
          <w:b/>
        </w:rPr>
      </w:pPr>
      <w:r w:rsidRPr="007A3979">
        <w:rPr>
          <w:b/>
        </w:rPr>
        <w:t>1.1 – Sieťovanie zamestnancov</w:t>
      </w:r>
    </w:p>
    <w:p w14:paraId="11675708" w14:textId="77777777" w:rsidR="00373A7F" w:rsidRPr="00373A7F" w:rsidRDefault="00373A7F" w:rsidP="00373A7F">
      <w:r w:rsidRPr="00373A7F">
        <w:t>Cieľom aktivity bolo vytvorenie priestoru pre vzájomnú výmenu informácií a diskusiu o možnostiach zlepšenia spolupráce siete EURES s vybranými oddeleniami PES.</w:t>
      </w:r>
    </w:p>
    <w:p w14:paraId="44828C19" w14:textId="77777777" w:rsidR="00373A7F" w:rsidRPr="00373A7F" w:rsidRDefault="00373A7F" w:rsidP="00373A7F">
      <w:r w:rsidRPr="00373A7F">
        <w:t>Počet aktivít: 28</w:t>
      </w:r>
    </w:p>
    <w:p w14:paraId="5F456BC7" w14:textId="77777777" w:rsidR="00373A7F" w:rsidRPr="00373A7F" w:rsidRDefault="00373A7F" w:rsidP="00373A7F">
      <w:r w:rsidRPr="00373A7F">
        <w:t>Mestá: Nitra, Spišská Nová Ves, Prešov, Kežmarok, Nové Zámky, Liptovský Mikuláš, Považská Bystrica, Zvolen, Senica, Komárno, Žilina, Michalovce, Humenné, Prievidza, Trenčín, Lučenec, Dolný Kubín, Námestovo, Čadca, Košice, Levice, Vranov nad Topľou, Rožňava, Poprad, Dunajská Streda, Trnava, Moldava nad Bodvou, Bratislava.</w:t>
      </w:r>
    </w:p>
    <w:p w14:paraId="0544A330" w14:textId="77777777" w:rsidR="00373A7F" w:rsidRPr="007A3979" w:rsidRDefault="00373A7F" w:rsidP="007A3979">
      <w:pPr>
        <w:spacing w:before="120" w:after="0"/>
        <w:ind w:hanging="6"/>
        <w:rPr>
          <w:b/>
        </w:rPr>
      </w:pPr>
      <w:r w:rsidRPr="007A3979">
        <w:rPr>
          <w:b/>
        </w:rPr>
        <w:t>1.2 – Európa na dosah</w:t>
      </w:r>
    </w:p>
    <w:p w14:paraId="5206AB79" w14:textId="0276D0CB" w:rsidR="00373A7F" w:rsidRPr="00373A7F" w:rsidRDefault="00373A7F" w:rsidP="00373A7F">
      <w:r w:rsidRPr="00373A7F">
        <w:t>Cieľom tohto podujatia je spojenie inštitúcií, informačných a poradenských sietí za účelom vzájomnej výmeny informácií týkajúcich sa pracovnej mobility, ako aj vytvorenie priestoru pre nadväzovanie, prípadne rozvoj existujúcej spolupráce. V roku 2023 sa konalo toto podujatie dvakrát:</w:t>
      </w:r>
      <w:r w:rsidR="007A3979">
        <w:t xml:space="preserve"> </w:t>
      </w:r>
      <w:r w:rsidRPr="00373A7F">
        <w:t>Púchov, 16.2.2023, účastníci: EURES, Europe Direct, EUROPASS, Národný inštitút vzdelávania a mládeže, Mládežnícky parlament, Medzinárodná organizácia pre migráciu.</w:t>
      </w:r>
    </w:p>
    <w:p w14:paraId="64ED145A" w14:textId="45F94B51" w:rsidR="00373A7F" w:rsidRPr="00373A7F" w:rsidRDefault="00373A7F" w:rsidP="00373A7F">
      <w:r w:rsidRPr="00373A7F">
        <w:rPr>
          <w:bCs/>
        </w:rPr>
        <w:t>Levice, 21.3.2023</w:t>
      </w:r>
      <w:r w:rsidRPr="00373A7F">
        <w:t>, účastníci: EURES, úrad Levice, EUROPASS, NIVAM, IOM.</w:t>
      </w:r>
    </w:p>
    <w:p w14:paraId="7632A0E6" w14:textId="77777777" w:rsidR="00373A7F" w:rsidRPr="007A3979" w:rsidRDefault="00373A7F" w:rsidP="007A3979">
      <w:pPr>
        <w:spacing w:before="120" w:after="0"/>
        <w:ind w:hanging="6"/>
        <w:rPr>
          <w:b/>
        </w:rPr>
      </w:pPr>
      <w:r w:rsidRPr="007A3979">
        <w:rPr>
          <w:b/>
        </w:rPr>
        <w:t>1.3 – Vzdelávanie</w:t>
      </w:r>
    </w:p>
    <w:p w14:paraId="0F53A074" w14:textId="77777777" w:rsidR="00373A7F" w:rsidRPr="00373A7F" w:rsidRDefault="00373A7F" w:rsidP="00373A7F">
      <w:r w:rsidRPr="00373A7F">
        <w:t>Vzdelávanie EURES poradcov patrí k dôležitým atribútom ich práce. Po absolvovaní vzdelávania získavajú účastníci certifikát.</w:t>
      </w:r>
    </w:p>
    <w:p w14:paraId="163F3039" w14:textId="77777777" w:rsidR="00373A7F" w:rsidRPr="00373A7F" w:rsidRDefault="00373A7F" w:rsidP="00373A7F">
      <w:r w:rsidRPr="00373A7F">
        <w:t>Na domácej pôde sa uskutočnili 2 vzdelávacie aktivity:</w:t>
      </w:r>
    </w:p>
    <w:p w14:paraId="1129C963" w14:textId="77777777" w:rsidR="00373A7F" w:rsidRPr="00373A7F" w:rsidRDefault="00373A7F" w:rsidP="007A3979">
      <w:pPr>
        <w:pStyle w:val="Odsekzoznamu"/>
        <w:numPr>
          <w:ilvl w:val="0"/>
          <w:numId w:val="25"/>
        </w:numPr>
        <w:ind w:left="284" w:hanging="284"/>
      </w:pPr>
      <w:r w:rsidRPr="007A3979">
        <w:rPr>
          <w:bCs/>
        </w:rPr>
        <w:lastRenderedPageBreak/>
        <w:t xml:space="preserve">17.-18.1.2023 - Bratislava, </w:t>
      </w:r>
      <w:r w:rsidRPr="00373A7F">
        <w:t xml:space="preserve">odborné vzdelávanie Grafický dizajn  - 5 EURES poradcov, ktorí sú členmi grafickej skupiny </w:t>
      </w:r>
    </w:p>
    <w:p w14:paraId="0B1F83CE" w14:textId="77777777" w:rsidR="00373A7F" w:rsidRPr="00373A7F" w:rsidRDefault="00373A7F" w:rsidP="007A3979">
      <w:pPr>
        <w:pStyle w:val="Odsekzoznamu"/>
        <w:numPr>
          <w:ilvl w:val="0"/>
          <w:numId w:val="25"/>
        </w:numPr>
        <w:ind w:left="284" w:hanging="284"/>
      </w:pPr>
      <w:r w:rsidRPr="00373A7F">
        <w:t>1.-2.2.2023 – Bratislava - odborné vzdelávanie Syndróm vyhorenia, 32 účastníkov - NKK + EURES poradcovia</w:t>
      </w:r>
    </w:p>
    <w:p w14:paraId="53102916" w14:textId="77777777" w:rsidR="00373A7F" w:rsidRPr="00373A7F" w:rsidRDefault="00373A7F" w:rsidP="007A3979">
      <w:pPr>
        <w:spacing w:before="120" w:after="0"/>
        <w:ind w:hanging="6"/>
      </w:pPr>
      <w:r w:rsidRPr="00373A7F">
        <w:t>VZDELÁVANIE EURES poradcov na EURÓPSKEJ ÚROVNI </w:t>
      </w:r>
    </w:p>
    <w:p w14:paraId="2E051420" w14:textId="77777777" w:rsidR="00373A7F" w:rsidRPr="00373A7F" w:rsidRDefault="00373A7F" w:rsidP="00373A7F">
      <w:r w:rsidRPr="00373A7F">
        <w:t>Európska komisia organizuje pre partnerov a členov siete EURES vzdelávacie aktivity rôzneho zamerania. Účastníci si môžu vybrať zo širokej ponuky tém, ktorých cieľom je podpora osobnostného a profesionálneho rastu. Školenia zároveň vytvárajú priestor na socializáciu členov jednotlivých sietí a vytváranie medzinárodných spoluprác a projektov. V roku 2023 prebiehalo vzdelávanie opäť, len vo virtuálnom priestore, pracovným jazykom bola angličtina. Účastníci niektorých tréningov získali po ich úspešnom absolvovaní certifikáty. Počet absolvovaných školení počas roka: 42. </w:t>
      </w:r>
    </w:p>
    <w:p w14:paraId="13E1CF04" w14:textId="77777777" w:rsidR="00373A7F" w:rsidRPr="007A3979" w:rsidRDefault="00373A7F" w:rsidP="001800F1">
      <w:pPr>
        <w:spacing w:before="120" w:after="0"/>
        <w:ind w:hanging="6"/>
        <w:rPr>
          <w:b/>
        </w:rPr>
      </w:pPr>
      <w:r w:rsidRPr="007A3979">
        <w:rPr>
          <w:b/>
        </w:rPr>
        <w:t>1.4. –  Informačno-poradenské stretnutia</w:t>
      </w:r>
    </w:p>
    <w:p w14:paraId="58CF998E" w14:textId="77777777" w:rsidR="00373A7F" w:rsidRPr="00373A7F" w:rsidRDefault="00373A7F" w:rsidP="001800F1">
      <w:pPr>
        <w:spacing w:after="0"/>
        <w:ind w:hanging="6"/>
      </w:pPr>
      <w:r w:rsidRPr="00373A7F">
        <w:t xml:space="preserve">PORADENSTVO NA ÚRADOCH PRÁCE </w:t>
      </w:r>
    </w:p>
    <w:p w14:paraId="2F42B2E8" w14:textId="77777777" w:rsidR="00373A7F" w:rsidRPr="00373A7F" w:rsidRDefault="00373A7F" w:rsidP="001800F1">
      <w:pPr>
        <w:spacing w:after="0"/>
        <w:ind w:hanging="6"/>
      </w:pPr>
      <w:r w:rsidRPr="00373A7F">
        <w:t>Jednou z kľúčových aktivít siete EURES je poskytovanie poradenstva a informácií širokému spektru záujemcov o prácu v členských krajinách EÚ/EHP, a to nielen UoZ evidovaným na úradoch práce, sociálnych vecí a rodiny, ale aj študentom, samostatne zárobkovo činným, či zamestnaným osobám. Z hľadiska štruktúry klientov, boli najviac zastúpení evidovaní uchádzači o zamestnanie vo veku od 25 do 54 rokov s úplným stredoškolským vzdelaním ukončeným maturitou. Najčastejšie diskutované témy: všeobecné informácie o službách siete EURES, nábor/umiestnenie, životné a pracovné podmienky v krajinách EÚ/EHP, sociálne zabezpečenie, vzdelávanie a odborná príprava, špecifické informácie z cezhraničnej činnosti.</w:t>
      </w:r>
    </w:p>
    <w:p w14:paraId="25056D6E" w14:textId="584BCCE1" w:rsidR="007A3979" w:rsidRDefault="007A3979" w:rsidP="007A3979">
      <w:pPr>
        <w:spacing w:before="120" w:after="0"/>
        <w:ind w:hanging="6"/>
      </w:pPr>
      <w:r>
        <w:t>Aktivita v číslach:</w:t>
      </w:r>
      <w:r w:rsidR="00373A7F" w:rsidRPr="00373A7F">
        <w:t xml:space="preserve"> </w:t>
      </w:r>
    </w:p>
    <w:p w14:paraId="2CD62B59" w14:textId="51230087" w:rsidR="00373A7F" w:rsidRPr="00373A7F" w:rsidRDefault="007A3979" w:rsidP="007A3979">
      <w:pPr>
        <w:spacing w:after="0"/>
        <w:ind w:hanging="6"/>
        <w:rPr>
          <w:bCs/>
        </w:rPr>
      </w:pPr>
      <w:r>
        <w:t>P</w:t>
      </w:r>
      <w:r w:rsidR="00373A7F" w:rsidRPr="00373A7F">
        <w:t xml:space="preserve">očet kontaktov s klientmi 17 346 z toho počet kontaktov so zahraničnými/slovenskými zamestnávateľmi </w:t>
      </w:r>
      <w:r w:rsidR="00373A7F" w:rsidRPr="00373A7F">
        <w:rPr>
          <w:bCs/>
        </w:rPr>
        <w:t>3 223, p</w:t>
      </w:r>
      <w:r w:rsidR="00373A7F" w:rsidRPr="00373A7F">
        <w:t xml:space="preserve">očet prijatých životopisov, žiadostí o zamestnanie alebo motivačných listov, ktoré prijali EURES poradcovia od záujemcov o prácu v krajinách EÚ/EHP </w:t>
      </w:r>
      <w:r w:rsidR="00373A7F" w:rsidRPr="00373A7F">
        <w:rPr>
          <w:bCs/>
        </w:rPr>
        <w:t xml:space="preserve">3 349, </w:t>
      </w:r>
      <w:r w:rsidR="00373A7F" w:rsidRPr="00373A7F">
        <w:t xml:space="preserve">počet zamestnaných prostredníctvom siete EURES </w:t>
      </w:r>
      <w:r w:rsidR="00373A7F" w:rsidRPr="00373A7F">
        <w:rPr>
          <w:bCs/>
        </w:rPr>
        <w:t>1 167.</w:t>
      </w:r>
    </w:p>
    <w:p w14:paraId="2F49D099" w14:textId="77777777" w:rsidR="00373A7F" w:rsidRPr="00373A7F" w:rsidRDefault="00373A7F" w:rsidP="007A3979">
      <w:pPr>
        <w:spacing w:before="120" w:after="0"/>
        <w:ind w:hanging="6"/>
      </w:pPr>
      <w:r w:rsidRPr="00373A7F">
        <w:t>PROPAGÁCIA SIETE EURES VO FORME PREZENTÁCIÍ NA ŠKOLÁCH, UNIVERZITÁCH A ÚRADOCH</w:t>
      </w:r>
    </w:p>
    <w:p w14:paraId="3DD43A33" w14:textId="77777777" w:rsidR="00373A7F" w:rsidRPr="00373A7F" w:rsidRDefault="00373A7F" w:rsidP="007A3979">
      <w:pPr>
        <w:spacing w:before="120" w:after="0"/>
        <w:ind w:hanging="6"/>
      </w:pPr>
      <w:r w:rsidRPr="00373A7F">
        <w:t xml:space="preserve">Prioritou siete EURES je aj propagácia poskytovaných služieb  potenciálnym záujemcom o prácu v zahraničí  z radov žiakov a študentov. EURES poradcovia formou informačných stretnutí na školách prezentujú študentom možnosti pracovného uplatnenia v Európe a situáciu na trhu práce. Celkový počet navštívených škôl v rámci celého Slovenska </w:t>
      </w:r>
      <w:r w:rsidRPr="00373A7F">
        <w:rPr>
          <w:bCs/>
        </w:rPr>
        <w:t>112</w:t>
      </w:r>
      <w:r w:rsidRPr="00373A7F">
        <w:t xml:space="preserve"> s celkovým počtom </w:t>
      </w:r>
      <w:r w:rsidRPr="00373A7F">
        <w:rPr>
          <w:bCs/>
        </w:rPr>
        <w:t>5 738</w:t>
      </w:r>
      <w:r w:rsidRPr="00373A7F">
        <w:rPr>
          <w:b/>
          <w:bCs/>
        </w:rPr>
        <w:t xml:space="preserve"> </w:t>
      </w:r>
      <w:r w:rsidRPr="00373A7F">
        <w:t xml:space="preserve">študentov. </w:t>
      </w:r>
    </w:p>
    <w:p w14:paraId="11C98E59" w14:textId="77777777" w:rsidR="00373A7F" w:rsidRPr="00373A7F" w:rsidRDefault="00373A7F" w:rsidP="007A3979">
      <w:pPr>
        <w:spacing w:before="120" w:after="0"/>
        <w:ind w:hanging="6"/>
      </w:pPr>
      <w:r w:rsidRPr="00373A7F">
        <w:t xml:space="preserve">EURES poradcovia a EURES kontaktné osoby poskytovali informácie prostredníctvom prezentácií aj v priestoroch úradov. Celkový počet účastníkov prezentácií na úradoch bol 9 949 a poskytli sa nasledujúcim cieľovým skupinám: absolventi škôl, UoZ, kolegovia z úradov práce, zahraničným a slovenským zamestnávateľom a spolupracujúcim partnerom/inštitúciám. </w:t>
      </w:r>
    </w:p>
    <w:p w14:paraId="7C669B4F" w14:textId="77777777" w:rsidR="00373A7F" w:rsidRPr="007A3979" w:rsidRDefault="00373A7F" w:rsidP="007A3979">
      <w:pPr>
        <w:spacing w:before="120" w:after="0"/>
        <w:ind w:hanging="6"/>
        <w:rPr>
          <w:b/>
        </w:rPr>
      </w:pPr>
      <w:r w:rsidRPr="007A3979">
        <w:rPr>
          <w:b/>
        </w:rPr>
        <w:t>1.5 – Mediálna kampaň</w:t>
      </w:r>
    </w:p>
    <w:p w14:paraId="076121A2" w14:textId="77777777" w:rsidR="00373A7F" w:rsidRPr="00373A7F" w:rsidRDefault="00373A7F" w:rsidP="00373A7F">
      <w:r w:rsidRPr="00373A7F">
        <w:t>Dňa 20.4.2023 sieť EURES Slovensko organizovala medzinárodnú burzu práce s názvom EURES Job Day. K uvedenej burze práce boli realizované nasledujúce kampane:</w:t>
      </w:r>
    </w:p>
    <w:p w14:paraId="3454081D" w14:textId="77777777" w:rsidR="00373A7F" w:rsidRPr="00373A7F" w:rsidRDefault="00373A7F" w:rsidP="00373A7F">
      <w:r w:rsidRPr="00373A7F">
        <w:t>Rozhlasová kampaň:</w:t>
      </w:r>
    </w:p>
    <w:p w14:paraId="16C80639" w14:textId="77777777" w:rsidR="00373A7F" w:rsidRPr="00373A7F" w:rsidRDefault="00373A7F" w:rsidP="00373A7F">
      <w:r w:rsidRPr="00373A7F">
        <w:tab/>
        <w:t>- Rádio Európa 2 od 6.4. – 19.4.2023</w:t>
      </w:r>
    </w:p>
    <w:p w14:paraId="12A36957" w14:textId="77777777" w:rsidR="00373A7F" w:rsidRPr="00373A7F" w:rsidRDefault="00373A7F" w:rsidP="00373A7F">
      <w:r w:rsidRPr="00373A7F">
        <w:tab/>
        <w:t>- FUN Rádio a Rádio Vlna od 6.4. – 19.4.2023</w:t>
      </w:r>
    </w:p>
    <w:p w14:paraId="220CDDAA" w14:textId="77777777" w:rsidR="00373A7F" w:rsidRPr="00373A7F" w:rsidRDefault="00373A7F" w:rsidP="00373A7F">
      <w:r w:rsidRPr="00373A7F">
        <w:t>Online kampaň:</w:t>
      </w:r>
    </w:p>
    <w:p w14:paraId="62A078EE" w14:textId="77777777" w:rsidR="00373A7F" w:rsidRPr="00373A7F" w:rsidRDefault="00373A7F" w:rsidP="00373A7F">
      <w:r w:rsidRPr="00373A7F">
        <w:tab/>
        <w:t>- profesia.sk od 6.4. – 19.4.2023</w:t>
      </w:r>
    </w:p>
    <w:p w14:paraId="414C28D0" w14:textId="77777777" w:rsidR="00373A7F" w:rsidRPr="00373A7F" w:rsidRDefault="00373A7F" w:rsidP="00373A7F">
      <w:r w:rsidRPr="00373A7F">
        <w:tab/>
        <w:t>- zoznam.sk od 6.4. – 19.4.2023</w:t>
      </w:r>
    </w:p>
    <w:p w14:paraId="21C6920D" w14:textId="77777777" w:rsidR="00373A7F" w:rsidRPr="00373A7F" w:rsidRDefault="00373A7F" w:rsidP="00373A7F">
      <w:r w:rsidRPr="00373A7F">
        <w:t>Plagáty v MHD:</w:t>
      </w:r>
    </w:p>
    <w:p w14:paraId="59DDB212" w14:textId="77777777" w:rsidR="00373A7F" w:rsidRPr="00373A7F" w:rsidRDefault="00373A7F" w:rsidP="00373A7F">
      <w:r w:rsidRPr="00373A7F">
        <w:lastRenderedPageBreak/>
        <w:tab/>
        <w:t>- Dopravný podnik Košice v mesiaci apríl (93ks autobusov a 40ks električiek)</w:t>
      </w:r>
    </w:p>
    <w:p w14:paraId="290542F8" w14:textId="77777777" w:rsidR="00373A7F" w:rsidRPr="00373A7F" w:rsidRDefault="00373A7F" w:rsidP="00373A7F">
      <w:r w:rsidRPr="00373A7F">
        <w:tab/>
        <w:t>- Dopravný podnik Prešov v mesiaci apríl (50ks autobusov a 25ks trolejbusov)</w:t>
      </w:r>
    </w:p>
    <w:p w14:paraId="49E6E32F" w14:textId="77777777" w:rsidR="00373A7F" w:rsidRPr="00373A7F" w:rsidRDefault="00373A7F" w:rsidP="00373A7F">
      <w:r w:rsidRPr="00373A7F">
        <w:t>Video kampaň:</w:t>
      </w:r>
    </w:p>
    <w:p w14:paraId="39A659AB" w14:textId="77777777" w:rsidR="00373A7F" w:rsidRPr="00373A7F" w:rsidRDefault="00373A7F" w:rsidP="00373A7F">
      <w:r w:rsidRPr="00373A7F">
        <w:tab/>
        <w:t>- pluska.sk od 6.4. – 19.4.2023</w:t>
      </w:r>
    </w:p>
    <w:p w14:paraId="3DCAB58F" w14:textId="77777777" w:rsidR="00373A7F" w:rsidRPr="00373A7F" w:rsidRDefault="00373A7F" w:rsidP="00373A7F">
      <w:r w:rsidRPr="00373A7F">
        <w:tab/>
        <w:t>- zoznam.sk od 6.4. – 19.4.2023</w:t>
      </w:r>
    </w:p>
    <w:p w14:paraId="24A410E2" w14:textId="77777777" w:rsidR="00373A7F" w:rsidRPr="00373A7F" w:rsidRDefault="00373A7F" w:rsidP="00373A7F">
      <w:r w:rsidRPr="00373A7F">
        <w:t>Billboardová kampaň:</w:t>
      </w:r>
    </w:p>
    <w:p w14:paraId="45287116" w14:textId="77777777" w:rsidR="00373A7F" w:rsidRPr="00373A7F" w:rsidRDefault="00373A7F" w:rsidP="00373A7F">
      <w:r w:rsidRPr="00373A7F">
        <w:tab/>
        <w:t>- Košice 18 ks</w:t>
      </w:r>
    </w:p>
    <w:p w14:paraId="3B8741AB" w14:textId="77777777" w:rsidR="00373A7F" w:rsidRPr="00373A7F" w:rsidRDefault="00373A7F" w:rsidP="00373A7F">
      <w:r w:rsidRPr="00373A7F">
        <w:tab/>
        <w:t>- Prešov 11 ks</w:t>
      </w:r>
    </w:p>
    <w:p w14:paraId="4EEF0D72" w14:textId="77777777" w:rsidR="00373A7F" w:rsidRPr="00373A7F" w:rsidRDefault="00373A7F" w:rsidP="00373A7F">
      <w:r w:rsidRPr="00373A7F">
        <w:t>Holografická produkcia znaku siete EURES počas celého dňa EURES Job Day.</w:t>
      </w:r>
    </w:p>
    <w:p w14:paraId="43E39D77" w14:textId="77777777" w:rsidR="00373A7F" w:rsidRPr="00373A7F" w:rsidRDefault="00373A7F" w:rsidP="001800F1">
      <w:pPr>
        <w:spacing w:before="120" w:after="0"/>
        <w:ind w:hanging="6"/>
      </w:pPr>
      <w:bookmarkStart w:id="173" w:name="_Hlk156810919"/>
      <w:r w:rsidRPr="00373A7F">
        <w:t>V polovici roka 2023 ústredie obstaralo komplexnú výrobu animovaného videa zameraného na prezentáciu Národného projektu „Spoločne hľadáme prácu II.“ a siete EURES, ktorá zahŕňala prípravu 3 scenárov, kompletnú produkciu 30 sekundového videa aj s titulkami vo viacerých požadovaných formátoch. Video bolo zacielené na cieľové skupiny na sociálnej sieti Facebook cez sponzorovanú reklamu.</w:t>
      </w:r>
    </w:p>
    <w:p w14:paraId="0E1CA9E9" w14:textId="77777777" w:rsidR="00373A7F" w:rsidRPr="00373A7F" w:rsidRDefault="00373A7F" w:rsidP="00373A7F">
      <w:r w:rsidRPr="00373A7F">
        <w:t>Termín kampane: 20.9. – 10.10.2023 - celkovo sme kampaňou zasiahli 212 232 unikátnych používateľov, ktorým sa zobrazilo video 375 799-krát. Zaznamenaných bolo 50 934 interakcií stránky, z toho 50 551 prehratí videa.</w:t>
      </w:r>
      <w:bookmarkEnd w:id="173"/>
    </w:p>
    <w:p w14:paraId="7CAF14A6" w14:textId="77777777" w:rsidR="00373A7F" w:rsidRPr="001800F1" w:rsidRDefault="00373A7F" w:rsidP="001800F1">
      <w:pPr>
        <w:spacing w:before="120" w:after="0"/>
        <w:ind w:hanging="6"/>
        <w:rPr>
          <w:b/>
        </w:rPr>
      </w:pPr>
      <w:r w:rsidRPr="001800F1">
        <w:rPr>
          <w:b/>
        </w:rPr>
        <w:t>1.6 –Technické vybavenie</w:t>
      </w:r>
    </w:p>
    <w:p w14:paraId="63B82FAB" w14:textId="77777777" w:rsidR="00373A7F" w:rsidRPr="00373A7F" w:rsidRDefault="00373A7F" w:rsidP="00373A7F">
      <w:r w:rsidRPr="00373A7F">
        <w:t xml:space="preserve">V hodnotenom období sa nerealizovalo. </w:t>
      </w:r>
    </w:p>
    <w:p w14:paraId="2C09ADA1" w14:textId="77777777" w:rsidR="00373A7F" w:rsidRPr="001800F1" w:rsidRDefault="00373A7F" w:rsidP="001800F1">
      <w:pPr>
        <w:spacing w:before="120" w:after="0"/>
        <w:ind w:hanging="6"/>
        <w:rPr>
          <w:b/>
        </w:rPr>
      </w:pPr>
      <w:r w:rsidRPr="001800F1">
        <w:rPr>
          <w:b/>
        </w:rPr>
        <w:t>1.7 – Propagačné materiály</w:t>
      </w:r>
    </w:p>
    <w:p w14:paraId="0A56D2A8" w14:textId="77777777" w:rsidR="00373A7F" w:rsidRPr="00373A7F" w:rsidRDefault="00373A7F" w:rsidP="00373A7F">
      <w:r w:rsidRPr="00373A7F">
        <w:t>Propagačné predmety určené pre UoZ a zamestnávateľov s cieľom zlepšenia marketingovej  komunikácie  siete  EURES, zvyšovanie povedomia širokej verejnosti o službách a výhodách siete EURES a o pracovnej mobilite.</w:t>
      </w:r>
    </w:p>
    <w:p w14:paraId="3FDC305A" w14:textId="77777777" w:rsidR="00373A7F" w:rsidRPr="001800F1" w:rsidRDefault="00373A7F" w:rsidP="001800F1">
      <w:pPr>
        <w:spacing w:before="120" w:after="0"/>
        <w:ind w:hanging="6"/>
        <w:rPr>
          <w:b/>
        </w:rPr>
      </w:pPr>
      <w:r w:rsidRPr="001800F1">
        <w:rPr>
          <w:b/>
        </w:rPr>
        <w:t>1.8 – Informačné materiály</w:t>
      </w:r>
    </w:p>
    <w:p w14:paraId="7D37C4CF" w14:textId="77777777" w:rsidR="00373A7F" w:rsidRPr="00373A7F" w:rsidRDefault="00373A7F" w:rsidP="00373A7F">
      <w:r w:rsidRPr="00373A7F">
        <w:t>Aktivita v roku 2023 nebola realizovaná.</w:t>
      </w:r>
    </w:p>
    <w:p w14:paraId="5F862A6A" w14:textId="77777777" w:rsidR="00373A7F" w:rsidRPr="001800F1" w:rsidRDefault="00373A7F" w:rsidP="001800F1">
      <w:pPr>
        <w:spacing w:before="120" w:after="0"/>
        <w:ind w:hanging="6"/>
        <w:rPr>
          <w:b/>
        </w:rPr>
      </w:pPr>
      <w:r w:rsidRPr="001800F1">
        <w:rPr>
          <w:b/>
        </w:rPr>
        <w:t>1.9 – EURES meetingy</w:t>
      </w:r>
    </w:p>
    <w:p w14:paraId="39161008" w14:textId="77777777" w:rsidR="00373A7F" w:rsidRPr="00373A7F" w:rsidRDefault="00373A7F" w:rsidP="00373A7F">
      <w:r w:rsidRPr="00373A7F">
        <w:t xml:space="preserve">Meetingy členov siete EURES Slovensko realizované na pravidelnej báze vytvárajú priestor na výmenu informácií, analýzu a formuláciu problémov, hľadanie konštruktívnych riešení formou brainstormingu, ako aj formuláciu nových cieľov, úloh a spôsobov ich realizácie. Ich obsahová štruktúra bola v roku 2023 zameraná na riešenie aktuálnych tém ktoré vyplynuli z cieľov a úloh stanovených na národnej a európskej úrovni. V roku 2023 boli realizované 2 meetingy: </w:t>
      </w:r>
    </w:p>
    <w:p w14:paraId="1E71CF7C" w14:textId="77777777" w:rsidR="00373A7F" w:rsidRPr="00373A7F" w:rsidRDefault="00373A7F" w:rsidP="001800F1">
      <w:pPr>
        <w:pStyle w:val="Odsekzoznamu"/>
        <w:numPr>
          <w:ilvl w:val="0"/>
          <w:numId w:val="26"/>
        </w:numPr>
        <w:ind w:left="284" w:hanging="284"/>
      </w:pPr>
      <w:r w:rsidRPr="00373A7F">
        <w:t>22.-24.5.2023 - EURES meeting, Oščadnica, NKK + poradcovia (30)</w:t>
      </w:r>
    </w:p>
    <w:p w14:paraId="0F3193F4" w14:textId="77777777" w:rsidR="00373A7F" w:rsidRPr="00373A7F" w:rsidRDefault="00373A7F" w:rsidP="001800F1">
      <w:pPr>
        <w:ind w:left="284" w:firstLine="0"/>
      </w:pPr>
      <w:r w:rsidRPr="00373A7F">
        <w:t>EURES meetingu sa zúčastnil pán Jaroslav Kováč, národný styčný úradník pri Európskom orgáne práce (ELA), ktorý predstavil genézu vzniku ELA, oblasti kompetencie, právny základ, ciele, úlohy, riadenie ELA, organizačnú štruktúru ELA, pôsobnosť a úlohy národných styčných úradníkov a aktivity ELA.</w:t>
      </w:r>
    </w:p>
    <w:p w14:paraId="74DFAAEB" w14:textId="617D5222" w:rsidR="001800F1" w:rsidRDefault="00373A7F" w:rsidP="001800F1">
      <w:pPr>
        <w:pStyle w:val="Odsekzoznamu"/>
        <w:numPr>
          <w:ilvl w:val="0"/>
          <w:numId w:val="26"/>
        </w:numPr>
        <w:ind w:left="284" w:hanging="284"/>
      </w:pPr>
      <w:r w:rsidRPr="00373A7F">
        <w:t xml:space="preserve">26.-28.9.2023 - EURES meeting, Oščadnica, NKK + EURES poradcovia (29 + PhDr. </w:t>
      </w:r>
      <w:r w:rsidR="003D7AB1" w:rsidRPr="00373A7F">
        <w:t>Košutová</w:t>
      </w:r>
      <w:r w:rsidRPr="00373A7F">
        <w:t xml:space="preserve">)         </w:t>
      </w:r>
    </w:p>
    <w:p w14:paraId="7C05AB30" w14:textId="30E409A0" w:rsidR="00373A7F" w:rsidRDefault="00373A7F" w:rsidP="001800F1">
      <w:pPr>
        <w:pStyle w:val="Odsekzoznamu"/>
        <w:ind w:left="284" w:firstLine="0"/>
      </w:pPr>
      <w:r w:rsidRPr="00373A7F">
        <w:t xml:space="preserve">EURES meeting bol prínosom z hľadiska informovanosti o dôležitých pracovných záležitostiach,  ktoré EURES poradcovia riešia v každodennej práci, o pripravovaných akciách na najbližšie obdobie do konca roka 2023, o pripravovanom novom projekte Spoločne hľadáme prácu III., vyhodnotení výkonnosti webu </w:t>
      </w:r>
      <w:hyperlink r:id="rId60" w:history="1">
        <w:r w:rsidRPr="00373A7F">
          <w:rPr>
            <w:rStyle w:val="Hypertextovprepojenie"/>
          </w:rPr>
          <w:t>www.eures.sk</w:t>
        </w:r>
      </w:hyperlink>
      <w:r w:rsidRPr="00373A7F">
        <w:t>, ponuke pracovných stáží v oblasti cestovného ruchu pre študentov do Rakúska v zimnej sezóne, anglickej verzii webu eures.sk, informovanie o priebehu zahraničnej pracovnej cesty v Dánsku, ako aj prihraničnom stretnutí SK-PL v Kežmarku a mnohých ďalších dôležitých témach.</w:t>
      </w:r>
    </w:p>
    <w:p w14:paraId="37521452" w14:textId="70215635" w:rsidR="001800F1" w:rsidRDefault="001800F1" w:rsidP="001800F1">
      <w:pPr>
        <w:pStyle w:val="Odsekzoznamu"/>
        <w:ind w:left="284" w:firstLine="0"/>
      </w:pPr>
    </w:p>
    <w:p w14:paraId="49F51F59" w14:textId="77777777" w:rsidR="001800F1" w:rsidRPr="00373A7F" w:rsidRDefault="001800F1" w:rsidP="001800F1">
      <w:pPr>
        <w:pStyle w:val="Odsekzoznamu"/>
        <w:ind w:left="284" w:firstLine="0"/>
      </w:pPr>
    </w:p>
    <w:p w14:paraId="00854F72" w14:textId="77777777" w:rsidR="00373A7F" w:rsidRPr="001800F1" w:rsidRDefault="00373A7F" w:rsidP="00373A7F">
      <w:pPr>
        <w:rPr>
          <w:b/>
        </w:rPr>
      </w:pPr>
      <w:r w:rsidRPr="001800F1">
        <w:rPr>
          <w:b/>
        </w:rPr>
        <w:lastRenderedPageBreak/>
        <w:t>1.10 – Prihraničné aktivity</w:t>
      </w:r>
    </w:p>
    <w:p w14:paraId="15457766" w14:textId="77777777" w:rsidR="00373A7F" w:rsidRPr="00373A7F" w:rsidRDefault="00373A7F" w:rsidP="00373A7F">
      <w:r w:rsidRPr="00373A7F">
        <w:t>Pravidelné stretnutia hlavných aktérov prihraničného trhu práce prinášajú upevnenie kontaktov, prehĺbenie spolupráce a vzájomnú inšpiráciu v rámci zdieľania dobrej praxe. Pre sieť EURES sú stretnutia prínosom v oblasti rozvoja prihraničnej pracovnej mobility.</w:t>
      </w:r>
    </w:p>
    <w:p w14:paraId="25023343" w14:textId="77777777" w:rsidR="00373A7F" w:rsidRPr="001800F1" w:rsidRDefault="00373A7F" w:rsidP="001800F1">
      <w:pPr>
        <w:pStyle w:val="Odsekzoznamu"/>
        <w:numPr>
          <w:ilvl w:val="0"/>
          <w:numId w:val="26"/>
        </w:numPr>
        <w:ind w:left="284" w:hanging="284"/>
        <w:rPr>
          <w:b/>
        </w:rPr>
      </w:pPr>
      <w:r w:rsidRPr="001800F1">
        <w:rPr>
          <w:b/>
        </w:rPr>
        <w:t>Spolupráca SK a PL</w:t>
      </w:r>
    </w:p>
    <w:p w14:paraId="607560F3" w14:textId="77777777" w:rsidR="00373A7F" w:rsidRPr="00373A7F" w:rsidRDefault="00373A7F" w:rsidP="00373A7F">
      <w:r w:rsidRPr="00373A7F">
        <w:t>V Kežmarku sa dňa 21.09.2023 uskutočnilo pracovné stretnutie zamerané na sieťovanie prihraničných inštitúcií a zamestnávateľov. Jeho prioritou bolo nadviazanie kontaktu s Európskym orgánom práce – ELA zastúpeným národnými styčnými úradníkmi z Poľska a Slovenska. Jednou z tém stretnutia bola aktuálna situácia na slovenskom a poľskom prihraničnom trhu práce v okresoch Poprad, Kežmarok, Stará Ľubovňa a Nowy Sacz.  Vďaka účasti zástupcov ELA na stretnutí odzneli tiež cenné informácie o štruktúre, cieľoch a aktivitách Európskeho orgánu práce. Veľkým prínosom boli prezentácie z radov zamestnávateľov. Zástupcovia spoločností Whirlpool Slovakia spol. s r.o. a  ZASTROVA, a. s. poukázali na inovatívne formy integrácie marginalizovaných zamestnancov, ako aj na potrebu neustálej prípravy budúcich zamestnancov v tréningových centrách za pomoci využitia rôznych foriem vzdelávacích aktivít.</w:t>
      </w:r>
    </w:p>
    <w:p w14:paraId="1215370A" w14:textId="79694EEA" w:rsidR="00373A7F" w:rsidRPr="00373A7F" w:rsidRDefault="00373A7F" w:rsidP="00373A7F">
      <w:r w:rsidRPr="00373A7F">
        <w:t>Diskusia účastníkov bola zameraná na identifikáciu ťažiskových problémov v oblasti prihraničnej migrácie pracovníkov. Zamestnávatelia na stretnutí tlmočili svoje potreby v oblasti nedostatku kvalifikovanej pracovnej sily a účastníci sa zhodli, že k zlepšeniu pracovnej mobility v prihraničnom regió</w:t>
      </w:r>
      <w:r w:rsidR="001800F1">
        <w:t>ne POPRAD-DUNAJEC môže prispieť</w:t>
      </w:r>
      <w:r w:rsidRPr="00373A7F">
        <w:t> aj</w:t>
      </w:r>
      <w:r w:rsidR="001800F1">
        <w:t xml:space="preserve"> </w:t>
      </w:r>
      <w:r w:rsidRPr="00373A7F">
        <w:t>dobudovanie regionálnej dopravnej infraštruktúry.</w:t>
      </w:r>
    </w:p>
    <w:p w14:paraId="52ED33E1" w14:textId="77777777" w:rsidR="00373A7F" w:rsidRPr="001800F1" w:rsidRDefault="00373A7F" w:rsidP="001800F1">
      <w:pPr>
        <w:pStyle w:val="Odsekzoznamu"/>
        <w:numPr>
          <w:ilvl w:val="0"/>
          <w:numId w:val="26"/>
        </w:numPr>
        <w:spacing w:after="0"/>
        <w:ind w:left="284" w:hanging="284"/>
        <w:rPr>
          <w:b/>
        </w:rPr>
      </w:pPr>
      <w:r w:rsidRPr="001800F1">
        <w:rPr>
          <w:b/>
        </w:rPr>
        <w:t>Spolupráca SK a PL  a ČR</w:t>
      </w:r>
    </w:p>
    <w:p w14:paraId="70EC0FE2" w14:textId="77777777" w:rsidR="00373A7F" w:rsidRPr="00373A7F" w:rsidRDefault="00373A7F" w:rsidP="00373A7F">
      <w:r w:rsidRPr="00373A7F">
        <w:t>Dňa 16.11.2023 sa v Námestove konal Seminár EURES pod názvom Mapovanie potrieb zamestnávateľov v prihraničných regiónoch Slovenska  a Poľska. Prihraničného stretnutia sa zúčastnilo 13 zástupcov verejných služieb zamestnanosti a 7 zástupcov slovenských zamestnávateľov prevažne z oblasti automotive. Okrem predstavenia situácie na cezhraničnom trhu práce sa diskutovalo a hľadali riešenia k aktuálnemu problému uzatvorenia malých hraničných prechodov, ktoré zasiahli najmä poľských pendlerov pracujúcich u zamestnávateľov v priemyselnom parku Námestovo. Taktiež sa riešilo aktívne zapojenie poľských úradov v pohraničí pri nábore slovenských zamestnávateľov v Poľsku. Na základe výstupov z dotazníkov bola prejavená spokojnosť so seminárom. </w:t>
      </w:r>
    </w:p>
    <w:p w14:paraId="2B2A4671" w14:textId="77777777" w:rsidR="00373A7F" w:rsidRPr="001800F1" w:rsidRDefault="00373A7F" w:rsidP="001800F1">
      <w:pPr>
        <w:pStyle w:val="Odsekzoznamu"/>
        <w:numPr>
          <w:ilvl w:val="0"/>
          <w:numId w:val="26"/>
        </w:numPr>
        <w:ind w:left="284" w:hanging="284"/>
        <w:rPr>
          <w:b/>
        </w:rPr>
      </w:pPr>
      <w:r w:rsidRPr="001800F1">
        <w:rPr>
          <w:b/>
        </w:rPr>
        <w:t>Spolupráca SK a HU</w:t>
      </w:r>
    </w:p>
    <w:p w14:paraId="6C1C370C" w14:textId="0B68DFB6" w:rsidR="001800F1" w:rsidRDefault="00373A7F" w:rsidP="00373A7F">
      <w:r w:rsidRPr="001800F1">
        <w:rPr>
          <w:b/>
        </w:rPr>
        <w:t>Č.</w:t>
      </w:r>
      <w:r w:rsidR="003D7AB1">
        <w:rPr>
          <w:b/>
        </w:rPr>
        <w:t xml:space="preserve"> </w:t>
      </w:r>
      <w:r w:rsidRPr="001800F1">
        <w:rPr>
          <w:b/>
        </w:rPr>
        <w:t>1</w:t>
      </w:r>
      <w:r w:rsidRPr="00373A7F">
        <w:t xml:space="preserve"> </w:t>
      </w:r>
    </w:p>
    <w:p w14:paraId="0FDD21EA" w14:textId="5DFAC207" w:rsidR="00373A7F" w:rsidRPr="00373A7F" w:rsidRDefault="00373A7F" w:rsidP="00373A7F">
      <w:r w:rsidRPr="00373A7F">
        <w:t xml:space="preserve">Dôkazom dobre fungujúcej spolupráce je aj prihraničné stretnutie, ktoré sa uskutočnilo dňa </w:t>
      </w:r>
      <w:r w:rsidR="003D7AB1">
        <w:t xml:space="preserve">            </w:t>
      </w:r>
      <w:r w:rsidRPr="00373A7F">
        <w:t>12.</w:t>
      </w:r>
      <w:r w:rsidR="003D7AB1">
        <w:t xml:space="preserve"> </w:t>
      </w:r>
      <w:r w:rsidRPr="00373A7F">
        <w:t>10.</w:t>
      </w:r>
      <w:r w:rsidR="003D7AB1">
        <w:t xml:space="preserve"> </w:t>
      </w:r>
      <w:r w:rsidRPr="00373A7F">
        <w:t>2023 v Komárne.</w:t>
      </w:r>
    </w:p>
    <w:p w14:paraId="316ABEB6" w14:textId="77777777" w:rsidR="00373A7F" w:rsidRPr="00373A7F" w:rsidRDefault="00373A7F" w:rsidP="001800F1">
      <w:pPr>
        <w:spacing w:before="120" w:after="0"/>
        <w:ind w:hanging="6"/>
      </w:pPr>
      <w:r w:rsidRPr="00373A7F">
        <w:t>Riaditelia úradov a zástupcovia siete EURES zo Slovenska a Maďarska si vymenili skúsenosti, príklady dobrej praxe a prediskutovali aktuálnu problematiku vývoja pracovného trhu. Hovorilo sa aj o nízkej nezamestnanosti na oboch stranách Dunaja a čoraz náročnejšom pokrývaní potrieb trhu práce.</w:t>
      </w:r>
    </w:p>
    <w:p w14:paraId="67232880" w14:textId="0AEDFD53" w:rsidR="00373A7F" w:rsidRPr="00373A7F" w:rsidRDefault="00373A7F" w:rsidP="001800F1">
      <w:pPr>
        <w:spacing w:before="120" w:after="0"/>
        <w:ind w:hanging="6"/>
      </w:pPr>
      <w:r w:rsidRPr="00373A7F">
        <w:t>Cieľom tohto stretnutia bolo nadviazanie spolupráce s predstaviteľmi prihraničných partnerstiev PONS DANUBII a ISTER GRANUM. K ich najúspešnejším zrealizovaným projektom patrí vybudovanie veľkého množstva cyklotrás, tematických detských ihrísk ako aj spojenie obcí Radvaň nad Dunajom (SK) a Neszmély  (HU) prostredníctvom kompy.</w:t>
      </w:r>
    </w:p>
    <w:p w14:paraId="4AD5B547" w14:textId="77777777" w:rsidR="00373A7F" w:rsidRPr="00373A7F" w:rsidRDefault="00373A7F" w:rsidP="001800F1">
      <w:pPr>
        <w:spacing w:before="120" w:after="0"/>
        <w:ind w:hanging="6"/>
      </w:pPr>
      <w:r w:rsidRPr="00373A7F">
        <w:t>V rámci nového projektového obdobia je jednou z ich aktivít vzdelávanie ľudí v oblasti turizmu. Práve v tejto oblasti sa našli prieniky zástupcov úradov s prihraničnými partnerstvami. Pozdĺž hraníc oboch štátov sa zmapujú potreby vzdelávania, na ktoré nadviaže ďalšie stretnutie za účelom vytýčenia konkrétnych vzdelávacích aktivít. Obe strany sa zhodli na potrebe skvalitnenia služieb a ľudského potenciálu za účelom podpory turizmu v prihraničnom regióne.</w:t>
      </w:r>
    </w:p>
    <w:p w14:paraId="03984B86" w14:textId="77777777" w:rsidR="00373A7F" w:rsidRPr="00373A7F" w:rsidRDefault="00373A7F" w:rsidP="001800F1">
      <w:pPr>
        <w:spacing w:before="120" w:after="0"/>
        <w:ind w:hanging="6"/>
      </w:pPr>
      <w:r w:rsidRPr="00373A7F">
        <w:lastRenderedPageBreak/>
        <w:t>Opätovne sa potvrdilo, že pestovanie dobrých vzťahov a pravidelné stretávanie sa v rámci prihraničného regiónu je veľmi potrebné.</w:t>
      </w:r>
    </w:p>
    <w:p w14:paraId="19CAB457" w14:textId="698BB6DE" w:rsidR="001800F1" w:rsidRDefault="00373A7F" w:rsidP="001800F1">
      <w:pPr>
        <w:spacing w:before="120" w:after="0"/>
        <w:ind w:hanging="6"/>
      </w:pPr>
      <w:r w:rsidRPr="001800F1">
        <w:rPr>
          <w:b/>
        </w:rPr>
        <w:t>Č.</w:t>
      </w:r>
      <w:r w:rsidR="003D7AB1">
        <w:rPr>
          <w:b/>
        </w:rPr>
        <w:t xml:space="preserve"> </w:t>
      </w:r>
      <w:r w:rsidRPr="001800F1">
        <w:rPr>
          <w:b/>
        </w:rPr>
        <w:t>2</w:t>
      </w:r>
      <w:r w:rsidRPr="00373A7F">
        <w:t xml:space="preserve"> </w:t>
      </w:r>
    </w:p>
    <w:p w14:paraId="04960849" w14:textId="367DF91E" w:rsidR="00373A7F" w:rsidRPr="00373A7F" w:rsidRDefault="00373A7F" w:rsidP="00373A7F">
      <w:r w:rsidRPr="00373A7F">
        <w:t>Sieť EURES Slovensko zorganizovala slovensko-maďarský prihraničný workshop v Štúrove dňa 18.5.2023. Workshop nadviazal na tradičné prihraničné stretnutia sietí EURES Slovensko, EURES Maďarsko a spolupracujúcich inštitúcií v cezhraničnom regióne. Jeho cieľom bola vzájomná výmena informácií a rozvoj spolupráce v rámci siete EURES ako aj verejných služieb zamestnanosti.</w:t>
      </w:r>
    </w:p>
    <w:p w14:paraId="0AC87944" w14:textId="77777777" w:rsidR="00373A7F" w:rsidRPr="00373A7F" w:rsidRDefault="00373A7F" w:rsidP="00373A7F">
      <w:r w:rsidRPr="00373A7F">
        <w:t xml:space="preserve">Program pracovného stretnutia pozostával z hlavných tém: </w:t>
      </w:r>
    </w:p>
    <w:p w14:paraId="47E0E7A4" w14:textId="77777777" w:rsidR="00373A7F" w:rsidRPr="00373A7F" w:rsidRDefault="00373A7F" w:rsidP="001800F1">
      <w:pPr>
        <w:pStyle w:val="Odsekzoznamu"/>
        <w:numPr>
          <w:ilvl w:val="0"/>
          <w:numId w:val="26"/>
        </w:numPr>
        <w:ind w:left="284" w:hanging="284"/>
      </w:pPr>
      <w:r w:rsidRPr="00373A7F">
        <w:t xml:space="preserve">vzájomné informovanie účastníkov o aktuálnej situácii v prihraničnom regióne na trhu práce na Slovensku a v Maďarsku, základné štatistické údaje, miera nezamestnanosti, strategický zamestnávatelia v regióne, nedostatkové a prebytkové profesie, priemerné mzdy, cezhraničné zamestnávanie, prehľad organizačnej štruktúry, začlenenia, kompetencií a agendy úradov,  </w:t>
      </w:r>
    </w:p>
    <w:p w14:paraId="1A23526D" w14:textId="77777777" w:rsidR="00373A7F" w:rsidRPr="00373A7F" w:rsidRDefault="00373A7F" w:rsidP="001800F1">
      <w:pPr>
        <w:pStyle w:val="Odsekzoznamu"/>
        <w:numPr>
          <w:ilvl w:val="0"/>
          <w:numId w:val="26"/>
        </w:numPr>
        <w:ind w:left="284" w:hanging="284"/>
      </w:pPr>
      <w:r w:rsidRPr="00373A7F">
        <w:t>prezentácie sietí EURES Slovensko a EURES Maďarsko – vyhodnotenie uskutočnených aktivít, predstavenie náborových projektov, plánovaných aktivít, webovej stránky, sociálnych sietí, informácie z oblasti cezhraničnej mobility</w:t>
      </w:r>
    </w:p>
    <w:p w14:paraId="581DDCE3" w14:textId="77777777" w:rsidR="00373A7F" w:rsidRPr="00373A7F" w:rsidRDefault="00373A7F" w:rsidP="001800F1">
      <w:pPr>
        <w:pStyle w:val="Odsekzoznamu"/>
        <w:numPr>
          <w:ilvl w:val="0"/>
          <w:numId w:val="26"/>
        </w:numPr>
        <w:ind w:left="284" w:hanging="284"/>
      </w:pPr>
      <w:r w:rsidRPr="00373A7F">
        <w:t>diskusia, príklady dobrej praxe, skúsenosti, návrhy spolupráce.</w:t>
      </w:r>
    </w:p>
    <w:p w14:paraId="0CAFE0A3" w14:textId="77777777" w:rsidR="00373A7F" w:rsidRPr="00373A7F" w:rsidRDefault="00373A7F" w:rsidP="00373A7F">
      <w:r w:rsidRPr="00373A7F">
        <w:t>Účastníci vyjadrili poďakovanie za príležitosť zúčastniť sa na workshope, označili ho ako veľmi prínosný a užitočný a zároveň prejavili záujem o participáciu na podobnom podujatí v budúcnosti.</w:t>
      </w:r>
    </w:p>
    <w:p w14:paraId="52497D78" w14:textId="6DE93202" w:rsidR="00373A7F" w:rsidRPr="001800F1" w:rsidRDefault="00373A7F" w:rsidP="001800F1">
      <w:pPr>
        <w:spacing w:before="120" w:after="0"/>
        <w:ind w:hanging="6"/>
        <w:rPr>
          <w:b/>
        </w:rPr>
      </w:pPr>
      <w:r w:rsidRPr="001800F1">
        <w:rPr>
          <w:b/>
        </w:rPr>
        <w:t>1.11 – Česko</w:t>
      </w:r>
      <w:r w:rsidR="003D7AB1">
        <w:rPr>
          <w:b/>
        </w:rPr>
        <w:t xml:space="preserve"> </w:t>
      </w:r>
      <w:r w:rsidRPr="001800F1">
        <w:rPr>
          <w:b/>
        </w:rPr>
        <w:t>-</w:t>
      </w:r>
      <w:r w:rsidR="003D7AB1">
        <w:rPr>
          <w:b/>
        </w:rPr>
        <w:t xml:space="preserve"> </w:t>
      </w:r>
      <w:r w:rsidRPr="001800F1">
        <w:rPr>
          <w:b/>
        </w:rPr>
        <w:t xml:space="preserve">slovenské stretnutie </w:t>
      </w:r>
    </w:p>
    <w:p w14:paraId="685F3D88" w14:textId="19D9EC51" w:rsidR="00373A7F" w:rsidRPr="00373A7F" w:rsidRDefault="00373A7F" w:rsidP="00373A7F">
      <w:r w:rsidRPr="00373A7F">
        <w:t xml:space="preserve">Stretnutie sa konalo </w:t>
      </w:r>
      <w:r w:rsidRPr="00373A7F">
        <w:rPr>
          <w:bCs/>
        </w:rPr>
        <w:t>13.</w:t>
      </w:r>
      <w:r w:rsidR="003D7AB1">
        <w:rPr>
          <w:bCs/>
        </w:rPr>
        <w:t xml:space="preserve"> </w:t>
      </w:r>
      <w:r w:rsidRPr="00373A7F">
        <w:rPr>
          <w:bCs/>
        </w:rPr>
        <w:t>-</w:t>
      </w:r>
      <w:r w:rsidR="003D7AB1">
        <w:rPr>
          <w:bCs/>
        </w:rPr>
        <w:t xml:space="preserve"> </w:t>
      </w:r>
      <w:r w:rsidRPr="00373A7F">
        <w:rPr>
          <w:bCs/>
        </w:rPr>
        <w:t>15.</w:t>
      </w:r>
      <w:r w:rsidR="003D7AB1">
        <w:rPr>
          <w:bCs/>
        </w:rPr>
        <w:t xml:space="preserve"> </w:t>
      </w:r>
      <w:r w:rsidRPr="00373A7F">
        <w:rPr>
          <w:bCs/>
        </w:rPr>
        <w:t>6. 2023</w:t>
      </w:r>
      <w:r w:rsidRPr="00373A7F">
        <w:t xml:space="preserve"> v Starej Lesnej po 5 rokoch od posledného stretnutia organizovaného na českej strane. Stretnutia sa zúčastnilo celkovo 44 osôb v zastúpení EURES poradcovia a členovia národných koordinačných kancelárií z českej a slovenskej siete EURES.</w:t>
      </w:r>
    </w:p>
    <w:p w14:paraId="28C87B8D" w14:textId="77777777" w:rsidR="00373A7F" w:rsidRPr="00373A7F" w:rsidRDefault="00373A7F" w:rsidP="00373A7F">
      <w:r w:rsidRPr="00373A7F">
        <w:rPr>
          <w:bCs/>
        </w:rPr>
        <w:t xml:space="preserve">Zástupcovia oboch sietí v rámci svojich prezentácií predstavili </w:t>
      </w:r>
      <w:r w:rsidRPr="00373A7F">
        <w:t xml:space="preserve">organizačnú štruktúru, kompetencie, a začlenenie. </w:t>
      </w:r>
    </w:p>
    <w:p w14:paraId="2E388E57" w14:textId="77777777" w:rsidR="00373A7F" w:rsidRPr="00373A7F" w:rsidRDefault="00373A7F" w:rsidP="001800F1">
      <w:pPr>
        <w:spacing w:before="120" w:after="0"/>
        <w:ind w:hanging="6"/>
      </w:pPr>
      <w:r w:rsidRPr="00373A7F">
        <w:t>Obe siete predstavili organizované a plánované aktivity a svoje aktuálne postavenie v rámci projektu ESF. Podpora pracovnej mobility v Európe je spoločným cieľom oboch národných sietí, avšak podmienky na trhu práce v oboch krajinách sú odlišné. Vytvoril sa priestor na vzájomnú výmenu informácií a skúseností o možnostiach, ktoré jednotlivé siete ponúkajú UoZ, mladým ľuďom i zamestnávateľom, čo tvorí pridanú hodnotu týchto spoločných stretnutí.</w:t>
      </w:r>
    </w:p>
    <w:p w14:paraId="4AB96956" w14:textId="77777777" w:rsidR="00373A7F" w:rsidRPr="001800F1" w:rsidRDefault="00373A7F" w:rsidP="001800F1">
      <w:pPr>
        <w:spacing w:before="120" w:after="0"/>
        <w:ind w:hanging="6"/>
        <w:rPr>
          <w:b/>
        </w:rPr>
      </w:pPr>
      <w:r w:rsidRPr="001800F1">
        <w:rPr>
          <w:b/>
        </w:rPr>
        <w:t>1.12 – Rozvoj bilaterálnych a multilaterálnych náborových projektov, účasť na aktivitách siete EURES na Slovensku i v zahraničí, účasť v pracovných skupinách EK</w:t>
      </w:r>
    </w:p>
    <w:p w14:paraId="460AD7E4" w14:textId="77777777" w:rsidR="00373A7F" w:rsidRPr="00373A7F" w:rsidRDefault="00373A7F" w:rsidP="00373A7F">
      <w:r w:rsidRPr="00373A7F">
        <w:t xml:space="preserve">Medzinárodný workshop ELA, </w:t>
      </w:r>
      <w:r w:rsidRPr="00373A7F">
        <w:rPr>
          <w:bCs/>
        </w:rPr>
        <w:t>24.-25.1.2023</w:t>
      </w:r>
      <w:r w:rsidRPr="00373A7F">
        <w:t xml:space="preserve">, Bratislava </w:t>
      </w:r>
    </w:p>
    <w:p w14:paraId="290922E4" w14:textId="77777777" w:rsidR="00373A7F" w:rsidRPr="00373A7F" w:rsidRDefault="00373A7F" w:rsidP="00373A7F">
      <w:r w:rsidRPr="00373A7F">
        <w:t>téma: sezónne zamestnávanie</w:t>
      </w:r>
    </w:p>
    <w:p w14:paraId="5E8C4F3B" w14:textId="77777777" w:rsidR="00373A7F" w:rsidRPr="00373A7F" w:rsidRDefault="00373A7F" w:rsidP="00373A7F">
      <w:r w:rsidRPr="00373A7F">
        <w:t>participujúce krajiny: Taliansko, Nemecko, Holandsko, Rumunsko, Bulharsko, Slovensko, Španielsko, Francúzsko, Portugalsko, Poľsko</w:t>
      </w:r>
    </w:p>
    <w:p w14:paraId="47C8726F" w14:textId="413C1C2C" w:rsidR="00373A7F" w:rsidRPr="00373A7F" w:rsidRDefault="00373A7F" w:rsidP="00373A7F">
      <w:r w:rsidRPr="00373A7F">
        <w:t>Konferencia EURES</w:t>
      </w:r>
      <w:r w:rsidR="003D7AB1">
        <w:t xml:space="preserve"> </w:t>
      </w:r>
      <w:r w:rsidRPr="00373A7F">
        <w:t>in</w:t>
      </w:r>
      <w:r w:rsidR="003D7AB1">
        <w:t xml:space="preserve"> </w:t>
      </w:r>
      <w:r w:rsidRPr="00373A7F">
        <w:t>Action, 13.</w:t>
      </w:r>
      <w:r w:rsidR="003D7AB1">
        <w:t xml:space="preserve"> </w:t>
      </w:r>
      <w:r w:rsidRPr="00373A7F">
        <w:t>-16.</w:t>
      </w:r>
      <w:r w:rsidR="003D7AB1">
        <w:t xml:space="preserve"> </w:t>
      </w:r>
      <w:r w:rsidRPr="00373A7F">
        <w:t>6.</w:t>
      </w:r>
      <w:r w:rsidR="003D7AB1">
        <w:t xml:space="preserve"> </w:t>
      </w:r>
      <w:r w:rsidRPr="00373A7F">
        <w:t>2023</w:t>
      </w:r>
    </w:p>
    <w:p w14:paraId="6FDAEAA8" w14:textId="79429926" w:rsidR="00373A7F" w:rsidRPr="00373A7F" w:rsidRDefault="00373A7F" w:rsidP="00373A7F">
      <w:pPr>
        <w:rPr>
          <w:bCs/>
        </w:rPr>
      </w:pPr>
      <w:r w:rsidRPr="00373A7F">
        <w:rPr>
          <w:bCs/>
        </w:rPr>
        <w:t xml:space="preserve">Hlavnou témou 6. ročníka podujatia EURES in Action, ktoré sa konalo hybridnou formou </w:t>
      </w:r>
      <w:r w:rsidR="003D7AB1">
        <w:rPr>
          <w:bCs/>
        </w:rPr>
        <w:t xml:space="preserve">               </w:t>
      </w:r>
      <w:r w:rsidRPr="00373A7F">
        <w:rPr>
          <w:bCs/>
        </w:rPr>
        <w:t xml:space="preserve">v Bratislave v sídle ELA, boli Trendy pracovnej mobility a nedostatkové zručnosti a profesie. Cieľom bola výmena odborných poznatkov, spolupráca a zdieľanie praktických skúseností členov siete EURES. </w:t>
      </w:r>
    </w:p>
    <w:p w14:paraId="3C69232C" w14:textId="77777777" w:rsidR="00373A7F" w:rsidRPr="00373A7F" w:rsidRDefault="00373A7F" w:rsidP="00373A7F">
      <w:pPr>
        <w:rPr>
          <w:bCs/>
        </w:rPr>
      </w:pPr>
      <w:r w:rsidRPr="00373A7F">
        <w:rPr>
          <w:bCs/>
        </w:rPr>
        <w:t>Témy workshopov: Trendy digitalizácie – vznikajúce profesie a potrebné nové zručnosti, Trendy ekologizácie – vznikajúce profesia a potrebné nové zručnosti, Nedostatkové profesie a zručnosti, trendy pracovnej mobility so zameraním na stavebný sektor, Nedostatkové profesie a zručnosti, trendy pracovnej mobility – potreby zamestnávateľov</w:t>
      </w:r>
    </w:p>
    <w:p w14:paraId="28771771" w14:textId="77777777" w:rsidR="00373A7F" w:rsidRPr="00373A7F" w:rsidRDefault="00373A7F" w:rsidP="00373A7F">
      <w:pPr>
        <w:rPr>
          <w:bCs/>
        </w:rPr>
      </w:pPr>
      <w:r w:rsidRPr="00373A7F">
        <w:rPr>
          <w:bCs/>
        </w:rPr>
        <w:t xml:space="preserve">Stanovené ciele: dôraz na riešenie nedostatku zamestnancov v súčasných a budúcich profesiách vyplývajúci z ekologizácie a digitalizácie V súčasnosti má 77% zamestnávateľov problém nájsť </w:t>
      </w:r>
      <w:r w:rsidRPr="00373A7F">
        <w:rPr>
          <w:bCs/>
        </w:rPr>
        <w:lastRenderedPageBreak/>
        <w:t>zamestnancov s požadovanými zručnosťami. Do roku 2030 v EÚ vznikne ďalších 1 milión pracovných miest vďaka ekologickej transformácii.  Do roku 2025 by malo mať 70% populácie v EÚ aspoň základné digitálne zručnosti.</w:t>
      </w:r>
    </w:p>
    <w:p w14:paraId="7BCB1653" w14:textId="1BDBEE51" w:rsidR="00373A7F" w:rsidRPr="00373A7F" w:rsidRDefault="00373A7F" w:rsidP="00373A7F">
      <w:pPr>
        <w:rPr>
          <w:bCs/>
        </w:rPr>
      </w:pPr>
      <w:r w:rsidRPr="00373A7F">
        <w:t>Aktivita v číslach:</w:t>
      </w:r>
      <w:r w:rsidRPr="00373A7F">
        <w:rPr>
          <w:bCs/>
        </w:rPr>
        <w:t xml:space="preserve"> viac ako 150 on</w:t>
      </w:r>
      <w:r w:rsidR="003D7AB1">
        <w:rPr>
          <w:bCs/>
        </w:rPr>
        <w:t xml:space="preserve"> site, 450 on </w:t>
      </w:r>
      <w:r w:rsidRPr="00373A7F">
        <w:rPr>
          <w:bCs/>
        </w:rPr>
        <w:t>line</w:t>
      </w:r>
    </w:p>
    <w:p w14:paraId="39246AE9" w14:textId="5F52E438" w:rsidR="00373A7F" w:rsidRPr="00373A7F" w:rsidRDefault="00373A7F" w:rsidP="003D7AB1">
      <w:pPr>
        <w:spacing w:before="120" w:after="0"/>
        <w:ind w:hanging="6"/>
      </w:pPr>
      <w:r w:rsidRPr="00373A7F">
        <w:t>Konferencia ELA, 20.</w:t>
      </w:r>
      <w:r w:rsidR="003D7AB1">
        <w:t xml:space="preserve"> </w:t>
      </w:r>
      <w:r w:rsidRPr="00373A7F">
        <w:t>6.2023, Bratislava</w:t>
      </w:r>
    </w:p>
    <w:p w14:paraId="452630C1" w14:textId="3E8BA035" w:rsidR="00373A7F" w:rsidRPr="00373A7F" w:rsidRDefault="00373A7F" w:rsidP="00373A7F">
      <w:r w:rsidRPr="00373A7F">
        <w:t xml:space="preserve">V roku 2022 bola vypísaná výzva ELA k zasielaniu </w:t>
      </w:r>
      <w:r w:rsidRPr="001800F1">
        <w:rPr>
          <w:i/>
        </w:rPr>
        <w:t>„Good practices“</w:t>
      </w:r>
      <w:r w:rsidRPr="00373A7F">
        <w:t xml:space="preserve"> v oblasti sezónneho zamestnávania a cestnej dopravy. Prihlásené príklady dobrej praxe sú ako inšpirácia, ktorá môže byť aplikovaná v jednotlivých krajinách, uložené v databáze prístupnej všetkým členským štátom. Jednou z ocenených bola Ing. Zuzana Kubovičová, ktorá si prevzala cenu za </w:t>
      </w:r>
      <w:r w:rsidRPr="001800F1">
        <w:rPr>
          <w:i/>
        </w:rPr>
        <w:t>„</w:t>
      </w:r>
      <w:r w:rsidR="001800F1">
        <w:rPr>
          <w:i/>
        </w:rPr>
        <w:t>B</w:t>
      </w:r>
      <w:r w:rsidRPr="001800F1">
        <w:rPr>
          <w:i/>
        </w:rPr>
        <w:t>est practice“</w:t>
      </w:r>
      <w:r w:rsidRPr="00373A7F">
        <w:t>, a to spoluprácu medzi EURES Slovenskom a EURES Holandskom v oblasti sezónneho zamestnávania.</w:t>
      </w:r>
    </w:p>
    <w:p w14:paraId="65293A39" w14:textId="77777777" w:rsidR="00373A7F" w:rsidRPr="00373A7F" w:rsidRDefault="00373A7F" w:rsidP="003D7AB1">
      <w:pPr>
        <w:spacing w:before="120" w:after="0"/>
        <w:ind w:hanging="6"/>
        <w:rPr>
          <w:bCs/>
        </w:rPr>
      </w:pPr>
      <w:r w:rsidRPr="00373A7F">
        <w:rPr>
          <w:bCs/>
        </w:rPr>
        <w:t>Vybrané aktivity organizované v spolupráci s EURES ČR:</w:t>
      </w:r>
    </w:p>
    <w:p w14:paraId="79AB7BF0" w14:textId="77777777" w:rsidR="00373A7F" w:rsidRPr="001800F1" w:rsidRDefault="00373A7F" w:rsidP="008A732C">
      <w:pPr>
        <w:pStyle w:val="Odsekzoznamu"/>
        <w:numPr>
          <w:ilvl w:val="0"/>
          <w:numId w:val="27"/>
        </w:numPr>
        <w:spacing w:before="0" w:after="0"/>
        <w:ind w:left="284" w:hanging="284"/>
        <w:rPr>
          <w:bCs/>
        </w:rPr>
      </w:pPr>
      <w:r w:rsidRPr="00373A7F">
        <w:t>Seminár Trh práce ČR a SR,</w:t>
      </w:r>
      <w:r w:rsidRPr="001800F1">
        <w:rPr>
          <w:bCs/>
        </w:rPr>
        <w:t xml:space="preserve"> 16.-18.5.2023</w:t>
      </w:r>
      <w:r w:rsidRPr="00373A7F">
        <w:t>, Česko, Olomouc</w:t>
      </w:r>
    </w:p>
    <w:p w14:paraId="42BEA138" w14:textId="15505CEE" w:rsidR="00373A7F" w:rsidRPr="00373A7F" w:rsidRDefault="00373A7F" w:rsidP="008A732C">
      <w:pPr>
        <w:pStyle w:val="Odsekzoznamu"/>
        <w:numPr>
          <w:ilvl w:val="0"/>
          <w:numId w:val="27"/>
        </w:numPr>
        <w:spacing w:before="0" w:after="0"/>
        <w:ind w:left="284" w:hanging="284"/>
      </w:pPr>
      <w:r w:rsidRPr="00373A7F">
        <w:t>Pracovné stretnutie EURES poradcov SR a ČR,</w:t>
      </w:r>
      <w:r w:rsidR="001800F1">
        <w:rPr>
          <w:bCs/>
        </w:rPr>
        <w:t xml:space="preserve"> 12.6.2023,  úrad Považská Bystrica</w:t>
      </w:r>
    </w:p>
    <w:p w14:paraId="263BC513" w14:textId="7CA67593" w:rsidR="00373A7F" w:rsidRPr="00373A7F" w:rsidRDefault="00373A7F" w:rsidP="008A732C">
      <w:pPr>
        <w:pStyle w:val="Odsekzoznamu"/>
        <w:numPr>
          <w:ilvl w:val="0"/>
          <w:numId w:val="27"/>
        </w:numPr>
        <w:spacing w:before="0" w:after="0"/>
        <w:ind w:left="284" w:hanging="284"/>
      </w:pPr>
      <w:r w:rsidRPr="00373A7F">
        <w:t>Stretnutie národnej koordinačnej kancelárie (NKK) SR s NKK ČR, 6.</w:t>
      </w:r>
      <w:r w:rsidR="001800F1">
        <w:t xml:space="preserve"> </w:t>
      </w:r>
      <w:r w:rsidRPr="00373A7F">
        <w:t>-</w:t>
      </w:r>
      <w:r w:rsidR="001800F1">
        <w:t xml:space="preserve"> </w:t>
      </w:r>
      <w:r w:rsidRPr="00373A7F">
        <w:t>7.</w:t>
      </w:r>
      <w:r w:rsidR="001800F1">
        <w:t xml:space="preserve"> </w:t>
      </w:r>
      <w:r w:rsidRPr="00373A7F">
        <w:t>9.</w:t>
      </w:r>
      <w:r w:rsidR="001800F1">
        <w:t xml:space="preserve"> </w:t>
      </w:r>
      <w:r w:rsidRPr="00373A7F">
        <w:t xml:space="preserve">2023, </w:t>
      </w:r>
      <w:r w:rsidR="001800F1" w:rsidRPr="00373A7F">
        <w:t>Kroměříž</w:t>
      </w:r>
      <w:r w:rsidRPr="00373A7F">
        <w:t xml:space="preserve"> ČR</w:t>
      </w:r>
      <w:r w:rsidR="001800F1">
        <w:t>.</w:t>
      </w:r>
    </w:p>
    <w:p w14:paraId="5E043AAC" w14:textId="7F2EC484" w:rsidR="00373A7F" w:rsidRPr="00373A7F" w:rsidRDefault="00373A7F" w:rsidP="008A732C">
      <w:pPr>
        <w:pStyle w:val="Odsekzoznamu"/>
        <w:numPr>
          <w:ilvl w:val="0"/>
          <w:numId w:val="27"/>
        </w:numPr>
        <w:spacing w:before="0" w:after="0"/>
        <w:ind w:left="284" w:hanging="284"/>
      </w:pPr>
      <w:r w:rsidRPr="00373A7F">
        <w:t>Stretnutie národnej koordinačnej kancelárie (NKK) SR s NKK ČR, 28.</w:t>
      </w:r>
      <w:r w:rsidR="001800F1">
        <w:t xml:space="preserve"> </w:t>
      </w:r>
      <w:r w:rsidRPr="00373A7F">
        <w:t>-</w:t>
      </w:r>
      <w:r w:rsidR="001800F1">
        <w:t xml:space="preserve"> </w:t>
      </w:r>
      <w:r w:rsidRPr="00373A7F">
        <w:t>29.</w:t>
      </w:r>
      <w:r w:rsidR="001800F1">
        <w:t xml:space="preserve"> </w:t>
      </w:r>
      <w:r w:rsidRPr="00373A7F">
        <w:t>11.</w:t>
      </w:r>
      <w:r w:rsidR="001800F1">
        <w:t xml:space="preserve"> </w:t>
      </w:r>
      <w:r w:rsidRPr="00373A7F">
        <w:t>2023, Olomouc, ČR</w:t>
      </w:r>
      <w:r w:rsidR="001800F1">
        <w:t>.</w:t>
      </w:r>
    </w:p>
    <w:p w14:paraId="634BD158" w14:textId="77777777" w:rsidR="00373A7F" w:rsidRPr="00373A7F" w:rsidRDefault="00373A7F" w:rsidP="00970F64">
      <w:pPr>
        <w:pStyle w:val="Odsekzoznamu"/>
        <w:numPr>
          <w:ilvl w:val="0"/>
          <w:numId w:val="27"/>
        </w:numPr>
        <w:ind w:left="284" w:hanging="284"/>
      </w:pPr>
      <w:r w:rsidRPr="00373A7F">
        <w:t>Pracovné stretnutie Národných koordinátorov EURES ČR a SR,</w:t>
      </w:r>
      <w:r w:rsidRPr="008A732C">
        <w:rPr>
          <w:bCs/>
        </w:rPr>
        <w:t xml:space="preserve"> 3.11.2023, online,</w:t>
      </w:r>
      <w:r w:rsidRPr="00373A7F">
        <w:t xml:space="preserve"> téma:</w:t>
      </w:r>
      <w:r w:rsidRPr="008A732C">
        <w:rPr>
          <w:bCs/>
        </w:rPr>
        <w:t xml:space="preserve"> </w:t>
      </w:r>
      <w:r w:rsidRPr="00373A7F">
        <w:t>migrácia štátnych príslušníkov tretích krajín</w:t>
      </w:r>
    </w:p>
    <w:p w14:paraId="6EAAF648" w14:textId="77777777" w:rsidR="00373A7F" w:rsidRPr="00373A7F" w:rsidRDefault="00373A7F" w:rsidP="00970F64">
      <w:pPr>
        <w:pStyle w:val="Odsekzoznamu"/>
        <w:numPr>
          <w:ilvl w:val="0"/>
          <w:numId w:val="27"/>
        </w:numPr>
        <w:ind w:left="284" w:hanging="284"/>
      </w:pPr>
      <w:r w:rsidRPr="00373A7F">
        <w:t>Online mítingy s EURES kolegami a zamestnávateľmi z krajín EÚ/EHP</w:t>
      </w:r>
    </w:p>
    <w:p w14:paraId="2FB715C7" w14:textId="77777777" w:rsidR="00373A7F" w:rsidRPr="00373A7F" w:rsidRDefault="00373A7F" w:rsidP="00970F64">
      <w:pPr>
        <w:pStyle w:val="Odsekzoznamu"/>
        <w:numPr>
          <w:ilvl w:val="0"/>
          <w:numId w:val="27"/>
        </w:numPr>
        <w:ind w:left="284" w:hanging="284"/>
      </w:pPr>
      <w:r w:rsidRPr="00373A7F">
        <w:t xml:space="preserve">Pokračovanie v pravidelných pracovných stretnutiach s kolegami a zamestnávateľmi z členských krajín, ktorých cieľom je spolupráca na rozbehnutých projektoch, výmene informácií a pod. Zástupcovia siete EURES Slovensko si na online/onsite stretnutiach počas roka 2023 vymenili skúsenosti v oblasti pracovnej mobility s kolegami so sietí EURES Nemecko, Rakúsko, Fínsko, Česko, Dánsko, Rakúsko, Holandsko, Taliansko. </w:t>
      </w:r>
    </w:p>
    <w:p w14:paraId="1DCB433E" w14:textId="77777777" w:rsidR="00373A7F" w:rsidRPr="00373A7F" w:rsidRDefault="00373A7F" w:rsidP="00970F64">
      <w:pPr>
        <w:pStyle w:val="Odsekzoznamu"/>
        <w:numPr>
          <w:ilvl w:val="0"/>
          <w:numId w:val="27"/>
        </w:numPr>
        <w:ind w:left="284" w:hanging="284"/>
      </w:pPr>
      <w:r w:rsidRPr="00373A7F">
        <w:t xml:space="preserve">Európska komisia organizuje pre partnerov a členov siete EURES vzdelávacie aktivity rôzneho zamerania. Účastníci si môžu vybrať zo širokej ponuky tém, ktorých cieľom je podpora osobnostného a profesionálneho rastu. Školenia zároveň vytvárajú priestor na socializáciu členov jednotlivých sietí a vytváranie medzinárodných spoluprác a projektov. </w:t>
      </w:r>
    </w:p>
    <w:p w14:paraId="19DF7419" w14:textId="1E31C0CA" w:rsidR="00373A7F" w:rsidRPr="00373A7F" w:rsidRDefault="00373A7F" w:rsidP="008A732C">
      <w:pPr>
        <w:pStyle w:val="Odsekzoznamu"/>
        <w:numPr>
          <w:ilvl w:val="0"/>
          <w:numId w:val="27"/>
        </w:numPr>
        <w:ind w:left="284" w:hanging="284"/>
      </w:pPr>
      <w:r w:rsidRPr="00373A7F">
        <w:t>Vzdelávanie EURES poradcov patrí k dôležitým atribútom ich práce. Realizuje sa predovšetkým na európskej úrovni formou Classroom Traning (CT), Virtual Training (VT) a webinárov v anglickom jazyku.</w:t>
      </w:r>
      <w:r w:rsidR="003D7AB1">
        <w:t xml:space="preserve"> </w:t>
      </w:r>
      <w:r w:rsidRPr="00373A7F">
        <w:t xml:space="preserve">Tréningy sú zamerané na využívanie portálov EÚ zameraných na mobilitu, koučovanie UoZ a im určené služby, stratégie a nástroje matchingu, analýzy pracovného trhu, financovanie európskej mobility, sociálne zabezpečenie a dane, práca s Extranetom na európskom portáli siete EURES, organizovanie EOJD (European Online Job Days), sociálne siete, komunikačné zručnosti atď. Vzdelávanie na európskej úrovni zabezpečuje EURES Academy. Po absolvovaní tréningov získavajú účastníci certifikát.  </w:t>
      </w:r>
    </w:p>
    <w:p w14:paraId="2C759D01" w14:textId="77777777" w:rsidR="00373A7F" w:rsidRPr="00373A7F" w:rsidRDefault="00373A7F" w:rsidP="008A732C">
      <w:pPr>
        <w:ind w:left="284" w:firstLine="0"/>
      </w:pPr>
      <w:r w:rsidRPr="00373A7F">
        <w:t xml:space="preserve">K vzdelávacím aktivitám patria aj webináre, ktoré sú zamerané na aktuálne témy. </w:t>
      </w:r>
    </w:p>
    <w:p w14:paraId="3714F280" w14:textId="77777777" w:rsidR="00373A7F" w:rsidRPr="00373A7F" w:rsidRDefault="00373A7F" w:rsidP="008A732C">
      <w:pPr>
        <w:ind w:left="284" w:firstLine="0"/>
      </w:pPr>
      <w:r w:rsidRPr="00373A7F">
        <w:t>V roku 2023 sa CT/VT/webinarov zúčastnilo 42 osôb.</w:t>
      </w:r>
    </w:p>
    <w:p w14:paraId="7998D5D4" w14:textId="5A16EF5B" w:rsidR="00373A7F" w:rsidRPr="00373A7F" w:rsidRDefault="00373A7F" w:rsidP="008A732C">
      <w:pPr>
        <w:pStyle w:val="Odsekzoznamu"/>
        <w:numPr>
          <w:ilvl w:val="0"/>
          <w:numId w:val="7"/>
        </w:numPr>
        <w:ind w:left="567" w:hanging="283"/>
      </w:pPr>
      <w:r w:rsidRPr="008A732C">
        <w:rPr>
          <w:bCs/>
        </w:rPr>
        <w:t>Veľtrh vzdelávania a kariéry „Find your Career in Europe“</w:t>
      </w:r>
      <w:r w:rsidR="008A732C" w:rsidRPr="008A732C">
        <w:rPr>
          <w:bCs/>
        </w:rPr>
        <w:t xml:space="preserve"> </w:t>
      </w:r>
      <w:r w:rsidRPr="00373A7F">
        <w:t>2.</w:t>
      </w:r>
      <w:r w:rsidR="008A732C">
        <w:t xml:space="preserve"> </w:t>
      </w:r>
      <w:r w:rsidRPr="00373A7F">
        <w:t xml:space="preserve"> – 6.</w:t>
      </w:r>
      <w:r w:rsidR="008A732C">
        <w:t xml:space="preserve"> </w:t>
      </w:r>
      <w:r w:rsidRPr="00373A7F">
        <w:t>3. 2023, Cyprus</w:t>
      </w:r>
    </w:p>
    <w:p w14:paraId="77501C2D" w14:textId="77777777" w:rsidR="00373A7F" w:rsidRPr="00373A7F" w:rsidRDefault="00373A7F" w:rsidP="008A732C">
      <w:pPr>
        <w:ind w:left="567" w:firstLine="0"/>
      </w:pPr>
      <w:r w:rsidRPr="00373A7F">
        <w:t>Účastníci: 12 krajín - Slovensko, Česká republika, Taliansko, Malta, Chorvátsko, Estónsko, Írsko, Švédsko, Fínsko, Dánsko, Španielsko a Cyprus</w:t>
      </w:r>
    </w:p>
    <w:p w14:paraId="5755D56B" w14:textId="77777777" w:rsidR="00373A7F" w:rsidRPr="00373A7F" w:rsidRDefault="00373A7F" w:rsidP="008A732C">
      <w:pPr>
        <w:ind w:left="567" w:firstLine="0"/>
      </w:pPr>
      <w:r w:rsidRPr="00373A7F">
        <w:t xml:space="preserve">Počet návštevníkov stánku EURES Slovensko: 73 </w:t>
      </w:r>
    </w:p>
    <w:p w14:paraId="64860910" w14:textId="1F63AFB1" w:rsidR="00373A7F" w:rsidRPr="00373A7F" w:rsidRDefault="00373A7F" w:rsidP="008A732C">
      <w:pPr>
        <w:pStyle w:val="Odsekzoznamu"/>
        <w:numPr>
          <w:ilvl w:val="0"/>
          <w:numId w:val="29"/>
        </w:numPr>
        <w:ind w:left="567" w:hanging="212"/>
      </w:pPr>
      <w:r w:rsidRPr="008A732C">
        <w:rPr>
          <w:bCs/>
        </w:rPr>
        <w:t>Veľtrh pracovných príležitostí Ikariera</w:t>
      </w:r>
      <w:r w:rsidR="008A732C" w:rsidRPr="008A732C">
        <w:rPr>
          <w:bCs/>
        </w:rPr>
        <w:t xml:space="preserve"> </w:t>
      </w:r>
      <w:r w:rsidRPr="00373A7F">
        <w:t>5.</w:t>
      </w:r>
      <w:r w:rsidR="008A732C">
        <w:t xml:space="preserve"> </w:t>
      </w:r>
      <w:r w:rsidRPr="00373A7F">
        <w:t>4.</w:t>
      </w:r>
      <w:r w:rsidR="008A732C">
        <w:t xml:space="preserve"> </w:t>
      </w:r>
      <w:r w:rsidRPr="00373A7F">
        <w:t>2023, Česko, Zlín</w:t>
      </w:r>
    </w:p>
    <w:p w14:paraId="051698F6" w14:textId="77777777" w:rsidR="00373A7F" w:rsidRPr="00373A7F" w:rsidRDefault="00373A7F" w:rsidP="008A732C">
      <w:pPr>
        <w:ind w:left="567" w:firstLine="0"/>
      </w:pPr>
      <w:r w:rsidRPr="00373A7F">
        <w:t>Cieľová skupina: študenti Univerzity Tomáša Baťu</w:t>
      </w:r>
    </w:p>
    <w:p w14:paraId="4EF6C94B" w14:textId="77777777" w:rsidR="00373A7F" w:rsidRPr="00373A7F" w:rsidRDefault="00373A7F" w:rsidP="008A732C">
      <w:pPr>
        <w:ind w:left="567" w:firstLine="0"/>
      </w:pPr>
      <w:r w:rsidRPr="00373A7F">
        <w:t>Počet vystavovateľov: 35</w:t>
      </w:r>
    </w:p>
    <w:p w14:paraId="6C95175D" w14:textId="77777777" w:rsidR="00373A7F" w:rsidRPr="00373A7F" w:rsidRDefault="00373A7F" w:rsidP="008A732C">
      <w:pPr>
        <w:ind w:left="567" w:firstLine="0"/>
      </w:pPr>
      <w:r w:rsidRPr="00373A7F">
        <w:t>Počet návštevníkov: 1000</w:t>
      </w:r>
    </w:p>
    <w:p w14:paraId="2EAE31D0" w14:textId="77777777" w:rsidR="00373A7F" w:rsidRPr="00373A7F" w:rsidRDefault="00373A7F" w:rsidP="008A732C">
      <w:pPr>
        <w:ind w:left="567" w:firstLine="0"/>
      </w:pPr>
      <w:r w:rsidRPr="00373A7F">
        <w:lastRenderedPageBreak/>
        <w:t>Počet návštevníkov stánku EURES: 70</w:t>
      </w:r>
    </w:p>
    <w:p w14:paraId="51651B20" w14:textId="31D8BD04" w:rsidR="00373A7F" w:rsidRPr="00373A7F" w:rsidRDefault="00373A7F" w:rsidP="003D7AB1">
      <w:pPr>
        <w:pStyle w:val="Odsekzoznamu"/>
        <w:numPr>
          <w:ilvl w:val="0"/>
          <w:numId w:val="29"/>
        </w:numPr>
        <w:ind w:left="567" w:hanging="283"/>
      </w:pPr>
      <w:r w:rsidRPr="008A732C">
        <w:rPr>
          <w:bCs/>
        </w:rPr>
        <w:t xml:space="preserve">Building Ireland-Jobs in construction and engineering </w:t>
      </w:r>
      <w:r w:rsidRPr="00373A7F">
        <w:t>11.</w:t>
      </w:r>
      <w:r w:rsidR="008A732C">
        <w:t xml:space="preserve"> </w:t>
      </w:r>
      <w:r w:rsidRPr="00373A7F">
        <w:t>5.</w:t>
      </w:r>
      <w:r w:rsidR="008A732C">
        <w:t xml:space="preserve"> </w:t>
      </w:r>
      <w:r w:rsidRPr="00373A7F">
        <w:t>2023, online podujatie na platforme European Job Days</w:t>
      </w:r>
    </w:p>
    <w:p w14:paraId="4322B636" w14:textId="5DDE7603" w:rsidR="00373A7F" w:rsidRPr="00373A7F" w:rsidRDefault="00373A7F" w:rsidP="008A732C">
      <w:pPr>
        <w:pStyle w:val="Odsekzoznamu"/>
        <w:numPr>
          <w:ilvl w:val="0"/>
          <w:numId w:val="29"/>
        </w:numPr>
        <w:spacing w:after="0"/>
        <w:ind w:left="568" w:hanging="284"/>
      </w:pPr>
      <w:r w:rsidRPr="008A732C">
        <w:rPr>
          <w:bCs/>
        </w:rPr>
        <w:t>EDUCA EXPO  Liberec 2023</w:t>
      </w:r>
      <w:r w:rsidR="008A732C">
        <w:rPr>
          <w:bCs/>
        </w:rPr>
        <w:t xml:space="preserve">, </w:t>
      </w:r>
      <w:r w:rsidR="008A732C" w:rsidRPr="00373A7F">
        <w:t>11. - 14.</w:t>
      </w:r>
      <w:r w:rsidR="008A732C">
        <w:t xml:space="preserve"> </w:t>
      </w:r>
      <w:r w:rsidR="008A732C" w:rsidRPr="00373A7F">
        <w:t>10.</w:t>
      </w:r>
      <w:r w:rsidR="008A732C">
        <w:t xml:space="preserve"> </w:t>
      </w:r>
      <w:r w:rsidR="008A732C" w:rsidRPr="00373A7F">
        <w:t>2023</w:t>
      </w:r>
      <w:r w:rsidR="008A732C">
        <w:t xml:space="preserve">, Liberec, </w:t>
      </w:r>
      <w:r w:rsidR="008A732C" w:rsidRPr="00373A7F">
        <w:t xml:space="preserve"> </w:t>
      </w:r>
      <w:r w:rsidR="008A732C">
        <w:rPr>
          <w:bCs/>
        </w:rPr>
        <w:t>ČR</w:t>
      </w:r>
      <w:r w:rsidR="008A732C" w:rsidRPr="008A732C">
        <w:rPr>
          <w:bCs/>
        </w:rPr>
        <w:t xml:space="preserve"> </w:t>
      </w:r>
    </w:p>
    <w:p w14:paraId="25B507D1" w14:textId="77777777" w:rsidR="00373A7F" w:rsidRPr="00373A7F" w:rsidRDefault="00373A7F" w:rsidP="008A732C">
      <w:pPr>
        <w:ind w:firstLine="567"/>
      </w:pPr>
      <w:r w:rsidRPr="00373A7F">
        <w:t>Počet vystavovateľov: 103</w:t>
      </w:r>
    </w:p>
    <w:p w14:paraId="2CF99A5E" w14:textId="3ED5BD47" w:rsidR="00373A7F" w:rsidRPr="00373A7F" w:rsidRDefault="00373A7F" w:rsidP="008A732C">
      <w:pPr>
        <w:ind w:firstLine="567"/>
      </w:pPr>
      <w:r w:rsidRPr="00373A7F">
        <w:t xml:space="preserve">Počet návštevníkov: </w:t>
      </w:r>
      <w:r w:rsidR="00481360">
        <w:t xml:space="preserve">cca </w:t>
      </w:r>
      <w:r w:rsidRPr="00373A7F">
        <w:t>20 000</w:t>
      </w:r>
    </w:p>
    <w:p w14:paraId="7EA3DFE3" w14:textId="77777777" w:rsidR="00373A7F" w:rsidRPr="00373A7F" w:rsidRDefault="00373A7F" w:rsidP="008A732C">
      <w:pPr>
        <w:ind w:firstLine="567"/>
      </w:pPr>
      <w:r w:rsidRPr="00373A7F">
        <w:t>Počet návštevníkov stánku EURES: 140</w:t>
      </w:r>
    </w:p>
    <w:p w14:paraId="3F6830BB" w14:textId="1F9A2D55" w:rsidR="00373A7F" w:rsidRPr="00373A7F" w:rsidRDefault="00373A7F" w:rsidP="008A732C">
      <w:pPr>
        <w:pStyle w:val="Odsekzoznamu"/>
        <w:numPr>
          <w:ilvl w:val="0"/>
          <w:numId w:val="30"/>
        </w:numPr>
        <w:spacing w:after="0"/>
        <w:ind w:left="567" w:hanging="210"/>
      </w:pPr>
      <w:r w:rsidRPr="008A732C">
        <w:rPr>
          <w:bCs/>
        </w:rPr>
        <w:t>Medzinárodný veľtrh práce</w:t>
      </w:r>
      <w:r w:rsidR="008A732C" w:rsidRPr="008A732C">
        <w:rPr>
          <w:bCs/>
        </w:rPr>
        <w:t xml:space="preserve"> </w:t>
      </w:r>
      <w:r w:rsidRPr="00373A7F">
        <w:t>7. – 9.</w:t>
      </w:r>
      <w:r w:rsidR="008A732C">
        <w:t xml:space="preserve"> </w:t>
      </w:r>
      <w:r w:rsidRPr="00373A7F">
        <w:t>11.</w:t>
      </w:r>
      <w:r w:rsidR="008A732C">
        <w:t xml:space="preserve"> </w:t>
      </w:r>
      <w:r w:rsidRPr="00373A7F">
        <w:t>2023, Toruň, Poľsko</w:t>
      </w:r>
    </w:p>
    <w:p w14:paraId="1B2247AF" w14:textId="77777777" w:rsidR="00373A7F" w:rsidRPr="00373A7F" w:rsidRDefault="00373A7F" w:rsidP="008A732C">
      <w:pPr>
        <w:ind w:firstLine="567"/>
      </w:pPr>
      <w:r w:rsidRPr="00373A7F">
        <w:t>Počet vystavovateľov: 35</w:t>
      </w:r>
    </w:p>
    <w:p w14:paraId="0D24BE92" w14:textId="71754998" w:rsidR="00373A7F" w:rsidRPr="00373A7F" w:rsidRDefault="00373A7F" w:rsidP="008A732C">
      <w:pPr>
        <w:ind w:firstLine="567"/>
      </w:pPr>
      <w:r w:rsidRPr="00373A7F">
        <w:t xml:space="preserve">Počet návštevníkov: </w:t>
      </w:r>
      <w:r w:rsidR="00481360">
        <w:t xml:space="preserve">cca </w:t>
      </w:r>
      <w:r w:rsidRPr="00373A7F">
        <w:t>1000</w:t>
      </w:r>
    </w:p>
    <w:p w14:paraId="55AFB124" w14:textId="77777777" w:rsidR="00373A7F" w:rsidRPr="00373A7F" w:rsidRDefault="00373A7F" w:rsidP="008A732C">
      <w:pPr>
        <w:ind w:firstLine="567"/>
      </w:pPr>
      <w:r w:rsidRPr="00373A7F">
        <w:t>Počet návštevníkov stánku EURES: 70</w:t>
      </w:r>
    </w:p>
    <w:p w14:paraId="35553D7F" w14:textId="515D1898" w:rsidR="00373A7F" w:rsidRPr="00373A7F" w:rsidRDefault="00373A7F" w:rsidP="008A732C">
      <w:pPr>
        <w:pStyle w:val="Odsekzoznamu"/>
        <w:numPr>
          <w:ilvl w:val="0"/>
          <w:numId w:val="30"/>
        </w:numPr>
        <w:spacing w:after="0"/>
        <w:ind w:left="567" w:hanging="210"/>
      </w:pPr>
      <w:r w:rsidRPr="008A732C">
        <w:rPr>
          <w:bCs/>
        </w:rPr>
        <w:t>Jobspin Jobfair</w:t>
      </w:r>
      <w:r w:rsidR="008A732C" w:rsidRPr="008A732C">
        <w:rPr>
          <w:bCs/>
        </w:rPr>
        <w:t xml:space="preserve"> </w:t>
      </w:r>
      <w:r w:rsidRPr="00373A7F">
        <w:t>24.</w:t>
      </w:r>
      <w:r w:rsidR="008A732C">
        <w:t xml:space="preserve"> </w:t>
      </w:r>
      <w:r w:rsidRPr="00373A7F">
        <w:t>11.</w:t>
      </w:r>
      <w:r w:rsidR="008A732C">
        <w:t xml:space="preserve"> 2023, </w:t>
      </w:r>
      <w:r w:rsidRPr="00373A7F">
        <w:t>Ostrava</w:t>
      </w:r>
      <w:r w:rsidR="008A732C">
        <w:t>, ČR</w:t>
      </w:r>
    </w:p>
    <w:p w14:paraId="2224FD6A" w14:textId="77777777" w:rsidR="00373A7F" w:rsidRPr="00373A7F" w:rsidRDefault="00373A7F" w:rsidP="008A732C">
      <w:pPr>
        <w:ind w:left="567" w:firstLine="0"/>
      </w:pPr>
      <w:r w:rsidRPr="00373A7F">
        <w:t>Počet vystavovateľov: 23</w:t>
      </w:r>
    </w:p>
    <w:p w14:paraId="001AA1E8" w14:textId="77777777" w:rsidR="00373A7F" w:rsidRPr="00373A7F" w:rsidRDefault="00373A7F" w:rsidP="008A732C">
      <w:pPr>
        <w:ind w:left="567" w:firstLine="0"/>
      </w:pPr>
      <w:r w:rsidRPr="00373A7F">
        <w:t>Počet návštevníkov: 460</w:t>
      </w:r>
    </w:p>
    <w:p w14:paraId="18C1DEF5" w14:textId="77777777" w:rsidR="00373A7F" w:rsidRPr="00373A7F" w:rsidRDefault="00373A7F" w:rsidP="008A732C">
      <w:pPr>
        <w:ind w:firstLine="567"/>
      </w:pPr>
      <w:r w:rsidRPr="00373A7F">
        <w:t>Počet návštevníkov stánku EURES: 50</w:t>
      </w:r>
    </w:p>
    <w:p w14:paraId="2C2DEB29" w14:textId="1350674F" w:rsidR="008A732C" w:rsidRDefault="00373A7F" w:rsidP="003D7AB1">
      <w:pPr>
        <w:pStyle w:val="Odsekzoznamu"/>
        <w:numPr>
          <w:ilvl w:val="0"/>
          <w:numId w:val="30"/>
        </w:numPr>
        <w:ind w:left="567" w:hanging="289"/>
      </w:pPr>
      <w:r w:rsidRPr="008A732C">
        <w:rPr>
          <w:bCs/>
        </w:rPr>
        <w:t>Veľtrh vzdelávania a zamestnania BeSt 2023</w:t>
      </w:r>
      <w:r w:rsidR="008A732C" w:rsidRPr="008A732C">
        <w:rPr>
          <w:bCs/>
        </w:rPr>
        <w:t xml:space="preserve">, </w:t>
      </w:r>
      <w:r w:rsidR="008A732C">
        <w:t>23.</w:t>
      </w:r>
      <w:r w:rsidRPr="00373A7F">
        <w:t xml:space="preserve"> – 26.</w:t>
      </w:r>
      <w:r w:rsidR="008A732C">
        <w:t xml:space="preserve"> </w:t>
      </w:r>
      <w:r w:rsidRPr="00373A7F">
        <w:t>11.</w:t>
      </w:r>
      <w:r w:rsidR="008A732C">
        <w:t xml:space="preserve"> </w:t>
      </w:r>
      <w:r w:rsidRPr="00373A7F">
        <w:t>2023, Salzburg</w:t>
      </w:r>
      <w:r w:rsidR="008A732C">
        <w:t xml:space="preserve">, </w:t>
      </w:r>
      <w:r w:rsidR="008A732C" w:rsidRPr="00373A7F">
        <w:t>Rakúsko</w:t>
      </w:r>
    </w:p>
    <w:p w14:paraId="6F7C979A" w14:textId="304D9A87" w:rsidR="00373A7F" w:rsidRPr="00373A7F" w:rsidRDefault="00373A7F" w:rsidP="00481360">
      <w:pPr>
        <w:ind w:left="567" w:firstLine="0"/>
      </w:pPr>
      <w:r w:rsidRPr="00373A7F">
        <w:t>Cieľová skupina: mladí ľudia</w:t>
      </w:r>
    </w:p>
    <w:p w14:paraId="19D0E735" w14:textId="77777777" w:rsidR="00373A7F" w:rsidRPr="00373A7F" w:rsidRDefault="00373A7F" w:rsidP="00481360">
      <w:pPr>
        <w:ind w:left="567" w:firstLine="0"/>
      </w:pPr>
      <w:r w:rsidRPr="00373A7F">
        <w:t>Počet vystavovateľov: 93 (vrátane siete EURES zo Slovenska, Holandska, Severného Nemecka, Nórska a Luxemburgu)</w:t>
      </w:r>
    </w:p>
    <w:p w14:paraId="7E42A442" w14:textId="4722F4CA" w:rsidR="00373A7F" w:rsidRPr="00373A7F" w:rsidRDefault="00373A7F" w:rsidP="00481360">
      <w:pPr>
        <w:ind w:left="567" w:firstLine="0"/>
      </w:pPr>
      <w:r w:rsidRPr="00373A7F">
        <w:t xml:space="preserve">Počet návštevníkov: </w:t>
      </w:r>
      <w:r w:rsidR="00481360">
        <w:t xml:space="preserve">cca </w:t>
      </w:r>
      <w:r w:rsidRPr="00373A7F">
        <w:t>30 000</w:t>
      </w:r>
    </w:p>
    <w:p w14:paraId="5DA4672B" w14:textId="77777777" w:rsidR="00373A7F" w:rsidRPr="008A732C" w:rsidRDefault="00373A7F" w:rsidP="008A732C">
      <w:pPr>
        <w:spacing w:before="120" w:after="0"/>
        <w:ind w:hanging="6"/>
        <w:rPr>
          <w:b/>
        </w:rPr>
      </w:pPr>
      <w:r w:rsidRPr="008A732C">
        <w:rPr>
          <w:b/>
        </w:rPr>
        <w:t xml:space="preserve">1.13 – Realizácia a účasť na burzách práce a informačných podujatiach na Slovensku </w:t>
      </w:r>
    </w:p>
    <w:p w14:paraId="1092F9D0" w14:textId="1ED3A9A7" w:rsidR="00373A7F" w:rsidRPr="00481360" w:rsidRDefault="00373A7F" w:rsidP="00481360">
      <w:pPr>
        <w:pStyle w:val="Odsekzoznamu"/>
        <w:numPr>
          <w:ilvl w:val="0"/>
          <w:numId w:val="31"/>
        </w:numPr>
        <w:ind w:left="284" w:hanging="284"/>
        <w:rPr>
          <w:bCs/>
        </w:rPr>
      </w:pPr>
      <w:r w:rsidRPr="00481360">
        <w:rPr>
          <w:bCs/>
        </w:rPr>
        <w:t>MAĎARSKÝ DEŇ</w:t>
      </w:r>
      <w:r w:rsidR="00481360" w:rsidRPr="00481360">
        <w:rPr>
          <w:bCs/>
        </w:rPr>
        <w:t xml:space="preserve"> </w:t>
      </w:r>
      <w:r w:rsidRPr="00481360">
        <w:rPr>
          <w:bCs/>
        </w:rPr>
        <w:t>9.</w:t>
      </w:r>
      <w:r w:rsidR="00481360">
        <w:rPr>
          <w:bCs/>
        </w:rPr>
        <w:t xml:space="preserve"> </w:t>
      </w:r>
      <w:r w:rsidRPr="00481360">
        <w:rPr>
          <w:bCs/>
        </w:rPr>
        <w:t>3.</w:t>
      </w:r>
      <w:r w:rsidR="00481360">
        <w:rPr>
          <w:bCs/>
        </w:rPr>
        <w:t xml:space="preserve"> </w:t>
      </w:r>
      <w:r w:rsidRPr="00481360">
        <w:rPr>
          <w:bCs/>
        </w:rPr>
        <w:t>2023 Komárno, Konferenčné centrum Univerzity J. Selyeho</w:t>
      </w:r>
    </w:p>
    <w:p w14:paraId="71866678" w14:textId="77777777" w:rsidR="00373A7F" w:rsidRPr="00373A7F" w:rsidRDefault="00373A7F" w:rsidP="00481360">
      <w:pPr>
        <w:ind w:left="284" w:firstLine="0"/>
        <w:rPr>
          <w:bCs/>
        </w:rPr>
      </w:pPr>
      <w:r w:rsidRPr="00373A7F">
        <w:rPr>
          <w:bCs/>
        </w:rPr>
        <w:t>Cieľom 7. ročníka medzinárodnej burzy práce bolo predstaviť životné a pracovné podmienky v prihraničnom regióne, spojiť zamestnávateľov so záujemcami o prácu v Maďarsku a študentom stredných a vysokých škôl poskytnúť príležitosti odbornej praxe a stáží.</w:t>
      </w:r>
    </w:p>
    <w:p w14:paraId="4C15F57D" w14:textId="77777777" w:rsidR="00373A7F" w:rsidRPr="00373A7F" w:rsidRDefault="00373A7F" w:rsidP="00481360">
      <w:pPr>
        <w:ind w:left="284" w:firstLine="0"/>
        <w:rPr>
          <w:bCs/>
        </w:rPr>
      </w:pPr>
      <w:r w:rsidRPr="00373A7F">
        <w:rPr>
          <w:bCs/>
        </w:rPr>
        <w:t>Medzinárodná burza práce v číslach:</w:t>
      </w:r>
    </w:p>
    <w:p w14:paraId="0177ABD5" w14:textId="77777777" w:rsidR="00373A7F" w:rsidRPr="00373A7F" w:rsidRDefault="00373A7F" w:rsidP="00481360">
      <w:pPr>
        <w:ind w:left="284" w:firstLine="0"/>
        <w:rPr>
          <w:bCs/>
        </w:rPr>
      </w:pPr>
      <w:r w:rsidRPr="00373A7F">
        <w:rPr>
          <w:bCs/>
        </w:rPr>
        <w:t>11 zamestnávateľov z Maďarska, EURES Slovensko, EURES Maďarsko, úrad Komárno</w:t>
      </w:r>
    </w:p>
    <w:p w14:paraId="6707C1AD" w14:textId="0BE1D516" w:rsidR="00373A7F" w:rsidRPr="00373A7F" w:rsidRDefault="00373A7F" w:rsidP="00481360">
      <w:pPr>
        <w:ind w:left="284" w:firstLine="0"/>
        <w:rPr>
          <w:bCs/>
        </w:rPr>
      </w:pPr>
      <w:r w:rsidRPr="00373A7F">
        <w:rPr>
          <w:bCs/>
        </w:rPr>
        <w:t>32 pracovných pozícií, 400 voľných pracovných miest</w:t>
      </w:r>
      <w:r w:rsidR="00481360">
        <w:rPr>
          <w:bCs/>
        </w:rPr>
        <w:t>,</w:t>
      </w:r>
    </w:p>
    <w:p w14:paraId="2F9DE5A3" w14:textId="4C4319B5" w:rsidR="00373A7F" w:rsidRPr="00373A7F" w:rsidRDefault="00373A7F" w:rsidP="00481360">
      <w:pPr>
        <w:ind w:left="284" w:firstLine="0"/>
        <w:rPr>
          <w:bCs/>
        </w:rPr>
      </w:pPr>
      <w:r w:rsidRPr="00373A7F">
        <w:rPr>
          <w:bCs/>
        </w:rPr>
        <w:t>612 návštevníkov (z toho 102 študentov)</w:t>
      </w:r>
      <w:r w:rsidR="00481360">
        <w:rPr>
          <w:bCs/>
        </w:rPr>
        <w:t>,</w:t>
      </w:r>
    </w:p>
    <w:p w14:paraId="577F70B6" w14:textId="18E44276" w:rsidR="00373A7F" w:rsidRPr="00373A7F" w:rsidRDefault="00373A7F" w:rsidP="00481360">
      <w:pPr>
        <w:ind w:left="284" w:firstLine="0"/>
        <w:rPr>
          <w:bCs/>
        </w:rPr>
      </w:pPr>
      <w:r w:rsidRPr="00373A7F">
        <w:rPr>
          <w:bCs/>
        </w:rPr>
        <w:t>85 vhodných uchádzačov</w:t>
      </w:r>
      <w:r w:rsidR="00481360">
        <w:rPr>
          <w:bCs/>
        </w:rPr>
        <w:t>,</w:t>
      </w:r>
    </w:p>
    <w:p w14:paraId="4F13CF6E" w14:textId="6B357921" w:rsidR="00373A7F" w:rsidRPr="00373A7F" w:rsidRDefault="00373A7F" w:rsidP="00481360">
      <w:pPr>
        <w:ind w:left="284" w:firstLine="0"/>
        <w:rPr>
          <w:bCs/>
        </w:rPr>
      </w:pPr>
      <w:r w:rsidRPr="00373A7F">
        <w:rPr>
          <w:bCs/>
        </w:rPr>
        <w:t>31 prísľubov zamestnania</w:t>
      </w:r>
      <w:r w:rsidR="00481360">
        <w:rPr>
          <w:bCs/>
        </w:rPr>
        <w:t>.</w:t>
      </w:r>
    </w:p>
    <w:p w14:paraId="46099C95" w14:textId="77777777" w:rsidR="00373A7F" w:rsidRPr="00373A7F" w:rsidRDefault="00373A7F" w:rsidP="00481360">
      <w:pPr>
        <w:ind w:left="284" w:firstLine="0"/>
        <w:rPr>
          <w:bCs/>
        </w:rPr>
      </w:pPr>
      <w:r w:rsidRPr="00373A7F">
        <w:rPr>
          <w:bCs/>
        </w:rPr>
        <w:t>Pozície: výroba (operátor, strojník, balič, vodič VZV), administratíva, upratovanie, odborná prax a stáže.</w:t>
      </w:r>
    </w:p>
    <w:p w14:paraId="27E081F8" w14:textId="13AE6971" w:rsidR="00373A7F" w:rsidRPr="00481360" w:rsidRDefault="00373A7F" w:rsidP="00481360">
      <w:pPr>
        <w:pStyle w:val="Odsekzoznamu"/>
        <w:numPr>
          <w:ilvl w:val="0"/>
          <w:numId w:val="31"/>
        </w:numPr>
        <w:ind w:left="284" w:hanging="284"/>
        <w:rPr>
          <w:bCs/>
        </w:rPr>
      </w:pPr>
      <w:r w:rsidRPr="00481360">
        <w:rPr>
          <w:bCs/>
        </w:rPr>
        <w:t>EURES JOB DAY</w:t>
      </w:r>
      <w:r w:rsidR="00481360">
        <w:rPr>
          <w:bCs/>
        </w:rPr>
        <w:t xml:space="preserve"> </w:t>
      </w:r>
      <w:r w:rsidRPr="00481360">
        <w:rPr>
          <w:bCs/>
        </w:rPr>
        <w:t>20.</w:t>
      </w:r>
      <w:r w:rsidR="00481360" w:rsidRPr="00481360">
        <w:rPr>
          <w:bCs/>
        </w:rPr>
        <w:t xml:space="preserve"> </w:t>
      </w:r>
      <w:r w:rsidRPr="00481360">
        <w:rPr>
          <w:bCs/>
        </w:rPr>
        <w:t>4.</w:t>
      </w:r>
      <w:r w:rsidR="00481360" w:rsidRPr="00481360">
        <w:rPr>
          <w:bCs/>
        </w:rPr>
        <w:t xml:space="preserve"> </w:t>
      </w:r>
      <w:r w:rsidRPr="00481360">
        <w:rPr>
          <w:bCs/>
        </w:rPr>
        <w:t>2023 Prešov, M aréna</w:t>
      </w:r>
    </w:p>
    <w:p w14:paraId="6AE6C535" w14:textId="77777777" w:rsidR="00373A7F" w:rsidRPr="00373A7F" w:rsidRDefault="00373A7F" w:rsidP="00481360">
      <w:pPr>
        <w:ind w:left="284" w:firstLine="0"/>
        <w:rPr>
          <w:bCs/>
        </w:rPr>
      </w:pPr>
      <w:r w:rsidRPr="00373A7F">
        <w:rPr>
          <w:bCs/>
        </w:rPr>
        <w:t xml:space="preserve">Prvý ročník medzinárodnej burzy práce zorganizovala sieť EURES Slovensko v spolupráci s Ústredím práce, sociálnych vecí a rodiny. Hlavným cieľom podujatia bolo vytvorenie priestoru pre osobné stretnutia zahraničných a slovenských zamestnávateľov s uchádzačmi o prácu v krajinách Európskej únie a na Slovensku. </w:t>
      </w:r>
    </w:p>
    <w:p w14:paraId="32287259" w14:textId="77777777" w:rsidR="00373A7F" w:rsidRPr="00373A7F" w:rsidRDefault="00373A7F" w:rsidP="00481360">
      <w:pPr>
        <w:ind w:left="284" w:firstLine="0"/>
        <w:rPr>
          <w:bCs/>
        </w:rPr>
      </w:pPr>
      <w:r w:rsidRPr="00373A7F">
        <w:rPr>
          <w:bCs/>
        </w:rPr>
        <w:t>Medzinárodná burza práce v číslach:</w:t>
      </w:r>
    </w:p>
    <w:p w14:paraId="54B78FFB" w14:textId="7B4D2CF7" w:rsidR="00373A7F" w:rsidRPr="00373A7F" w:rsidRDefault="00373A7F" w:rsidP="00481360">
      <w:pPr>
        <w:ind w:left="284" w:firstLine="0"/>
        <w:rPr>
          <w:bCs/>
        </w:rPr>
      </w:pPr>
      <w:r w:rsidRPr="00373A7F">
        <w:rPr>
          <w:bCs/>
        </w:rPr>
        <w:t>50 zamestnávateľov (27 zahraničných, 23 slovenských), 1 619 voľných/ponúkaných pracovných miest prevažne v oblasti gastronómie, hotelierstva, priemyslu, logistiky, IT a sezónnych prác (Grécko, Holandsko, Fínsko, Nemecko, Španielsko), 3 224 návštevníkov, 463 prísľubov do zamestnania</w:t>
      </w:r>
      <w:r w:rsidR="00481360">
        <w:rPr>
          <w:bCs/>
        </w:rPr>
        <w:t>.</w:t>
      </w:r>
    </w:p>
    <w:p w14:paraId="211B6D3F" w14:textId="2CDF5631" w:rsidR="00373A7F" w:rsidRPr="00373A7F" w:rsidRDefault="00373A7F" w:rsidP="00481360">
      <w:pPr>
        <w:ind w:left="284" w:firstLine="0"/>
        <w:rPr>
          <w:bCs/>
        </w:rPr>
      </w:pPr>
      <w:r w:rsidRPr="00373A7F">
        <w:rPr>
          <w:bCs/>
        </w:rPr>
        <w:t>20 prezentácií v rámci sprievodného programu so zameraním na európsky trh práce a  európsku pracovnú mobilitu</w:t>
      </w:r>
      <w:r w:rsidR="00481360">
        <w:rPr>
          <w:bCs/>
        </w:rPr>
        <w:t>.</w:t>
      </w:r>
    </w:p>
    <w:p w14:paraId="343AD44B" w14:textId="77777777" w:rsidR="00373A7F" w:rsidRPr="00373A7F" w:rsidRDefault="00373A7F" w:rsidP="00481360">
      <w:pPr>
        <w:ind w:left="284" w:firstLine="0"/>
        <w:rPr>
          <w:bCs/>
        </w:rPr>
      </w:pPr>
      <w:r w:rsidRPr="00373A7F">
        <w:rPr>
          <w:bCs/>
        </w:rPr>
        <w:lastRenderedPageBreak/>
        <w:t>Propagácia podujatia: masívna mediálna kampaň (rozhlas, pracovné portály), reklamné billboardy, plagáty v MHD, webová stránka EURES, úrady, sociálne siete, bulletin.</w:t>
      </w:r>
    </w:p>
    <w:p w14:paraId="4FEF02E2" w14:textId="77777777" w:rsidR="00373A7F" w:rsidRPr="00373A7F" w:rsidRDefault="00373A7F" w:rsidP="00481360">
      <w:pPr>
        <w:ind w:left="284" w:firstLine="0"/>
        <w:rPr>
          <w:bCs/>
        </w:rPr>
      </w:pPr>
      <w:r w:rsidRPr="00373A7F">
        <w:rPr>
          <w:bCs/>
        </w:rPr>
        <w:t>Podporná aktivita: autobusová doprava pre 681 UoZ z úradov z Košického samosprávneho kraja (KSK) a Prešovského samosprávneho kraja (PSK).</w:t>
      </w:r>
    </w:p>
    <w:p w14:paraId="1F4E7670" w14:textId="77777777" w:rsidR="00373A7F" w:rsidRPr="00481360" w:rsidRDefault="00373A7F" w:rsidP="00481360">
      <w:pPr>
        <w:pStyle w:val="Odsekzoznamu"/>
        <w:numPr>
          <w:ilvl w:val="0"/>
          <w:numId w:val="31"/>
        </w:numPr>
        <w:ind w:left="284" w:hanging="284"/>
        <w:rPr>
          <w:bCs/>
        </w:rPr>
      </w:pPr>
      <w:r w:rsidRPr="00481360">
        <w:rPr>
          <w:bCs/>
        </w:rPr>
        <w:t xml:space="preserve">Kariéra EXPO </w:t>
      </w:r>
    </w:p>
    <w:p w14:paraId="20227477" w14:textId="77777777" w:rsidR="00373A7F" w:rsidRPr="00373A7F" w:rsidRDefault="00373A7F" w:rsidP="00481360">
      <w:pPr>
        <w:ind w:left="284" w:firstLine="0"/>
      </w:pPr>
      <w:r w:rsidRPr="00373A7F">
        <w:t xml:space="preserve">Sieť EURES Slovensko participovala ako špeciálny partner na druhom ročníku veľtrhu pracovných príležitostí Kariéra EXPO vďaka podpore z Európskeho sociálneho fondu v rámci Operačného programu Ľudské zdroje Národného projektu ,,Spoločne hľadáme prácu II.“ </w:t>
      </w:r>
    </w:p>
    <w:p w14:paraId="64DAC189" w14:textId="77777777" w:rsidR="00373A7F" w:rsidRPr="00373A7F" w:rsidRDefault="00373A7F" w:rsidP="00481360">
      <w:pPr>
        <w:ind w:left="284" w:firstLine="0"/>
      </w:pPr>
      <w:r w:rsidRPr="00373A7F">
        <w:t xml:space="preserve">Zástupcovia siete EURES Slovensko poskytovali asistenciu a poradenstvo návštevníkom, ktorí prišli na veľtrh práce so záujmom hľadania práce v zahraničí. V stánku siete EURES bolo poskytované poradenstvo o pracovných príležitostiach v krajinách EÚ/EHP a vo Švajčiarsku,  životných a pracovných podmienkach a aktivitách organizovaných sieťou EURES.  </w:t>
      </w:r>
    </w:p>
    <w:p w14:paraId="373F8979" w14:textId="77777777" w:rsidR="00373A7F" w:rsidRPr="00373A7F" w:rsidRDefault="00373A7F" w:rsidP="00481360">
      <w:pPr>
        <w:ind w:left="284" w:firstLine="0"/>
      </w:pPr>
      <w:r w:rsidRPr="00373A7F">
        <w:t xml:space="preserve">Nitra - 29.3.2023 </w:t>
      </w:r>
    </w:p>
    <w:p w14:paraId="1B89C598" w14:textId="77777777" w:rsidR="00373A7F" w:rsidRPr="00373A7F" w:rsidRDefault="00373A7F" w:rsidP="00481360">
      <w:pPr>
        <w:ind w:left="284" w:firstLine="0"/>
      </w:pPr>
      <w:r w:rsidRPr="00373A7F">
        <w:t>Počet vystavovateľov: 50+</w:t>
      </w:r>
    </w:p>
    <w:p w14:paraId="0F6E1B82" w14:textId="77777777" w:rsidR="00373A7F" w:rsidRPr="00373A7F" w:rsidRDefault="00373A7F" w:rsidP="00481360">
      <w:pPr>
        <w:ind w:left="284" w:firstLine="0"/>
      </w:pPr>
      <w:r w:rsidRPr="00373A7F">
        <w:t>Počet návštevníkov: 3000+</w:t>
      </w:r>
    </w:p>
    <w:p w14:paraId="0E22020D" w14:textId="77777777" w:rsidR="00373A7F" w:rsidRPr="00373A7F" w:rsidRDefault="00373A7F" w:rsidP="00481360">
      <w:pPr>
        <w:ind w:left="284" w:firstLine="0"/>
      </w:pPr>
      <w:r w:rsidRPr="00373A7F">
        <w:t xml:space="preserve">Počet návštevníkov stánku EURES: 350 </w:t>
      </w:r>
    </w:p>
    <w:p w14:paraId="49B56C90" w14:textId="77777777" w:rsidR="00373A7F" w:rsidRPr="00373A7F" w:rsidRDefault="00373A7F" w:rsidP="00481360">
      <w:pPr>
        <w:ind w:left="284" w:firstLine="0"/>
      </w:pPr>
      <w:r w:rsidRPr="00373A7F">
        <w:t xml:space="preserve">Košice - 8.6.2023 </w:t>
      </w:r>
    </w:p>
    <w:p w14:paraId="5012A0DC" w14:textId="77777777" w:rsidR="00373A7F" w:rsidRPr="00373A7F" w:rsidRDefault="00373A7F" w:rsidP="00481360">
      <w:pPr>
        <w:ind w:left="284" w:firstLine="0"/>
      </w:pPr>
      <w:r w:rsidRPr="00373A7F">
        <w:t>Počet vystavovateľov: 50+</w:t>
      </w:r>
    </w:p>
    <w:p w14:paraId="75B1FBE0" w14:textId="77777777" w:rsidR="00373A7F" w:rsidRPr="00373A7F" w:rsidRDefault="00373A7F" w:rsidP="00481360">
      <w:pPr>
        <w:ind w:left="284" w:firstLine="0"/>
      </w:pPr>
      <w:r w:rsidRPr="00373A7F">
        <w:t>Počet návštevníkov: 3000+</w:t>
      </w:r>
    </w:p>
    <w:p w14:paraId="4818A60D" w14:textId="77777777" w:rsidR="00373A7F" w:rsidRPr="00373A7F" w:rsidRDefault="00373A7F" w:rsidP="00481360">
      <w:pPr>
        <w:ind w:left="284" w:firstLine="0"/>
      </w:pPr>
      <w:r w:rsidRPr="00373A7F">
        <w:t xml:space="preserve">Počet návštevníkov stánku EURES: 450 </w:t>
      </w:r>
    </w:p>
    <w:p w14:paraId="74A72D4A" w14:textId="77777777" w:rsidR="00373A7F" w:rsidRPr="00373A7F" w:rsidRDefault="00373A7F" w:rsidP="00481360">
      <w:pPr>
        <w:ind w:left="284" w:firstLine="0"/>
      </w:pPr>
      <w:r w:rsidRPr="00373A7F">
        <w:t xml:space="preserve">Bratislava - 11.10.2023 </w:t>
      </w:r>
    </w:p>
    <w:p w14:paraId="4C8177A7" w14:textId="77777777" w:rsidR="00373A7F" w:rsidRPr="00373A7F" w:rsidRDefault="00373A7F" w:rsidP="00481360">
      <w:pPr>
        <w:ind w:left="284" w:firstLine="0"/>
      </w:pPr>
      <w:r w:rsidRPr="00373A7F">
        <w:t>Počet vystavovateľov: 60+</w:t>
      </w:r>
    </w:p>
    <w:p w14:paraId="1DD8209B" w14:textId="77777777" w:rsidR="00373A7F" w:rsidRPr="00373A7F" w:rsidRDefault="00373A7F" w:rsidP="00481360">
      <w:pPr>
        <w:ind w:left="284" w:firstLine="0"/>
      </w:pPr>
      <w:r w:rsidRPr="00373A7F">
        <w:t>Počet návštevníkov: 6 300</w:t>
      </w:r>
    </w:p>
    <w:p w14:paraId="0767931C" w14:textId="77777777" w:rsidR="00373A7F" w:rsidRPr="00373A7F" w:rsidRDefault="00373A7F" w:rsidP="00481360">
      <w:pPr>
        <w:ind w:left="284" w:firstLine="0"/>
      </w:pPr>
      <w:r w:rsidRPr="00373A7F">
        <w:t xml:space="preserve">Počet návštevníkov stánku EURES: 650 </w:t>
      </w:r>
    </w:p>
    <w:p w14:paraId="2B834083" w14:textId="77777777" w:rsidR="00373A7F" w:rsidRPr="00373A7F" w:rsidRDefault="00373A7F" w:rsidP="00481360">
      <w:pPr>
        <w:ind w:left="284" w:firstLine="0"/>
      </w:pPr>
      <w:r w:rsidRPr="00373A7F">
        <w:t>Spolu: 1450 klientov</w:t>
      </w:r>
    </w:p>
    <w:p w14:paraId="654EA2ED" w14:textId="77777777" w:rsidR="00373A7F" w:rsidRPr="00481360" w:rsidRDefault="00373A7F" w:rsidP="00481360">
      <w:pPr>
        <w:pStyle w:val="Odsekzoznamu"/>
        <w:numPr>
          <w:ilvl w:val="0"/>
          <w:numId w:val="31"/>
        </w:numPr>
        <w:ind w:left="284" w:hanging="284"/>
        <w:rPr>
          <w:bCs/>
        </w:rPr>
      </w:pPr>
      <w:r w:rsidRPr="00481360">
        <w:rPr>
          <w:bCs/>
        </w:rPr>
        <w:t xml:space="preserve">Profesia days </w:t>
      </w:r>
    </w:p>
    <w:p w14:paraId="14CD46ED" w14:textId="77777777" w:rsidR="00373A7F" w:rsidRPr="00373A7F" w:rsidRDefault="00373A7F" w:rsidP="00481360">
      <w:pPr>
        <w:ind w:left="284" w:firstLine="0"/>
      </w:pPr>
      <w:r w:rsidRPr="00373A7F">
        <w:t>13. ročník najväčšieho festivalu pracovných príležitostí na Slovensku organizovaného spoločnosťou Profesia bol postavený na otvorenej komunikácii medzi návštevníkmi, zamestnávateľmi a odborníkmi z rôznych sfér. EURES poradcovia poskytovali návštevníkom informácie o pracovných príležitostiach v Európe, životných a pracovných podmienkach v krajinách EÚ/EHP a finančnom projekte TMS. Účasť siete EURES na takýchto podujatiach je mimoriadne dôležitá kvôli šíreniu povedomia o službách, ktoré poskytuje.</w:t>
      </w:r>
    </w:p>
    <w:p w14:paraId="2226A9FF" w14:textId="390E3CA9" w:rsidR="00373A7F" w:rsidRPr="00373A7F" w:rsidRDefault="00373A7F" w:rsidP="00481360">
      <w:pPr>
        <w:pStyle w:val="Odsekzoznamu"/>
        <w:numPr>
          <w:ilvl w:val="0"/>
          <w:numId w:val="30"/>
        </w:numPr>
      </w:pPr>
      <w:r w:rsidRPr="00373A7F">
        <w:t>16.</w:t>
      </w:r>
      <w:r w:rsidR="00481360">
        <w:t xml:space="preserve"> </w:t>
      </w:r>
      <w:r w:rsidRPr="00373A7F">
        <w:t>-</w:t>
      </w:r>
      <w:r w:rsidR="00481360">
        <w:t xml:space="preserve"> </w:t>
      </w:r>
      <w:r w:rsidRPr="00373A7F">
        <w:t>17.</w:t>
      </w:r>
      <w:r w:rsidR="00481360">
        <w:t xml:space="preserve"> </w:t>
      </w:r>
      <w:r w:rsidRPr="00373A7F">
        <w:t>5.</w:t>
      </w:r>
      <w:r w:rsidR="00481360">
        <w:t xml:space="preserve"> </w:t>
      </w:r>
      <w:r w:rsidRPr="00373A7F">
        <w:t>2023 – Bratislava</w:t>
      </w:r>
    </w:p>
    <w:p w14:paraId="40546272" w14:textId="77777777" w:rsidR="00373A7F" w:rsidRPr="00373A7F" w:rsidRDefault="00373A7F" w:rsidP="00481360">
      <w:pPr>
        <w:ind w:left="284" w:firstLine="425"/>
      </w:pPr>
      <w:r w:rsidRPr="00373A7F">
        <w:t>Počet vystavovateľov: 90</w:t>
      </w:r>
    </w:p>
    <w:p w14:paraId="00517BD8" w14:textId="77777777" w:rsidR="00373A7F" w:rsidRPr="00373A7F" w:rsidRDefault="00373A7F" w:rsidP="00481360">
      <w:pPr>
        <w:ind w:left="284" w:firstLine="425"/>
      </w:pPr>
      <w:r w:rsidRPr="00373A7F">
        <w:t>Počet návštevníkov: 5 211</w:t>
      </w:r>
    </w:p>
    <w:p w14:paraId="5108CB6F" w14:textId="77777777" w:rsidR="00373A7F" w:rsidRPr="00373A7F" w:rsidRDefault="00373A7F" w:rsidP="00481360">
      <w:pPr>
        <w:ind w:left="284" w:firstLine="425"/>
      </w:pPr>
      <w:r w:rsidRPr="00373A7F">
        <w:t xml:space="preserve">Počet návštevníkov stánku EURES: 850 </w:t>
      </w:r>
    </w:p>
    <w:p w14:paraId="5971437B" w14:textId="4FDBC84E" w:rsidR="00373A7F" w:rsidRPr="00373A7F" w:rsidRDefault="00373A7F" w:rsidP="00481360">
      <w:pPr>
        <w:pStyle w:val="Odsekzoznamu"/>
        <w:numPr>
          <w:ilvl w:val="0"/>
          <w:numId w:val="30"/>
        </w:numPr>
      </w:pPr>
      <w:r w:rsidRPr="00373A7F">
        <w:t>18.</w:t>
      </w:r>
      <w:r w:rsidR="00481360">
        <w:t xml:space="preserve"> </w:t>
      </w:r>
      <w:r w:rsidRPr="00373A7F">
        <w:t>-</w:t>
      </w:r>
      <w:r w:rsidR="00481360">
        <w:t xml:space="preserve"> </w:t>
      </w:r>
      <w:r w:rsidRPr="00373A7F">
        <w:t>19.</w:t>
      </w:r>
      <w:r w:rsidR="00481360">
        <w:t xml:space="preserve"> </w:t>
      </w:r>
      <w:r w:rsidRPr="00373A7F">
        <w:t>9.</w:t>
      </w:r>
      <w:r w:rsidR="00481360">
        <w:t xml:space="preserve"> </w:t>
      </w:r>
      <w:r w:rsidRPr="00373A7F">
        <w:t xml:space="preserve">2023 - Žilina </w:t>
      </w:r>
    </w:p>
    <w:p w14:paraId="6936ABF5" w14:textId="77777777" w:rsidR="00373A7F" w:rsidRPr="00373A7F" w:rsidRDefault="00373A7F" w:rsidP="00481360">
      <w:pPr>
        <w:ind w:left="284" w:firstLine="425"/>
      </w:pPr>
      <w:r w:rsidRPr="00373A7F">
        <w:t>Počet vystavovateľov: 50</w:t>
      </w:r>
    </w:p>
    <w:p w14:paraId="716FD3E1" w14:textId="77777777" w:rsidR="00373A7F" w:rsidRPr="00373A7F" w:rsidRDefault="00373A7F" w:rsidP="00481360">
      <w:pPr>
        <w:ind w:left="284" w:firstLine="425"/>
      </w:pPr>
      <w:r w:rsidRPr="00373A7F">
        <w:t>Počet návštevníkov: 3 218</w:t>
      </w:r>
    </w:p>
    <w:p w14:paraId="6A2064EF" w14:textId="77777777" w:rsidR="00373A7F" w:rsidRPr="00373A7F" w:rsidRDefault="00373A7F" w:rsidP="00481360">
      <w:pPr>
        <w:ind w:left="284" w:firstLine="425"/>
      </w:pPr>
      <w:r w:rsidRPr="00373A7F">
        <w:t>Počet návštevníkov stánku EURES: 244</w:t>
      </w:r>
    </w:p>
    <w:p w14:paraId="77CD0AF3" w14:textId="427DF950" w:rsidR="00373A7F" w:rsidRPr="00373A7F" w:rsidRDefault="00373A7F" w:rsidP="00481360">
      <w:pPr>
        <w:pStyle w:val="Odsekzoznamu"/>
        <w:numPr>
          <w:ilvl w:val="0"/>
          <w:numId w:val="30"/>
        </w:numPr>
      </w:pPr>
      <w:r w:rsidRPr="00373A7F">
        <w:t>14.</w:t>
      </w:r>
      <w:r w:rsidR="00481360">
        <w:t xml:space="preserve"> </w:t>
      </w:r>
      <w:r w:rsidRPr="00373A7F">
        <w:t>-</w:t>
      </w:r>
      <w:r w:rsidR="00481360">
        <w:t xml:space="preserve"> </w:t>
      </w:r>
      <w:r w:rsidRPr="00373A7F">
        <w:t>15.</w:t>
      </w:r>
      <w:r w:rsidR="00481360">
        <w:t xml:space="preserve"> </w:t>
      </w:r>
      <w:r w:rsidRPr="00373A7F">
        <w:t>11.</w:t>
      </w:r>
      <w:r w:rsidR="00481360">
        <w:t xml:space="preserve"> </w:t>
      </w:r>
      <w:r w:rsidRPr="00373A7F">
        <w:t xml:space="preserve">2023 - Košice </w:t>
      </w:r>
    </w:p>
    <w:p w14:paraId="1029FC39" w14:textId="77777777" w:rsidR="00373A7F" w:rsidRPr="00373A7F" w:rsidRDefault="00373A7F" w:rsidP="00481360">
      <w:pPr>
        <w:ind w:left="284" w:firstLine="425"/>
      </w:pPr>
      <w:r w:rsidRPr="00373A7F">
        <w:t>Počet vystavovateľov: 70</w:t>
      </w:r>
    </w:p>
    <w:p w14:paraId="35BDD892" w14:textId="77777777" w:rsidR="00373A7F" w:rsidRPr="00373A7F" w:rsidRDefault="00373A7F" w:rsidP="00481360">
      <w:pPr>
        <w:ind w:left="284" w:firstLine="425"/>
      </w:pPr>
      <w:r w:rsidRPr="00373A7F">
        <w:t>Počet návštevníkov: 6 000+</w:t>
      </w:r>
    </w:p>
    <w:p w14:paraId="4F2A25EA" w14:textId="77777777" w:rsidR="00373A7F" w:rsidRPr="00373A7F" w:rsidRDefault="00373A7F" w:rsidP="00481360">
      <w:pPr>
        <w:ind w:left="284" w:firstLine="425"/>
      </w:pPr>
      <w:r w:rsidRPr="00373A7F">
        <w:t>Počet návštevníkov stánku EURES: 700</w:t>
      </w:r>
    </w:p>
    <w:p w14:paraId="1EFD69C9" w14:textId="77777777" w:rsidR="00373A7F" w:rsidRPr="00373A7F" w:rsidRDefault="00373A7F" w:rsidP="00481360">
      <w:pPr>
        <w:ind w:left="284" w:firstLine="425"/>
      </w:pPr>
      <w:r w:rsidRPr="00373A7F">
        <w:t>Spolu: 1794 klientov</w:t>
      </w:r>
    </w:p>
    <w:p w14:paraId="7AD00D72" w14:textId="0085CF5C" w:rsidR="00373A7F" w:rsidRPr="00481360" w:rsidRDefault="00373A7F" w:rsidP="00481360">
      <w:pPr>
        <w:pStyle w:val="Odsekzoznamu"/>
        <w:numPr>
          <w:ilvl w:val="0"/>
          <w:numId w:val="31"/>
        </w:numPr>
        <w:ind w:left="284" w:hanging="284"/>
        <w:rPr>
          <w:bCs/>
        </w:rPr>
      </w:pPr>
      <w:r w:rsidRPr="00481360">
        <w:rPr>
          <w:bCs/>
        </w:rPr>
        <w:lastRenderedPageBreak/>
        <w:t>Deň Európy</w:t>
      </w:r>
    </w:p>
    <w:p w14:paraId="1AA0CEEB" w14:textId="77777777" w:rsidR="00373A7F" w:rsidRPr="00373A7F" w:rsidRDefault="00373A7F" w:rsidP="00481360">
      <w:pPr>
        <w:ind w:left="284" w:firstLine="0"/>
      </w:pPr>
      <w:r w:rsidRPr="00373A7F">
        <w:t>Podujatie každoročne organizované Zastúpením Európskej komisie na Slovensku je oslavou princípov EÚ, mieru a jednoty v Európe. Účasť siete EURES bola príležitosťou nielen osláviť hodnoty a princípy, ktorými sa riadi EÚ, ale aj osloviť veľký počet potenciálnych klientov. Zároveň bola príležitosťou na stretnutie jednotlivých európskych sietí zastúpených na Slovensku, získavanie nových kontaktov a prehlbovanie existujúcej vzájomnej spolupráce.</w:t>
      </w:r>
    </w:p>
    <w:p w14:paraId="262ED4A1" w14:textId="77777777" w:rsidR="00373A7F" w:rsidRPr="00373A7F" w:rsidRDefault="00373A7F" w:rsidP="00481360">
      <w:pPr>
        <w:ind w:left="284" w:firstLine="0"/>
      </w:pPr>
      <w:r w:rsidRPr="00373A7F">
        <w:t xml:space="preserve">Podujatie v číslach: Sieť EURES participovala na oslavách Dňa Európy v Košiciach, Bratislave, Lučenci a Žiline a spolu poskytla informácie 847 návštevníkom. </w:t>
      </w:r>
    </w:p>
    <w:p w14:paraId="2C6E5F64" w14:textId="77777777" w:rsidR="00373A7F" w:rsidRPr="00481360" w:rsidRDefault="00373A7F" w:rsidP="00481360">
      <w:pPr>
        <w:pStyle w:val="Odsekzoznamu"/>
        <w:numPr>
          <w:ilvl w:val="0"/>
          <w:numId w:val="31"/>
        </w:numPr>
        <w:ind w:left="284" w:hanging="284"/>
        <w:rPr>
          <w:bCs/>
        </w:rPr>
      </w:pPr>
      <w:r w:rsidRPr="00481360">
        <w:rPr>
          <w:bCs/>
        </w:rPr>
        <w:t xml:space="preserve">ProEduco </w:t>
      </w:r>
    </w:p>
    <w:p w14:paraId="214E3D72" w14:textId="77777777" w:rsidR="00373A7F" w:rsidRPr="00373A7F" w:rsidRDefault="00373A7F" w:rsidP="00481360">
      <w:pPr>
        <w:ind w:left="284" w:firstLine="0"/>
      </w:pPr>
      <w:r w:rsidRPr="00373A7F">
        <w:t xml:space="preserve">15. ročník Medzinárodného veľtrhu vzdelávania PRO EDUCO sa konal v termíne 6.-7.12.2023 v Košiciach a predstavoval stabilnú platformu pre prezentáciu celého spektra aktuálnych tém v oblasti vzdelávania na všetkých úrovniach, tak v rámci štandardných foriem štúdia ako aj mimo nich. Popri téme vzdelávania veľtrh prezentoval aj ďalšie formy mimoškolských aktivít, rozvoja osobnosti, možností pracovného uplatnenia, cestovania a doplnkového vzdelávania mladých. Podujatie sa zameriava predovšetkým na žiakov končiacich ročníkov základných a stredných škôl, ako aj výchovných poradcov. </w:t>
      </w:r>
    </w:p>
    <w:p w14:paraId="51980825" w14:textId="77777777" w:rsidR="00373A7F" w:rsidRPr="00373A7F" w:rsidRDefault="00373A7F" w:rsidP="00481360">
      <w:pPr>
        <w:ind w:left="284" w:firstLine="0"/>
      </w:pPr>
      <w:r w:rsidRPr="00373A7F">
        <w:t>Stánok EURES Slovensko tento rok zatraktívnila aj prítomnosť EURES poradkyne z Holandska, ktorá návštevníkom prezentovala nielen možnosti štúdia a pracovného uplatnenia, ale aj životné a pracovné podmienky tejto zaujímavej krajiny.</w:t>
      </w:r>
    </w:p>
    <w:p w14:paraId="507D4317" w14:textId="77777777" w:rsidR="00373A7F" w:rsidRPr="00373A7F" w:rsidRDefault="00373A7F" w:rsidP="00481360">
      <w:pPr>
        <w:ind w:left="284" w:firstLine="0"/>
        <w:rPr>
          <w:bCs/>
        </w:rPr>
      </w:pPr>
      <w:r w:rsidRPr="00373A7F">
        <w:rPr>
          <w:bCs/>
        </w:rPr>
        <w:t xml:space="preserve">Podujatie v číslach: </w:t>
      </w:r>
      <w:r w:rsidRPr="00373A7F">
        <w:t xml:space="preserve">počet vystavovateľov: 60, počet návštevníkov: 7 259, počet návštevníkov stánku EURES: 400 </w:t>
      </w:r>
    </w:p>
    <w:p w14:paraId="7083A66A" w14:textId="77777777" w:rsidR="00373A7F" w:rsidRPr="00481360" w:rsidRDefault="00373A7F" w:rsidP="00481360">
      <w:pPr>
        <w:pStyle w:val="Odsekzoznamu"/>
        <w:numPr>
          <w:ilvl w:val="0"/>
          <w:numId w:val="31"/>
        </w:numPr>
        <w:ind w:left="284" w:hanging="284"/>
        <w:rPr>
          <w:bCs/>
        </w:rPr>
      </w:pPr>
      <w:r w:rsidRPr="00481360">
        <w:rPr>
          <w:bCs/>
        </w:rPr>
        <w:t>Ďalšie podujatia:</w:t>
      </w:r>
    </w:p>
    <w:p w14:paraId="05942147" w14:textId="77777777" w:rsidR="00373A7F" w:rsidRPr="00373A7F" w:rsidRDefault="00373A7F" w:rsidP="00481360">
      <w:pPr>
        <w:ind w:left="284" w:firstLine="0"/>
      </w:pPr>
      <w:r w:rsidRPr="00373A7F">
        <w:t>Sieť EURES Slovensko mala aj tento rok svoje zastúpenie na rôznych regionálnych veľtrhoch SŠ a VŠ, burzách informácií, stretnutí so zamestnávateľmi a pod. Tieto podujatia boli zamerané na rôzne cieľové skupiny. Významnú záujmovú skupinu pre sieť EURES predstavujú mladí ľudia pred vstupom na trh práce, ktorým okrem základných informácií EURES poradcovia poskytujú  informácie o situácii na európskom trhu práce, požiadavkách zamestnávateľov na potenciálnych zamestnancov  a o trendoch ďalšieho vývoja, aby sa tak mohli zodpovedne a kvalifikovane rozhodnúť pri výbere strednej či vysokej školy.</w:t>
      </w:r>
    </w:p>
    <w:p w14:paraId="1ECD6282" w14:textId="77777777" w:rsidR="00373A7F" w:rsidRPr="00373A7F" w:rsidRDefault="00373A7F" w:rsidP="00481360">
      <w:pPr>
        <w:ind w:left="284" w:firstLine="0"/>
      </w:pPr>
      <w:r w:rsidRPr="00373A7F">
        <w:t xml:space="preserve">Účasť na ďalších podujatiach:  </w:t>
      </w:r>
    </w:p>
    <w:p w14:paraId="4848D42B" w14:textId="77777777" w:rsidR="00373A7F" w:rsidRPr="00373A7F" w:rsidRDefault="00373A7F" w:rsidP="00481360">
      <w:pPr>
        <w:ind w:left="284" w:firstLine="0"/>
      </w:pPr>
      <w:r w:rsidRPr="00373A7F">
        <w:t xml:space="preserve">30. 3. 2023 – Interview day NAKAC, Žilina </w:t>
      </w:r>
    </w:p>
    <w:p w14:paraId="2D003F47" w14:textId="77777777" w:rsidR="00373A7F" w:rsidRPr="00373A7F" w:rsidRDefault="00373A7F" w:rsidP="00481360">
      <w:pPr>
        <w:ind w:left="284" w:firstLine="0"/>
      </w:pPr>
      <w:r w:rsidRPr="00373A7F">
        <w:t xml:space="preserve">27. 4. 2023 – Veľtrh JobSpoTT, Trnava </w:t>
      </w:r>
    </w:p>
    <w:p w14:paraId="7D884F78" w14:textId="77777777" w:rsidR="00373A7F" w:rsidRPr="00373A7F" w:rsidRDefault="00373A7F" w:rsidP="00481360">
      <w:pPr>
        <w:ind w:left="284" w:firstLine="0"/>
      </w:pPr>
      <w:r w:rsidRPr="00373A7F">
        <w:t xml:space="preserve">17. 5. 2023 – Raňajky so zamestnávateľmi, Zvolen </w:t>
      </w:r>
    </w:p>
    <w:p w14:paraId="715DB623" w14:textId="77777777" w:rsidR="00373A7F" w:rsidRPr="00373A7F" w:rsidRDefault="00373A7F" w:rsidP="00481360">
      <w:pPr>
        <w:ind w:left="284" w:firstLine="0"/>
      </w:pPr>
      <w:r w:rsidRPr="00373A7F">
        <w:t xml:space="preserve">22. 6. 2023 – meeting Americkej obchodnej komory, Košice </w:t>
      </w:r>
    </w:p>
    <w:p w14:paraId="33214D2F" w14:textId="77777777" w:rsidR="00373A7F" w:rsidRPr="00373A7F" w:rsidRDefault="00373A7F" w:rsidP="00481360">
      <w:pPr>
        <w:ind w:left="284" w:firstLine="0"/>
      </w:pPr>
      <w:r w:rsidRPr="00373A7F">
        <w:t>12. 7. 2023 – „Leto v meste“, Dolný Kubín</w:t>
      </w:r>
    </w:p>
    <w:p w14:paraId="1F9AD047" w14:textId="77777777" w:rsidR="00373A7F" w:rsidRPr="00373A7F" w:rsidRDefault="00373A7F" w:rsidP="00481360">
      <w:pPr>
        <w:ind w:left="284" w:firstLine="0"/>
      </w:pPr>
      <w:r w:rsidRPr="00373A7F">
        <w:t>12. 10. 2023 – Veľtrh stredných škôl „Kam na strednú v Trnavskej župe“, Trnava</w:t>
      </w:r>
    </w:p>
    <w:p w14:paraId="11350338" w14:textId="77777777" w:rsidR="00373A7F" w:rsidRPr="00373A7F" w:rsidRDefault="00373A7F" w:rsidP="00481360">
      <w:pPr>
        <w:ind w:left="284" w:firstLine="0"/>
      </w:pPr>
      <w:r w:rsidRPr="00373A7F">
        <w:t xml:space="preserve">24. 10. 2023 – Burza stredných škôl, Dolný Kubín </w:t>
      </w:r>
    </w:p>
    <w:p w14:paraId="39C94380" w14:textId="77777777" w:rsidR="00373A7F" w:rsidRPr="00373A7F" w:rsidRDefault="00373A7F" w:rsidP="00481360">
      <w:pPr>
        <w:ind w:left="284" w:firstLine="0"/>
      </w:pPr>
      <w:r w:rsidRPr="00373A7F">
        <w:t>26. 10. 2023 – Veľtrh prace s mládežou, Banská Bystrica</w:t>
      </w:r>
    </w:p>
    <w:p w14:paraId="792F5C44" w14:textId="77777777" w:rsidR="00373A7F" w:rsidRPr="00373A7F" w:rsidRDefault="00373A7F" w:rsidP="00481360">
      <w:pPr>
        <w:ind w:left="284" w:firstLine="0"/>
        <w:rPr>
          <w:i/>
        </w:rPr>
      </w:pPr>
      <w:r w:rsidRPr="00373A7F">
        <w:t xml:space="preserve">26. 10. 2023 – Prezentačná výstava stredných škôl okresu Rožňava </w:t>
      </w:r>
      <w:r w:rsidRPr="00373A7F">
        <w:rPr>
          <w:i/>
        </w:rPr>
        <w:t>„Správna voľba povolania – príležitosť k úspechu“</w:t>
      </w:r>
    </w:p>
    <w:p w14:paraId="28F38395" w14:textId="77777777" w:rsidR="00373A7F" w:rsidRPr="00373A7F" w:rsidRDefault="00373A7F" w:rsidP="00481360">
      <w:pPr>
        <w:ind w:left="284" w:firstLine="0"/>
      </w:pPr>
      <w:r w:rsidRPr="00373A7F">
        <w:t>26. 10. 2023 – „Kam na strednú“, Senica</w:t>
      </w:r>
    </w:p>
    <w:p w14:paraId="210BADBE" w14:textId="77777777" w:rsidR="00373A7F" w:rsidRPr="00373A7F" w:rsidRDefault="00373A7F" w:rsidP="00481360">
      <w:pPr>
        <w:ind w:left="284" w:firstLine="0"/>
      </w:pPr>
      <w:r w:rsidRPr="00373A7F">
        <w:t>23. 11. 2023 – Informačné podujatie „Chceš študovať pre trh práce alebo pre úrad práce?“ , Humenné</w:t>
      </w:r>
    </w:p>
    <w:p w14:paraId="581517DB" w14:textId="77777777" w:rsidR="00373A7F" w:rsidRPr="00373A7F" w:rsidRDefault="00373A7F" w:rsidP="00481360">
      <w:pPr>
        <w:ind w:left="284" w:firstLine="0"/>
      </w:pPr>
      <w:r w:rsidRPr="00373A7F">
        <w:t>23. 11. 2023 - Veľtrh VŠ z KSK a PSK, Košice</w:t>
      </w:r>
    </w:p>
    <w:p w14:paraId="3C41117D" w14:textId="2D231C3A" w:rsidR="00373A7F" w:rsidRDefault="00373A7F" w:rsidP="00481360">
      <w:pPr>
        <w:ind w:left="284" w:firstLine="0"/>
      </w:pPr>
      <w:r w:rsidRPr="00373A7F">
        <w:t>V rámci Európskeho roka zručnosti 2023 realizovala sieť EURES na tomto podujatí aj workshop zameraný predovšetkým na mäkké zručnosti.</w:t>
      </w:r>
    </w:p>
    <w:p w14:paraId="36FE9D6F" w14:textId="06FC324B" w:rsidR="00481360" w:rsidRDefault="00481360" w:rsidP="00481360">
      <w:pPr>
        <w:ind w:left="284" w:firstLine="0"/>
      </w:pPr>
    </w:p>
    <w:p w14:paraId="14221B66" w14:textId="77777777" w:rsidR="00481360" w:rsidRPr="00373A7F" w:rsidRDefault="00481360" w:rsidP="00481360">
      <w:pPr>
        <w:ind w:left="284" w:firstLine="0"/>
      </w:pPr>
    </w:p>
    <w:p w14:paraId="2748B597" w14:textId="1757A536" w:rsidR="00373A7F" w:rsidRPr="00481360" w:rsidRDefault="00481360" w:rsidP="00481360">
      <w:pPr>
        <w:spacing w:before="120" w:after="0"/>
        <w:ind w:hanging="6"/>
        <w:rPr>
          <w:b/>
        </w:rPr>
      </w:pPr>
      <w:r>
        <w:rPr>
          <w:b/>
        </w:rPr>
        <w:lastRenderedPageBreak/>
        <w:t xml:space="preserve">1.14  - </w:t>
      </w:r>
      <w:r w:rsidR="00373A7F" w:rsidRPr="00481360">
        <w:rPr>
          <w:b/>
        </w:rPr>
        <w:t>Výberové pohovor</w:t>
      </w:r>
      <w:r>
        <w:rPr>
          <w:b/>
        </w:rPr>
        <w:t>y</w:t>
      </w:r>
    </w:p>
    <w:p w14:paraId="2B6B18C8" w14:textId="0498F935" w:rsidR="00373A7F" w:rsidRPr="00373A7F" w:rsidRDefault="00373A7F" w:rsidP="00481360">
      <w:pPr>
        <w:pStyle w:val="Odsekzoznamu"/>
        <w:numPr>
          <w:ilvl w:val="0"/>
          <w:numId w:val="30"/>
        </w:numPr>
        <w:ind w:left="284" w:hanging="284"/>
      </w:pPr>
      <w:r w:rsidRPr="00373A7F">
        <w:t>VÝBEROVÉ POHOVORY a STÁŽE</w:t>
      </w:r>
    </w:p>
    <w:p w14:paraId="46A2699A" w14:textId="77777777" w:rsidR="00373A7F" w:rsidRPr="00373A7F" w:rsidRDefault="00373A7F" w:rsidP="00481360">
      <w:pPr>
        <w:ind w:left="284" w:firstLine="0"/>
      </w:pPr>
      <w:r w:rsidRPr="00373A7F">
        <w:t>Sieť EURES zorganizovala počas roka 2023 dve výberové pohovory a to do Holandska a Maďarska. Holandský zamestnávateľ ponúkal prácu v lodnej doprave na pozíciách: lodník, námorník a kapitán na riečne lode. Celkový počet pozvaných záujemcov 30, z toho prítomných na pohovore 8 a 3 osoby boli zamestnané.</w:t>
      </w:r>
    </w:p>
    <w:p w14:paraId="5FBA1495" w14:textId="77777777" w:rsidR="00373A7F" w:rsidRPr="00373A7F" w:rsidRDefault="00373A7F" w:rsidP="00481360">
      <w:pPr>
        <w:ind w:left="284" w:firstLine="0"/>
      </w:pPr>
      <w:r w:rsidRPr="00373A7F">
        <w:t>Maďarský zamestnávateľ ponúkal prácu v priemyselnej oblasti a doprave na pozíciách: kontrolór kvality, operátor vo výrobe, pracovník údržby a vodič VZV. Celkový počet účastníkov na pohovore 58  a počet zamestnaných 12.</w:t>
      </w:r>
    </w:p>
    <w:p w14:paraId="00B47797" w14:textId="2360E2FA" w:rsidR="00373A7F" w:rsidRPr="00481360" w:rsidRDefault="00373A7F" w:rsidP="004F3EC9">
      <w:pPr>
        <w:pStyle w:val="Odsekzoznamu"/>
        <w:numPr>
          <w:ilvl w:val="0"/>
          <w:numId w:val="30"/>
        </w:numPr>
        <w:ind w:left="284" w:hanging="284"/>
        <w:rPr>
          <w:bCs/>
        </w:rPr>
      </w:pPr>
      <w:r w:rsidRPr="00481360">
        <w:rPr>
          <w:bCs/>
        </w:rPr>
        <w:t>STÁŽOVÉ POBYTY</w:t>
      </w:r>
    </w:p>
    <w:p w14:paraId="265C9F11" w14:textId="77777777" w:rsidR="00373A7F" w:rsidRPr="00373A7F" w:rsidRDefault="00373A7F" w:rsidP="004F3EC9">
      <w:pPr>
        <w:ind w:left="284" w:firstLine="0"/>
        <w:rPr>
          <w:bCs/>
        </w:rPr>
      </w:pPr>
      <w:r w:rsidRPr="00373A7F">
        <w:t xml:space="preserve">Sieť EURES Slovensko realizovala pre spoločnosť Sani/Ikos Group nábor na celkom 40 voľných pracovných miest pre stážistov na pracovné pozície kuchárov, pomocných kuchárov, recepčných, čašníkov a pomocných čašníkov a hostesiek. </w:t>
      </w:r>
    </w:p>
    <w:p w14:paraId="4A4F2665" w14:textId="77777777" w:rsidR="00373A7F" w:rsidRPr="00373A7F" w:rsidRDefault="00373A7F" w:rsidP="004F3EC9">
      <w:pPr>
        <w:ind w:left="284" w:firstLine="0"/>
      </w:pPr>
      <w:r w:rsidRPr="00373A7F">
        <w:t>Záujemcovia o stážové pobyty boli najmä študentami z Michaloviec - zo Strednej odbornej školy obchodu a služieb, Obchodnej akadémie, Hotelovej akadémie a Súkromnej hotelovej akadémie. V roku 2023 sa nám na stáž hlásili aj študenti z celej SR.</w:t>
      </w:r>
    </w:p>
    <w:p w14:paraId="5980C027" w14:textId="77777777" w:rsidR="00373A7F" w:rsidRPr="00373A7F" w:rsidRDefault="00373A7F" w:rsidP="004F3EC9">
      <w:pPr>
        <w:ind w:left="284" w:firstLine="0"/>
      </w:pPr>
      <w:r w:rsidRPr="00373A7F">
        <w:t>Vzhľadom na to, že zamestnávateľ umiestnil v rámci svojich rezortov počas aktuálnej letnej sezóny 25 študentov zo Slovenska, dostali EURES poradcovia možnosť oboznámiť sa s pracovnými podmienkami vo vybraných rezortoch, v ktorých slovenskí stážisti pôsobia, ako aj s podmienkami ubytovania a dohodnúť kritériá budúcej spolupráce.</w:t>
      </w:r>
    </w:p>
    <w:p w14:paraId="4BDB1FBC" w14:textId="77777777" w:rsidR="00373A7F" w:rsidRPr="004F3EC9" w:rsidRDefault="00373A7F" w:rsidP="004F3EC9">
      <w:pPr>
        <w:spacing w:before="120" w:after="0"/>
        <w:ind w:hanging="6"/>
        <w:rPr>
          <w:b/>
        </w:rPr>
      </w:pPr>
      <w:r w:rsidRPr="004F3EC9">
        <w:rPr>
          <w:b/>
        </w:rPr>
        <w:t>1.15 – Tlmočenie a preklady</w:t>
      </w:r>
    </w:p>
    <w:p w14:paraId="305D411F" w14:textId="77777777" w:rsidR="00373A7F" w:rsidRPr="00373A7F" w:rsidRDefault="00373A7F" w:rsidP="00373A7F">
      <w:r w:rsidRPr="00373A7F">
        <w:t>Počas obdobia boli realizované nasledujúce preklady zo slovenského do nemeckého a anglického jazyka: preklad vyhodnotenia siete EURES za rok 2022, preklad Zmluvy o stáži a preklad Vyhodnotenia činnosti siete EURES pre EK.</w:t>
      </w:r>
    </w:p>
    <w:p w14:paraId="0498033A" w14:textId="77777777" w:rsidR="00373A7F" w:rsidRPr="004F3EC9" w:rsidRDefault="00373A7F" w:rsidP="004F3EC9">
      <w:pPr>
        <w:spacing w:before="120" w:after="0"/>
        <w:ind w:hanging="6"/>
        <w:rPr>
          <w:b/>
        </w:rPr>
      </w:pPr>
      <w:r w:rsidRPr="004F3EC9">
        <w:rPr>
          <w:b/>
        </w:rPr>
        <w:t>1.16 – Účasť na odborných externých seminároch</w:t>
      </w:r>
    </w:p>
    <w:p w14:paraId="56C08E0D" w14:textId="6FCCD070" w:rsidR="00373A7F" w:rsidRPr="00373A7F" w:rsidRDefault="004F3EC9" w:rsidP="00373A7F">
      <w:r>
        <w:t>V uvedenom období nerealizované</w:t>
      </w:r>
      <w:r w:rsidR="00373A7F" w:rsidRPr="00373A7F">
        <w:t>.</w:t>
      </w:r>
    </w:p>
    <w:p w14:paraId="34167B97" w14:textId="77777777" w:rsidR="00373A7F" w:rsidRPr="004F3EC9" w:rsidRDefault="00373A7F" w:rsidP="004F3EC9">
      <w:pPr>
        <w:spacing w:before="120" w:after="0"/>
        <w:ind w:hanging="6"/>
        <w:rPr>
          <w:b/>
        </w:rPr>
      </w:pPr>
      <w:r w:rsidRPr="004F3EC9">
        <w:rPr>
          <w:b/>
        </w:rPr>
        <w:t>1.17 – Webová stránka</w:t>
      </w:r>
    </w:p>
    <w:p w14:paraId="5D9014CA" w14:textId="77777777" w:rsidR="00373A7F" w:rsidRPr="00373A7F" w:rsidRDefault="00373A7F" w:rsidP="00373A7F">
      <w:r w:rsidRPr="00373A7F">
        <w:t xml:space="preserve">Spustenie novej webovej stránky prebehlo po úspešne zrealizovanom verejnom obstarávaní  začiatkom roku 2023. Nová stránka </w:t>
      </w:r>
      <w:hyperlink r:id="rId61" w:history="1">
        <w:r w:rsidRPr="00373A7F">
          <w:rPr>
            <w:rStyle w:val="Hypertextovprepojenie"/>
          </w:rPr>
          <w:t>www.eures.sk</w:t>
        </w:r>
      </w:hyperlink>
      <w:r w:rsidRPr="00373A7F">
        <w:t xml:space="preserve"> priniesla užívateľom moderný dizajn a viac funkcionalít, jednoduchú a rýchlu orientáciu v informáciách aj pracovných ponukách. Okrem modernejšieho dizajnu je vybavená množstvom zaujímavých a inovatívnych funkcionalít. Z pohľadu užívateľa je ľahko zrozumiteľná a jednoducho sa používa. Registrovaným klientom ponúka zaujímavé možnosti aj v rámci osobnej zóny. K dispozícii je vyhotovenie životopisu vo viacerých jazykových mutáciách, tvorba zoznamu obľúbených pracovných ponúk, ale aj prepojenie so sociálnymi sieťami. V sekcii Pracovné ponuky získajú klienti prehľad o aktuálnych pracovných príležitostiach, na ktoré môžu priamo reagovať zaslaním CV, alebo položiť otázku. Otázky zamerané na špecifické oblasti cezhraničnej mobility možno klásť EURES poradcom v časti Kontakty. Na stránke pribudli možnosti filtrovania pracovných ponúk, čo umožňuje vyhľadávanie ponúk vhodných pre páry, zdravotne postihnutých, bez požiadavky na znalosť cudzieho jazyka alebo ponuky s ubytovaním. Nová webová stránka ponúka nielen množstvo výhod pre klientov, ale aj užívateľsky priateľské prostredie pre EURES poradcov, ktorí intenzívne pracujú na tvorbe pútavého a kvalitného obsahu stránky </w:t>
      </w:r>
      <w:hyperlink r:id="rId62" w:history="1">
        <w:r w:rsidRPr="00373A7F">
          <w:rPr>
            <w:rStyle w:val="Hypertextovprepojenie"/>
          </w:rPr>
          <w:t>www.eures.sk</w:t>
        </w:r>
      </w:hyperlink>
      <w:r w:rsidRPr="00373A7F">
        <w:rPr>
          <w:u w:val="single"/>
        </w:rPr>
        <w:t xml:space="preserve">. </w:t>
      </w:r>
      <w:r w:rsidRPr="00373A7F">
        <w:t>Nový portál je optimalizovaný aj pre mobilné zariadenia.</w:t>
      </w:r>
    </w:p>
    <w:p w14:paraId="7B7A676A" w14:textId="77777777" w:rsidR="00373A7F" w:rsidRPr="00373A7F" w:rsidRDefault="00373A7F" w:rsidP="004F3EC9">
      <w:pPr>
        <w:spacing w:before="120" w:after="0"/>
        <w:ind w:hanging="6"/>
      </w:pPr>
      <w:r w:rsidRPr="00373A7F">
        <w:t>Počas roka 2023 prebiehala na základe písomných požiadaviek NKK EURES a komunikácie so správcom webu pravidelná podpora, technická údržba a ad hoc úpravy, ktorými sa zabezpečovala modernizácia a update funkcionalít webu (v rozsahu max. 50 hod./mesiac).</w:t>
      </w:r>
    </w:p>
    <w:p w14:paraId="21DE4C24" w14:textId="77777777" w:rsidR="00373A7F" w:rsidRPr="004F3EC9" w:rsidRDefault="00373A7F" w:rsidP="004F3EC9">
      <w:pPr>
        <w:spacing w:before="120" w:after="0"/>
        <w:ind w:hanging="6"/>
        <w:rPr>
          <w:b/>
          <w:bCs/>
        </w:rPr>
      </w:pPr>
      <w:bookmarkStart w:id="174" w:name="_Hlk156811272"/>
      <w:r w:rsidRPr="004F3EC9">
        <w:rPr>
          <w:b/>
          <w:bCs/>
        </w:rPr>
        <w:t xml:space="preserve">1.18 </w:t>
      </w:r>
      <w:r w:rsidRPr="004F3EC9">
        <w:rPr>
          <w:b/>
        </w:rPr>
        <w:t xml:space="preserve">– </w:t>
      </w:r>
      <w:r w:rsidRPr="004F3EC9">
        <w:rPr>
          <w:b/>
          <w:bCs/>
        </w:rPr>
        <w:t>Propagačná technika</w:t>
      </w:r>
      <w:bookmarkEnd w:id="174"/>
    </w:p>
    <w:p w14:paraId="681BB3A7" w14:textId="08540AFE" w:rsidR="00373A7F" w:rsidRPr="00373A7F" w:rsidRDefault="00373A7F" w:rsidP="00373A7F">
      <w:r w:rsidRPr="00373A7F">
        <w:t xml:space="preserve">Počas </w:t>
      </w:r>
      <w:r w:rsidR="004F3EC9">
        <w:t xml:space="preserve">hodnoteného </w:t>
      </w:r>
      <w:r w:rsidRPr="00373A7F">
        <w:t>obdobia nebola obstaraná žiadna propagačná technika.</w:t>
      </w:r>
    </w:p>
    <w:bookmarkEnd w:id="172"/>
    <w:p w14:paraId="3A57D8C5" w14:textId="4494ECC3" w:rsidR="00373A7F" w:rsidRDefault="00373A7F" w:rsidP="00373A7F"/>
    <w:p w14:paraId="0F8923E2" w14:textId="77777777" w:rsidR="00664DDE" w:rsidRPr="00C35CA8" w:rsidRDefault="00654581" w:rsidP="00692CD3">
      <w:pPr>
        <w:pStyle w:val="Nadpis30"/>
        <w:spacing w:before="240" w:after="120"/>
        <w:ind w:hanging="6"/>
      </w:pPr>
      <w:bookmarkStart w:id="175" w:name="_Toc37094645"/>
      <w:bookmarkStart w:id="176" w:name="_Toc173741576"/>
      <w:bookmarkStart w:id="177" w:name="_Hlk103537271"/>
      <w:bookmarkEnd w:id="170"/>
      <w:bookmarkEnd w:id="171"/>
      <w:r w:rsidRPr="00CB73DD">
        <w:lastRenderedPageBreak/>
        <w:t>6</w:t>
      </w:r>
      <w:r w:rsidR="0038035E" w:rsidRPr="00CB73DD">
        <w:t>.2.</w:t>
      </w:r>
      <w:r w:rsidR="00DB4437" w:rsidRPr="00CB73DD">
        <w:t>2</w:t>
      </w:r>
      <w:r w:rsidR="0038035E" w:rsidRPr="00CB73DD">
        <w:tab/>
      </w:r>
      <w:bookmarkStart w:id="178" w:name="_Hlk37973032"/>
      <w:bookmarkEnd w:id="175"/>
      <w:r w:rsidR="00DD5101" w:rsidRPr="00CB73DD">
        <w:t>N</w:t>
      </w:r>
      <w:r w:rsidR="00814533" w:rsidRPr="00CB73DD">
        <w:t>árodný projekt</w:t>
      </w:r>
      <w:r w:rsidR="00DD5101" w:rsidRPr="00CB73DD">
        <w:t xml:space="preserve"> „Cesta na trh práce</w:t>
      </w:r>
      <w:r w:rsidR="0000355B" w:rsidRPr="00CB73DD">
        <w:t xml:space="preserve"> 3</w:t>
      </w:r>
      <w:r w:rsidR="00DD5101" w:rsidRPr="00CB73DD">
        <w:t>“</w:t>
      </w:r>
      <w:bookmarkEnd w:id="176"/>
      <w:r w:rsidR="00814533" w:rsidRPr="00C35CA8">
        <w:t xml:space="preserve"> </w:t>
      </w:r>
    </w:p>
    <w:p w14:paraId="1B325DDC" w14:textId="5AA4FD00" w:rsidR="00036B1A" w:rsidRPr="00C35CA8" w:rsidRDefault="00036B1A" w:rsidP="001E0F7E">
      <w:pPr>
        <w:autoSpaceDE w:val="0"/>
        <w:autoSpaceDN w:val="0"/>
        <w:adjustRightInd w:val="0"/>
        <w:spacing w:before="120" w:after="120"/>
        <w:ind w:firstLine="0"/>
        <w:rPr>
          <w:rFonts w:eastAsiaTheme="minorHAnsi"/>
          <w:lang w:eastAsia="en-US"/>
        </w:rPr>
      </w:pPr>
      <w:bookmarkStart w:id="179" w:name="_Toc515876453"/>
      <w:bookmarkStart w:id="180" w:name="_Toc37094646"/>
      <w:bookmarkStart w:id="181" w:name="_Toc44073779"/>
      <w:bookmarkEnd w:id="177"/>
      <w:bookmarkEnd w:id="178"/>
      <w:r w:rsidRPr="00C35CA8">
        <w:rPr>
          <w:rFonts w:eastAsiaTheme="minorHAnsi"/>
          <w:lang w:eastAsia="en-US"/>
        </w:rPr>
        <w:t>Cieľ</w:t>
      </w:r>
      <w:r w:rsidR="00B94B84" w:rsidRPr="00C35CA8">
        <w:rPr>
          <w:rFonts w:eastAsiaTheme="minorHAnsi"/>
          <w:lang w:eastAsia="en-US"/>
        </w:rPr>
        <w:t>om NP</w:t>
      </w:r>
      <w:r w:rsidR="000A0C57" w:rsidRPr="00C35CA8">
        <w:rPr>
          <w:rFonts w:eastAsiaTheme="minorHAnsi"/>
          <w:lang w:eastAsia="en-US"/>
        </w:rPr>
        <w:t xml:space="preserve"> </w:t>
      </w:r>
      <w:r w:rsidR="00E41A48" w:rsidRPr="00491871">
        <w:rPr>
          <w:rFonts w:eastAsiaTheme="minorHAnsi"/>
          <w:lang w:eastAsia="en-US"/>
        </w:rPr>
        <w:t xml:space="preserve">bolo </w:t>
      </w:r>
      <w:r w:rsidR="000A0C57" w:rsidRPr="00C35CA8">
        <w:rPr>
          <w:rFonts w:eastAsiaTheme="minorHAnsi"/>
          <w:lang w:eastAsia="en-US"/>
        </w:rPr>
        <w:t xml:space="preserve">zlepšiť </w:t>
      </w:r>
      <w:r w:rsidRPr="00C35CA8">
        <w:rPr>
          <w:rFonts w:eastAsiaTheme="minorHAnsi"/>
          <w:lang w:eastAsia="en-US"/>
        </w:rPr>
        <w:t xml:space="preserve">postavenie UoZ na TP, zvýšiť zamestnateľnosť a zamestnanosť UoZ </w:t>
      </w:r>
      <w:r w:rsidR="00B94B84" w:rsidRPr="00C35CA8">
        <w:rPr>
          <w:rFonts w:eastAsiaTheme="minorHAnsi"/>
          <w:lang w:eastAsia="en-US"/>
        </w:rPr>
        <w:t xml:space="preserve">                     </w:t>
      </w:r>
      <w:r w:rsidRPr="00C35CA8">
        <w:rPr>
          <w:rFonts w:eastAsiaTheme="minorHAnsi"/>
          <w:lang w:eastAsia="en-US"/>
        </w:rPr>
        <w:t>a ZUoZ podporou vytvárania PM, znížiť nezamestnanosť, osobitne dlhodobú</w:t>
      </w:r>
      <w:r w:rsidR="00B94B84" w:rsidRPr="00C35CA8">
        <w:rPr>
          <w:rFonts w:eastAsiaTheme="minorHAnsi"/>
          <w:lang w:eastAsia="en-US"/>
        </w:rPr>
        <w:t xml:space="preserve"> nezamestnanosť</w:t>
      </w:r>
      <w:r w:rsidRPr="00C35CA8">
        <w:rPr>
          <w:rFonts w:eastAsiaTheme="minorHAnsi"/>
          <w:lang w:eastAsia="en-US"/>
        </w:rPr>
        <w:t xml:space="preserve"> a podporiť rozvoj miestnej a regionálnej zamestnanosti v najmenej rozvinutých okresoch </w:t>
      </w:r>
      <w:r w:rsidR="00B94B84" w:rsidRPr="00C35CA8">
        <w:rPr>
          <w:rFonts w:eastAsiaTheme="minorHAnsi"/>
          <w:lang w:eastAsia="en-US"/>
        </w:rPr>
        <w:br/>
      </w:r>
      <w:r w:rsidRPr="00C35CA8">
        <w:rPr>
          <w:rFonts w:eastAsiaTheme="minorHAnsi"/>
          <w:lang w:eastAsia="en-US"/>
        </w:rPr>
        <w:t xml:space="preserve">s vysokou </w:t>
      </w:r>
      <w:r w:rsidR="00B94B84" w:rsidRPr="00C35CA8">
        <w:rPr>
          <w:rFonts w:eastAsiaTheme="minorHAnsi"/>
          <w:lang w:eastAsia="en-US"/>
        </w:rPr>
        <w:t>MEN</w:t>
      </w:r>
      <w:r w:rsidRPr="00C35CA8">
        <w:rPr>
          <w:rFonts w:eastAsiaTheme="minorHAnsi"/>
          <w:lang w:eastAsia="en-US"/>
        </w:rPr>
        <w:t xml:space="preserve">. </w:t>
      </w:r>
    </w:p>
    <w:p w14:paraId="764782B5" w14:textId="48EF2713" w:rsidR="00036B1A" w:rsidRPr="00491871" w:rsidRDefault="00036B1A" w:rsidP="00036B1A">
      <w:pPr>
        <w:pStyle w:val="Textkomentra"/>
        <w:rPr>
          <w:rFonts w:eastAsiaTheme="minorHAnsi"/>
          <w:sz w:val="24"/>
          <w:szCs w:val="24"/>
          <w:lang w:eastAsia="en-US"/>
        </w:rPr>
      </w:pPr>
      <w:r w:rsidRPr="00491871">
        <w:rPr>
          <w:rFonts w:eastAsiaTheme="minorHAnsi"/>
          <w:sz w:val="24"/>
          <w:szCs w:val="24"/>
          <w:lang w:eastAsia="en-US"/>
        </w:rPr>
        <w:t xml:space="preserve">V rámci projektu </w:t>
      </w:r>
      <w:r w:rsidR="00E41A48" w:rsidRPr="00491871">
        <w:rPr>
          <w:rFonts w:eastAsiaTheme="minorHAnsi"/>
          <w:sz w:val="24"/>
          <w:szCs w:val="24"/>
          <w:lang w:eastAsia="en-US"/>
        </w:rPr>
        <w:t xml:space="preserve">bolo </w:t>
      </w:r>
      <w:r w:rsidRPr="00491871">
        <w:rPr>
          <w:rFonts w:eastAsiaTheme="minorHAnsi"/>
          <w:sz w:val="24"/>
          <w:szCs w:val="24"/>
          <w:lang w:eastAsia="en-US"/>
        </w:rPr>
        <w:t xml:space="preserve">možné poskytnúť finančný príspevok na území: </w:t>
      </w:r>
    </w:p>
    <w:p w14:paraId="306E4607" w14:textId="77777777" w:rsidR="00036B1A" w:rsidRPr="00C35CA8" w:rsidRDefault="00036B1A" w:rsidP="006C526F">
      <w:pPr>
        <w:pStyle w:val="Textkomentra"/>
        <w:numPr>
          <w:ilvl w:val="0"/>
          <w:numId w:val="17"/>
        </w:numPr>
        <w:spacing w:after="0"/>
        <w:rPr>
          <w:rFonts w:eastAsiaTheme="minorHAnsi"/>
          <w:sz w:val="24"/>
          <w:szCs w:val="24"/>
          <w:lang w:eastAsia="en-US"/>
        </w:rPr>
      </w:pPr>
      <w:r w:rsidRPr="00491871">
        <w:rPr>
          <w:rFonts w:eastAsiaTheme="minorHAnsi"/>
          <w:sz w:val="24"/>
          <w:szCs w:val="24"/>
          <w:lang w:eastAsia="en-US"/>
        </w:rPr>
        <w:t xml:space="preserve">Banskobystrický kraj – okresy Lučenec, </w:t>
      </w:r>
      <w:r w:rsidR="00B94B84" w:rsidRPr="00491871">
        <w:rPr>
          <w:rFonts w:eastAsiaTheme="minorHAnsi"/>
          <w:sz w:val="24"/>
          <w:szCs w:val="24"/>
          <w:lang w:eastAsia="en-US"/>
        </w:rPr>
        <w:t xml:space="preserve">Rimavská Sobota, </w:t>
      </w:r>
      <w:r w:rsidR="00B94B84" w:rsidRPr="00C35CA8">
        <w:rPr>
          <w:rFonts w:eastAsiaTheme="minorHAnsi"/>
          <w:sz w:val="24"/>
          <w:szCs w:val="24"/>
          <w:lang w:eastAsia="en-US"/>
        </w:rPr>
        <w:t>Poltár, Revúca</w:t>
      </w:r>
      <w:r w:rsidRPr="00C35CA8">
        <w:rPr>
          <w:rFonts w:eastAsiaTheme="minorHAnsi"/>
          <w:sz w:val="24"/>
          <w:szCs w:val="24"/>
          <w:lang w:eastAsia="en-US"/>
        </w:rPr>
        <w:t xml:space="preserve"> </w:t>
      </w:r>
    </w:p>
    <w:p w14:paraId="11814028" w14:textId="77777777" w:rsidR="00036B1A" w:rsidRPr="00C35CA8" w:rsidRDefault="00036B1A" w:rsidP="006C526F">
      <w:pPr>
        <w:pStyle w:val="Textkomentra"/>
        <w:numPr>
          <w:ilvl w:val="0"/>
          <w:numId w:val="17"/>
        </w:numPr>
        <w:spacing w:after="0"/>
        <w:rPr>
          <w:rFonts w:eastAsiaTheme="minorHAnsi"/>
          <w:sz w:val="24"/>
          <w:szCs w:val="24"/>
          <w:lang w:eastAsia="en-US"/>
        </w:rPr>
      </w:pPr>
      <w:r w:rsidRPr="00C35CA8">
        <w:rPr>
          <w:rFonts w:eastAsiaTheme="minorHAnsi"/>
          <w:sz w:val="24"/>
          <w:szCs w:val="24"/>
          <w:lang w:eastAsia="en-US"/>
        </w:rPr>
        <w:t>Košický kraj – okresy Rožňava, Sobrance, Trebišov, Gelnica , Košice-okolie, Michalovce</w:t>
      </w:r>
    </w:p>
    <w:p w14:paraId="2686E831" w14:textId="77777777" w:rsidR="00036B1A" w:rsidRPr="00C35CA8" w:rsidRDefault="00036B1A" w:rsidP="006C526F">
      <w:pPr>
        <w:pStyle w:val="Textkomentra"/>
        <w:numPr>
          <w:ilvl w:val="0"/>
          <w:numId w:val="17"/>
        </w:numPr>
        <w:spacing w:after="0"/>
        <w:rPr>
          <w:rFonts w:eastAsiaTheme="minorHAnsi"/>
          <w:sz w:val="24"/>
          <w:szCs w:val="24"/>
          <w:lang w:eastAsia="en-US"/>
        </w:rPr>
      </w:pPr>
      <w:r w:rsidRPr="00C35CA8">
        <w:rPr>
          <w:rFonts w:eastAsiaTheme="minorHAnsi"/>
          <w:sz w:val="24"/>
          <w:szCs w:val="24"/>
          <w:lang w:eastAsia="en-US"/>
        </w:rPr>
        <w:t xml:space="preserve">Prešovský kraj - okresy Kežmarok, Sabinov, Svidník, Vranov nad Topľou, Bardejov, Medzilaborce, Snina, Levoča, Stropkov. </w:t>
      </w:r>
    </w:p>
    <w:p w14:paraId="20867958" w14:textId="0AE6FF08" w:rsidR="00036B1A" w:rsidRPr="00C35CA8" w:rsidRDefault="00036B1A" w:rsidP="00491871">
      <w:pPr>
        <w:pStyle w:val="Textkomentra"/>
        <w:spacing w:after="0"/>
        <w:ind w:firstLine="0"/>
        <w:rPr>
          <w:rFonts w:eastAsiaTheme="minorHAnsi"/>
          <w:sz w:val="24"/>
          <w:szCs w:val="24"/>
          <w:lang w:eastAsia="en-US"/>
        </w:rPr>
      </w:pPr>
      <w:r w:rsidRPr="00C35CA8">
        <w:rPr>
          <w:rFonts w:eastAsiaTheme="minorHAnsi"/>
          <w:sz w:val="24"/>
          <w:szCs w:val="24"/>
          <w:lang w:eastAsia="en-US"/>
        </w:rPr>
        <w:t>V rámci NP sa realizovali tri</w:t>
      </w:r>
      <w:r w:rsidR="000A0C57" w:rsidRPr="00C35CA8">
        <w:rPr>
          <w:rFonts w:eastAsiaTheme="minorHAnsi"/>
          <w:sz w:val="24"/>
          <w:szCs w:val="24"/>
          <w:lang w:eastAsia="en-US"/>
        </w:rPr>
        <w:t xml:space="preserve"> opatrenia:</w:t>
      </w:r>
    </w:p>
    <w:p w14:paraId="61E9DAC4" w14:textId="5DD90D4D" w:rsidR="00036B1A" w:rsidRPr="00C35CA8" w:rsidRDefault="000A0C57" w:rsidP="00036B1A">
      <w:pPr>
        <w:pStyle w:val="Textkomentra"/>
        <w:spacing w:after="0"/>
        <w:ind w:hanging="6"/>
        <w:rPr>
          <w:rFonts w:eastAsiaTheme="minorHAnsi"/>
          <w:sz w:val="24"/>
          <w:szCs w:val="24"/>
          <w:lang w:eastAsia="en-US"/>
        </w:rPr>
      </w:pPr>
      <w:r w:rsidRPr="00C35CA8">
        <w:rPr>
          <w:rFonts w:eastAsiaTheme="minorHAnsi"/>
          <w:sz w:val="24"/>
          <w:szCs w:val="24"/>
          <w:lang w:eastAsia="en-US"/>
        </w:rPr>
        <w:t xml:space="preserve">Opatrenie č. 1: </w:t>
      </w:r>
      <w:r w:rsidR="00036B1A" w:rsidRPr="00C35CA8">
        <w:rPr>
          <w:rFonts w:eastAsiaTheme="minorHAnsi"/>
          <w:sz w:val="24"/>
          <w:szCs w:val="24"/>
          <w:lang w:eastAsia="en-US"/>
        </w:rPr>
        <w:t xml:space="preserve">Podpora vytvárania </w:t>
      </w:r>
      <w:r w:rsidRPr="00C35CA8">
        <w:rPr>
          <w:rFonts w:eastAsiaTheme="minorHAnsi"/>
          <w:sz w:val="24"/>
          <w:szCs w:val="24"/>
          <w:lang w:eastAsia="en-US"/>
        </w:rPr>
        <w:t>PM</w:t>
      </w:r>
      <w:r w:rsidR="00036B1A" w:rsidRPr="00C35CA8">
        <w:rPr>
          <w:rFonts w:eastAsiaTheme="minorHAnsi"/>
          <w:sz w:val="24"/>
          <w:szCs w:val="24"/>
          <w:lang w:eastAsia="en-US"/>
        </w:rPr>
        <w:t xml:space="preserve"> pre UoZ</w:t>
      </w:r>
      <w:r w:rsidR="00AD25F5" w:rsidRPr="00C35CA8">
        <w:rPr>
          <w:rFonts w:eastAsiaTheme="minorHAnsi"/>
          <w:sz w:val="24"/>
          <w:szCs w:val="24"/>
          <w:lang w:eastAsia="en-US"/>
        </w:rPr>
        <w:t>,</w:t>
      </w:r>
      <w:r w:rsidR="00036B1A" w:rsidRPr="00C35CA8">
        <w:rPr>
          <w:rFonts w:eastAsiaTheme="minorHAnsi"/>
          <w:sz w:val="24"/>
          <w:szCs w:val="24"/>
          <w:lang w:eastAsia="en-US"/>
        </w:rPr>
        <w:t xml:space="preserve"> </w:t>
      </w:r>
    </w:p>
    <w:p w14:paraId="637A7B13" w14:textId="2569A684" w:rsidR="00DB4437" w:rsidRPr="00C35CA8" w:rsidRDefault="000A0C57" w:rsidP="00DB4437">
      <w:pPr>
        <w:spacing w:after="0"/>
        <w:ind w:hanging="6"/>
        <w:rPr>
          <w:rFonts w:eastAsiaTheme="minorHAnsi"/>
          <w:lang w:eastAsia="en-US"/>
        </w:rPr>
      </w:pPr>
      <w:r w:rsidRPr="00C35CA8">
        <w:rPr>
          <w:rFonts w:eastAsiaTheme="minorHAnsi"/>
          <w:lang w:eastAsia="en-US"/>
        </w:rPr>
        <w:t xml:space="preserve">Opatrenie č. 2: </w:t>
      </w:r>
      <w:r w:rsidR="00036B1A" w:rsidRPr="00C35CA8">
        <w:rPr>
          <w:rFonts w:eastAsiaTheme="minorHAnsi"/>
          <w:lang w:eastAsia="en-US"/>
        </w:rPr>
        <w:t xml:space="preserve">Podpora vytvárania </w:t>
      </w:r>
      <w:r w:rsidRPr="00C35CA8">
        <w:rPr>
          <w:rFonts w:eastAsiaTheme="minorHAnsi"/>
          <w:lang w:eastAsia="en-US"/>
        </w:rPr>
        <w:t>PM</w:t>
      </w:r>
      <w:r w:rsidR="00036B1A" w:rsidRPr="00C35CA8">
        <w:rPr>
          <w:rFonts w:eastAsiaTheme="minorHAnsi"/>
          <w:lang w:eastAsia="en-US"/>
        </w:rPr>
        <w:t xml:space="preserve"> u verejných zamestnávateľov</w:t>
      </w:r>
      <w:r w:rsidR="00AD25F5" w:rsidRPr="00C35CA8">
        <w:rPr>
          <w:rFonts w:eastAsiaTheme="minorHAnsi"/>
          <w:lang w:eastAsia="en-US"/>
        </w:rPr>
        <w:t>,</w:t>
      </w:r>
      <w:r w:rsidR="00DB4437" w:rsidRPr="00C35CA8">
        <w:rPr>
          <w:rFonts w:eastAsiaTheme="minorHAnsi"/>
          <w:lang w:eastAsia="en-US"/>
        </w:rPr>
        <w:t xml:space="preserve"> </w:t>
      </w:r>
    </w:p>
    <w:p w14:paraId="6CD07AFD" w14:textId="0350A6CF" w:rsidR="00C00D6B" w:rsidRPr="00C35CA8" w:rsidRDefault="000A0C57" w:rsidP="00DB4437">
      <w:pPr>
        <w:spacing w:after="0"/>
        <w:ind w:hanging="6"/>
        <w:rPr>
          <w:rFonts w:eastAsiaTheme="minorHAnsi"/>
          <w:lang w:eastAsia="en-US"/>
        </w:rPr>
      </w:pPr>
      <w:r w:rsidRPr="00C35CA8">
        <w:rPr>
          <w:rFonts w:eastAsiaTheme="minorHAnsi"/>
          <w:lang w:eastAsia="en-US"/>
        </w:rPr>
        <w:t xml:space="preserve">Opatrenie č. 3: </w:t>
      </w:r>
      <w:r w:rsidR="00036B1A" w:rsidRPr="00C35CA8">
        <w:rPr>
          <w:rFonts w:eastAsiaTheme="minorHAnsi"/>
          <w:lang w:eastAsia="en-US"/>
        </w:rPr>
        <w:t>Poskytovanie finančného príspevku na dochádzanie za prácou</w:t>
      </w:r>
      <w:r w:rsidR="00AD25F5" w:rsidRPr="00C35CA8">
        <w:rPr>
          <w:rFonts w:eastAsiaTheme="minorHAnsi"/>
          <w:lang w:eastAsia="en-US"/>
        </w:rPr>
        <w:t>.</w:t>
      </w:r>
    </w:p>
    <w:p w14:paraId="150B3C1E" w14:textId="77777777" w:rsidR="00C00D6B" w:rsidRPr="00C35CA8" w:rsidRDefault="00C00D6B" w:rsidP="00DB4437">
      <w:pPr>
        <w:pStyle w:val="Textkomentra"/>
        <w:spacing w:before="120" w:after="0"/>
        <w:ind w:hanging="6"/>
        <w:rPr>
          <w:rFonts w:eastAsiaTheme="minorHAnsi"/>
          <w:b/>
          <w:sz w:val="24"/>
          <w:szCs w:val="24"/>
          <w:lang w:eastAsia="en-US"/>
        </w:rPr>
      </w:pPr>
      <w:r w:rsidRPr="00C35CA8">
        <w:rPr>
          <w:rFonts w:eastAsiaTheme="minorHAnsi"/>
          <w:b/>
          <w:sz w:val="24"/>
          <w:szCs w:val="24"/>
          <w:lang w:eastAsia="en-US"/>
        </w:rPr>
        <w:t xml:space="preserve">Opatrenie č. 1 Podpora vytvárania PM pre UoZ </w:t>
      </w:r>
    </w:p>
    <w:p w14:paraId="6B0DF648" w14:textId="174F2762" w:rsidR="00C00D6B" w:rsidRPr="00C35CA8" w:rsidRDefault="00CA36D1" w:rsidP="00D70C7F">
      <w:pPr>
        <w:pStyle w:val="Textkomentra"/>
        <w:spacing w:after="0"/>
        <w:ind w:hanging="6"/>
        <w:rPr>
          <w:rFonts w:eastAsiaTheme="minorHAnsi"/>
          <w:sz w:val="24"/>
          <w:szCs w:val="24"/>
          <w:lang w:eastAsia="en-US"/>
        </w:rPr>
      </w:pPr>
      <w:r>
        <w:rPr>
          <w:rFonts w:eastAsiaTheme="minorHAnsi"/>
          <w:sz w:val="24"/>
          <w:szCs w:val="24"/>
          <w:lang w:eastAsia="en-US"/>
        </w:rPr>
        <w:t>Záväzkovanie bolo s</w:t>
      </w:r>
      <w:r w:rsidR="00C00D6B" w:rsidRPr="00C35CA8">
        <w:rPr>
          <w:rFonts w:eastAsiaTheme="minorHAnsi"/>
          <w:sz w:val="24"/>
          <w:szCs w:val="24"/>
          <w:lang w:eastAsia="en-US"/>
        </w:rPr>
        <w:t xml:space="preserve">končené v roku 2021. </w:t>
      </w:r>
    </w:p>
    <w:p w14:paraId="11AE0884" w14:textId="6F09CC53" w:rsidR="00AA74F4" w:rsidRDefault="00AA74F4" w:rsidP="00C00D6B">
      <w:pPr>
        <w:spacing w:before="120" w:after="0"/>
        <w:rPr>
          <w:rFonts w:eastAsiaTheme="minorHAnsi"/>
          <w:b/>
          <w:lang w:eastAsia="en-US"/>
        </w:rPr>
      </w:pPr>
      <w:r w:rsidRPr="00C35CA8">
        <w:rPr>
          <w:rFonts w:eastAsiaTheme="minorHAnsi"/>
          <w:b/>
          <w:lang w:eastAsia="en-US"/>
        </w:rPr>
        <w:t>Opatrenie č. 2 Podpora vytvárania PM u verejných zamestnávateľov</w:t>
      </w:r>
    </w:p>
    <w:p w14:paraId="3F3192DA" w14:textId="7F224E6C" w:rsidR="000E32E8" w:rsidRPr="0049393E" w:rsidRDefault="000E32E8" w:rsidP="000E32E8">
      <w:pPr>
        <w:spacing w:after="0"/>
        <w:ind w:firstLine="0"/>
        <w:textAlignment w:val="baseline"/>
        <w:rPr>
          <w:rFonts w:cs="Segoe UI"/>
        </w:rPr>
      </w:pPr>
      <w:r w:rsidRPr="000E32E8">
        <w:rPr>
          <w:rFonts w:cs="Calibri"/>
        </w:rPr>
        <w:t xml:space="preserve">V rámci opatrenia išlo o poskytovanie finančného príspevku verejnému zamestnávateľovi na podporu vytvorenia pracovného miesta, počas 3 až 9 mesiacov pri uzatvorení pracovného pomeru na dobu určitú a na dobu 3 až 12 mesiacov pri uzatvorení pracovného pomeru na dobu neurčitú. Za vytvorenie pracovného miesta sa považuje uzatvorenie pracovného pomeru minimálne na dobu 3 mesiace. V roku 2023 bolo do tohto opatrenia zaradených 310 UoZ, čerpanie finančných prostriedkov bolo vo výške 1 423 127,73 </w:t>
      </w:r>
      <w:r w:rsidR="00AB2CA5">
        <w:rPr>
          <w:rFonts w:cs="Calibri"/>
        </w:rPr>
        <w:t>eur</w:t>
      </w:r>
      <w:r w:rsidRPr="000E32E8">
        <w:rPr>
          <w:rFonts w:cs="Calibri"/>
        </w:rPr>
        <w:t>.</w:t>
      </w:r>
      <w:r w:rsidRPr="0049393E">
        <w:rPr>
          <w:rFonts w:cs="Calibri"/>
        </w:rPr>
        <w:t> </w:t>
      </w:r>
    </w:p>
    <w:p w14:paraId="4E02BF26" w14:textId="77777777" w:rsidR="00AA74F4" w:rsidRPr="00C35CA8" w:rsidRDefault="00AA74F4" w:rsidP="000C3F05">
      <w:pPr>
        <w:autoSpaceDE w:val="0"/>
        <w:autoSpaceDN w:val="0"/>
        <w:adjustRightInd w:val="0"/>
        <w:spacing w:before="240" w:after="120"/>
        <w:ind w:firstLine="0"/>
        <w:rPr>
          <w:b/>
        </w:rPr>
      </w:pPr>
      <w:r w:rsidRPr="00C35CA8">
        <w:rPr>
          <w:b/>
        </w:rPr>
        <w:t xml:space="preserve">Opatrenie č. 3 Poskytovanie finančného príspevku na dochádzanie za prácou </w:t>
      </w:r>
    </w:p>
    <w:p w14:paraId="0B756A69" w14:textId="77777777" w:rsidR="000E32E8" w:rsidRPr="000E32E8" w:rsidRDefault="000E32E8" w:rsidP="000E32E8">
      <w:pPr>
        <w:autoSpaceDE w:val="0"/>
        <w:autoSpaceDN w:val="0"/>
        <w:adjustRightInd w:val="0"/>
        <w:spacing w:after="0"/>
        <w:ind w:hanging="6"/>
        <w:rPr>
          <w:rFonts w:eastAsiaTheme="minorHAnsi"/>
          <w:lang w:eastAsia="en-US"/>
        </w:rPr>
      </w:pPr>
      <w:r w:rsidRPr="000E32E8">
        <w:rPr>
          <w:rFonts w:eastAsiaTheme="minorHAnsi"/>
          <w:lang w:eastAsia="en-US"/>
        </w:rPr>
        <w:t>V rámci tohto opatrenia bol poskytovaný finančný príspevok žiadateľovi, ktorý bol UoZ/ZUoZ                 a ktorý bol vyradený z evidencie UoZ z dôvodu uvedeného v § 36 ods. 1 písm. a) zákona                             o službách zamestnanosti a ktorý dochádza z miesta trvalého pobytu alebo z miesta prechodného pobytu do miesta výkonu zamestnania uvedeného v pracovnej zmluve, na úhradu časti cestovných výdavkov na dochádzanie za prácou. Finančný príspevok sa poskytoval najviac po dobu 12 po sebe nasledujúcich mesiacov.</w:t>
      </w:r>
    </w:p>
    <w:p w14:paraId="327FF7D7" w14:textId="7B6DE197" w:rsidR="000E32E8" w:rsidRPr="0049393E" w:rsidRDefault="000E32E8" w:rsidP="000326FA">
      <w:pPr>
        <w:spacing w:before="120" w:after="0"/>
        <w:ind w:firstLine="0"/>
        <w:textAlignment w:val="baseline"/>
        <w:rPr>
          <w:rFonts w:cs="Segoe UI"/>
        </w:rPr>
      </w:pPr>
      <w:r w:rsidRPr="000E32E8">
        <w:rPr>
          <w:rFonts w:cs="Calibri"/>
        </w:rPr>
        <w:t xml:space="preserve">V roku 2023 bolo do tohto opatrenia zaradených 31 UoZ a čerpanie finančných prostriedkov bolo vo výške 243 256,80 </w:t>
      </w:r>
      <w:r w:rsidR="00AB2CA5">
        <w:rPr>
          <w:rFonts w:cs="Calibri"/>
        </w:rPr>
        <w:t>eur</w:t>
      </w:r>
      <w:r w:rsidRPr="000E32E8">
        <w:rPr>
          <w:rFonts w:cs="Calibri"/>
        </w:rPr>
        <w:t>.</w:t>
      </w:r>
      <w:r w:rsidRPr="0049393E">
        <w:rPr>
          <w:rFonts w:cs="Calibri"/>
        </w:rPr>
        <w:t> </w:t>
      </w:r>
    </w:p>
    <w:p w14:paraId="74F31DAC" w14:textId="5A25E02D" w:rsidR="00EC01F0" w:rsidRPr="00C35CA8" w:rsidRDefault="001E33D5" w:rsidP="003E6FCA">
      <w:pPr>
        <w:pStyle w:val="Nadpis30"/>
        <w:tabs>
          <w:tab w:val="left" w:pos="567"/>
        </w:tabs>
        <w:spacing w:before="240" w:after="120"/>
        <w:ind w:hanging="6"/>
      </w:pPr>
      <w:bookmarkStart w:id="182" w:name="_Toc173741577"/>
      <w:bookmarkStart w:id="183" w:name="_Hlk103538933"/>
      <w:r w:rsidRPr="001F13A2">
        <w:t>6</w:t>
      </w:r>
      <w:r w:rsidR="00EC01F0" w:rsidRPr="001F13A2">
        <w:t>.2.</w:t>
      </w:r>
      <w:r w:rsidR="003A4A96" w:rsidRPr="001F13A2">
        <w:t>3</w:t>
      </w:r>
      <w:r w:rsidR="00EC01F0" w:rsidRPr="001F13A2">
        <w:tab/>
        <w:t xml:space="preserve"> </w:t>
      </w:r>
      <w:r w:rsidR="00CB73DD" w:rsidRPr="001F13A2">
        <w:t>Národný projekt „Individualizované</w:t>
      </w:r>
      <w:r w:rsidR="00CB73DD" w:rsidRPr="00CB73DD">
        <w:t xml:space="preserve"> poradenstvo pre znevýhodnených UoZ”</w:t>
      </w:r>
      <w:bookmarkEnd w:id="182"/>
    </w:p>
    <w:p w14:paraId="3BE4ECEE" w14:textId="7166483A" w:rsidR="000326FA" w:rsidRDefault="000326FA" w:rsidP="000326FA">
      <w:pPr>
        <w:spacing w:before="120" w:after="0"/>
        <w:ind w:hanging="6"/>
      </w:pPr>
      <w:bookmarkStart w:id="184" w:name="_Toc515876455"/>
      <w:bookmarkStart w:id="185" w:name="_Toc37094650"/>
      <w:bookmarkEnd w:id="179"/>
      <w:bookmarkEnd w:id="180"/>
      <w:bookmarkEnd w:id="181"/>
      <w:bookmarkEnd w:id="183"/>
      <w:r>
        <w:rPr>
          <w:color w:val="00000A"/>
        </w:rPr>
        <w:t xml:space="preserve">NP sa realizoval </w:t>
      </w:r>
      <w:r>
        <w:t>od 1.</w:t>
      </w:r>
      <w:r w:rsidR="00D70C7F">
        <w:t xml:space="preserve"> </w:t>
      </w:r>
      <w:r>
        <w:t>2.</w:t>
      </w:r>
      <w:r w:rsidR="003D0407">
        <w:t xml:space="preserve"> </w:t>
      </w:r>
      <w:r>
        <w:t>2022 a bol ukončený 31.</w:t>
      </w:r>
      <w:r w:rsidR="003D0407">
        <w:t xml:space="preserve"> </w:t>
      </w:r>
      <w:r>
        <w:t>12.</w:t>
      </w:r>
      <w:r w:rsidR="003D0407">
        <w:t xml:space="preserve"> </w:t>
      </w:r>
      <w:r>
        <w:t>2023. Realizoval sa na celom území SR.</w:t>
      </w:r>
    </w:p>
    <w:p w14:paraId="586238E2" w14:textId="77777777" w:rsidR="000326FA" w:rsidRDefault="000326FA" w:rsidP="000326FA">
      <w:pPr>
        <w:spacing w:before="120" w:after="0"/>
        <w:ind w:hanging="6"/>
        <w:rPr>
          <w:color w:val="00000A"/>
        </w:rPr>
      </w:pPr>
      <w:r>
        <w:rPr>
          <w:color w:val="00000A"/>
        </w:rPr>
        <w:t>Hlavnou aktivitou NP bolo poskytovanie individualizovaného poradenstva pre znevýhodnených UoZ. Cieľovou skupinou boli ZUoZ podľa § 8 ods.1 zákona o službách zamestnanosti.</w:t>
      </w:r>
      <w:r>
        <w:t xml:space="preserve"> NP sa realizoval na celom území SR.</w:t>
      </w:r>
    </w:p>
    <w:p w14:paraId="4B2D0873" w14:textId="77777777" w:rsidR="000326FA" w:rsidRDefault="000326FA" w:rsidP="000326FA">
      <w:pPr>
        <w:spacing w:before="120" w:after="0"/>
        <w:ind w:hanging="6"/>
      </w:pPr>
      <w:r>
        <w:t xml:space="preserve">NP Individualizované poradenstvo pre ZUoZ (ďalej len „NP IP pre ZUoZ“) bol poradenský program realizovaný projektovými odbornými poradcami, ktorý  bol zameraný na podporu ZUoZ  pri zvyšovaní ich konkurencieschopnosti na TP a zvyšovaní ich zamestnateľnosti prostredníctvom rozvoja tzv. mäkkých faktorov zamestnateľnosti, ktorými sú kompetencie pre integráciu na TP/zručnosti pre riadenie vlastnej kariéry. Poradenský proces pozostával z individuálnych a skupinových poradenských aktivít zameraných na posúdenie silných a slabých stránok ZUoZ, na identifikáciu bariér a vypracovanie krokov potrebných pre priblíženie, resp. uplatnenie sa na TP. Do obsahu poradenských aktivít bolo v prípade potreby možné zahrnúť aj hodnotenie digitálnych zručností ZUoZ.  </w:t>
      </w:r>
    </w:p>
    <w:p w14:paraId="19A9EF28" w14:textId="693D5232" w:rsidR="000326FA" w:rsidRDefault="001F13A2" w:rsidP="000326FA">
      <w:pPr>
        <w:spacing w:before="120" w:after="0"/>
        <w:rPr>
          <w:rFonts w:eastAsia="Calibri"/>
        </w:rPr>
      </w:pPr>
      <w:r>
        <w:rPr>
          <w:rFonts w:eastAsia="Calibri"/>
        </w:rPr>
        <w:lastRenderedPageBreak/>
        <w:t xml:space="preserve">Od </w:t>
      </w:r>
      <w:r w:rsidR="000326FA" w:rsidRPr="003867C6">
        <w:rPr>
          <w:rFonts w:eastAsia="Calibri"/>
        </w:rPr>
        <w:t>1.</w:t>
      </w:r>
      <w:r>
        <w:rPr>
          <w:rFonts w:eastAsia="Calibri"/>
        </w:rPr>
        <w:t xml:space="preserve"> </w:t>
      </w:r>
      <w:r w:rsidR="000326FA" w:rsidRPr="003867C6">
        <w:rPr>
          <w:rFonts w:eastAsia="Calibri"/>
        </w:rPr>
        <w:t>1.</w:t>
      </w:r>
      <w:r>
        <w:rPr>
          <w:rFonts w:eastAsia="Calibri"/>
        </w:rPr>
        <w:t xml:space="preserve"> </w:t>
      </w:r>
      <w:r w:rsidR="000326FA" w:rsidRPr="003867C6">
        <w:rPr>
          <w:rFonts w:eastAsia="Calibri"/>
        </w:rPr>
        <w:t>2023 do 31.</w:t>
      </w:r>
      <w:r>
        <w:rPr>
          <w:rFonts w:eastAsia="Calibri"/>
        </w:rPr>
        <w:t xml:space="preserve"> </w:t>
      </w:r>
      <w:r w:rsidR="000326FA" w:rsidRPr="003867C6">
        <w:rPr>
          <w:rFonts w:eastAsia="Calibri"/>
        </w:rPr>
        <w:t>12.</w:t>
      </w:r>
      <w:r>
        <w:rPr>
          <w:rFonts w:eastAsia="Calibri"/>
        </w:rPr>
        <w:t xml:space="preserve"> </w:t>
      </w:r>
      <w:r w:rsidR="000326FA" w:rsidRPr="003867C6">
        <w:rPr>
          <w:rFonts w:eastAsia="Calibri"/>
        </w:rPr>
        <w:t>2023 bol poradenský program poskytnutý 12 002 ZUoZ</w:t>
      </w:r>
      <w:r w:rsidR="000326FA">
        <w:rPr>
          <w:rFonts w:eastAsia="Calibri"/>
        </w:rPr>
        <w:t>, pričom</w:t>
      </w:r>
      <w:r w:rsidR="000326FA" w:rsidRPr="002327D5">
        <w:t xml:space="preserve"> </w:t>
      </w:r>
      <w:r w:rsidR="000326FA" w:rsidRPr="003867C6">
        <w:t>211 ZUoZ bol</w:t>
      </w:r>
      <w:r w:rsidR="000326FA">
        <w:t>a</w:t>
      </w:r>
      <w:r w:rsidR="000326FA" w:rsidRPr="003867C6">
        <w:t xml:space="preserve"> </w:t>
      </w:r>
      <w:r w:rsidR="000326FA">
        <w:t xml:space="preserve">v rámci poradenského procesu </w:t>
      </w:r>
      <w:r w:rsidR="000326FA" w:rsidRPr="003867C6">
        <w:t>poskytnut</w:t>
      </w:r>
      <w:r w:rsidR="000326FA">
        <w:t>á špecifická poradenská aktivita</w:t>
      </w:r>
      <w:r w:rsidR="000326FA" w:rsidRPr="003867C6">
        <w:rPr>
          <w:rFonts w:eastAsia="Calibri"/>
        </w:rPr>
        <w:t xml:space="preserve"> </w:t>
      </w:r>
      <w:r w:rsidR="000326FA" w:rsidRPr="003867C6">
        <w:t>Hodnotenie digitálnych zručností</w:t>
      </w:r>
      <w:r w:rsidR="000326FA" w:rsidRPr="003867C6">
        <w:rPr>
          <w:rFonts w:eastAsia="Calibri"/>
        </w:rPr>
        <w:t xml:space="preserve">. </w:t>
      </w:r>
    </w:p>
    <w:p w14:paraId="28567F08" w14:textId="0DADFC1C" w:rsidR="000326FA" w:rsidRPr="001515E8" w:rsidRDefault="000326FA" w:rsidP="001F13A2">
      <w:pPr>
        <w:spacing w:before="120" w:after="0"/>
        <w:ind w:hanging="6"/>
      </w:pPr>
      <w:r>
        <w:t>Z celkového počtu ZUoZ, ktorým bol v roku 2023 poradenský program poskytnutý v rámci tohto projektu, bolo 7 653 žien (63,76 %) a 4 349 mužov (36,24 %). Najpočetnejšou skupinou z pohľadu veku bola skupina ZUoZ vo veku od 30 do 49 rokov v celkovom počte 5 926 ZUoZ (49,38 %). Druhou najpočetnejšou skupinou ZUoZ z pohľadu veku, ktorým boli poradenské služby poskytnuté, boli ZUoZ vo veku 50 a viac rokov – 3 </w:t>
      </w:r>
      <w:r w:rsidRPr="00772B40">
        <w:t>437</w:t>
      </w:r>
      <w:r>
        <w:t xml:space="preserve"> </w:t>
      </w:r>
      <w:r w:rsidRPr="00772B40">
        <w:t>klientov (28,64</w:t>
      </w:r>
      <w:r>
        <w:t xml:space="preserve"> %). Medzi najviac zastúpených ZUoZ patrila skupina dlhodobo nezamestnaných občanov (8 693 ZUoZ, t. j. 72,43 %), za nimi nasledovali občania, ktorí nemali pravidelne platené zamestnanie (8 103 ZUoZ, t. j. 67,51 %) a občania s nižším vzdelaním ako stredné odborné (4 235 ZUoZ, t. j. 35,29 %). Štruktúra znevýhodnení je uvedená </w:t>
      </w:r>
      <w:r w:rsidR="001F13A2">
        <w:t>v nasledujúcom grafe.</w:t>
      </w:r>
    </w:p>
    <w:p w14:paraId="1954288E" w14:textId="77777777" w:rsidR="000326FA" w:rsidRDefault="000326FA" w:rsidP="000326FA">
      <w:pPr>
        <w:spacing w:before="120" w:after="60"/>
        <w:ind w:left="714" w:hanging="714"/>
        <w:rPr>
          <w:sz w:val="20"/>
          <w:szCs w:val="20"/>
        </w:rPr>
      </w:pPr>
      <w:r>
        <w:rPr>
          <w:noProof/>
        </w:rPr>
        <w:drawing>
          <wp:inline distT="0" distB="0" distL="0" distR="0" wp14:anchorId="3659D5AE" wp14:editId="2A01FE6F">
            <wp:extent cx="5836258" cy="3102610"/>
            <wp:effectExtent l="0" t="0" r="12700" b="2540"/>
            <wp:docPr id="224" name="Graf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475755" w14:textId="77777777" w:rsidR="000326FA" w:rsidRDefault="000326FA" w:rsidP="000326FA">
      <w:pPr>
        <w:spacing w:after="0"/>
        <w:ind w:firstLine="0"/>
        <w:rPr>
          <w:bCs/>
        </w:rPr>
      </w:pPr>
      <w:r w:rsidRPr="001515E8">
        <w:rPr>
          <w:bCs/>
        </w:rPr>
        <w:t xml:space="preserve">Na účely hodnotenia kvality poskytovania projektových OPS sa </w:t>
      </w:r>
      <w:r>
        <w:rPr>
          <w:bCs/>
        </w:rPr>
        <w:t xml:space="preserve">obdobne ako pri neprojektových OPS </w:t>
      </w:r>
      <w:r w:rsidRPr="001515E8">
        <w:rPr>
          <w:bCs/>
        </w:rPr>
        <w:t>využíva</w:t>
      </w:r>
      <w:r w:rsidRPr="004D71A4">
        <w:rPr>
          <w:b/>
          <w:bCs/>
        </w:rPr>
        <w:t xml:space="preserve"> Analýza situácie UoZ</w:t>
      </w:r>
      <w:r>
        <w:rPr>
          <w:b/>
          <w:bCs/>
        </w:rPr>
        <w:t>.</w:t>
      </w:r>
      <w:r w:rsidRPr="004D71A4">
        <w:rPr>
          <w:bCs/>
        </w:rPr>
        <w:t xml:space="preserve"> Odborný poradca monitoruje úroveň zručností UoZ pre riadenie vlastnej kariéry pred vstupom do a po skončení </w:t>
      </w:r>
      <w:r>
        <w:rPr>
          <w:bCs/>
        </w:rPr>
        <w:t xml:space="preserve">projektových </w:t>
      </w:r>
      <w:r w:rsidRPr="004D71A4">
        <w:rPr>
          <w:bCs/>
        </w:rPr>
        <w:t>OPS</w:t>
      </w:r>
      <w:r>
        <w:rPr>
          <w:bCs/>
        </w:rPr>
        <w:t xml:space="preserve">, pričom </w:t>
      </w:r>
      <w:r w:rsidRPr="001F4A14">
        <w:rPr>
          <w:bCs/>
        </w:rPr>
        <w:t>každý UoZ</w:t>
      </w:r>
      <w:r>
        <w:rPr>
          <w:b/>
          <w:bCs/>
        </w:rPr>
        <w:t xml:space="preserve"> </w:t>
      </w:r>
      <w:r>
        <w:rPr>
          <w:bCs/>
        </w:rPr>
        <w:t>môže pri vstupe aj výstupe získať 16 bodov z 16 posudzovaných položiek. Kompletná a</w:t>
      </w:r>
      <w:r w:rsidRPr="001515E8">
        <w:rPr>
          <w:bCs/>
        </w:rPr>
        <w:t>nalýza situácie UoZ</w:t>
      </w:r>
      <w:r>
        <w:rPr>
          <w:bCs/>
        </w:rPr>
        <w:t>, t. j. obsahujúca vstupné aj výstupné údaje,</w:t>
      </w:r>
      <w:r w:rsidRPr="004D71A4">
        <w:rPr>
          <w:b/>
          <w:bCs/>
        </w:rPr>
        <w:t xml:space="preserve"> </w:t>
      </w:r>
      <w:r w:rsidRPr="001515E8">
        <w:rPr>
          <w:bCs/>
        </w:rPr>
        <w:t xml:space="preserve">bola </w:t>
      </w:r>
      <w:r>
        <w:rPr>
          <w:bCs/>
        </w:rPr>
        <w:t xml:space="preserve">v roku 2023 </w:t>
      </w:r>
      <w:r w:rsidRPr="001515E8">
        <w:rPr>
          <w:bCs/>
        </w:rPr>
        <w:t xml:space="preserve">vypracovaná pre </w:t>
      </w:r>
      <w:r w:rsidRPr="000743AB">
        <w:rPr>
          <w:bCs/>
        </w:rPr>
        <w:t>5</w:t>
      </w:r>
      <w:r>
        <w:rPr>
          <w:bCs/>
        </w:rPr>
        <w:t> </w:t>
      </w:r>
      <w:r w:rsidRPr="000743AB">
        <w:rPr>
          <w:bCs/>
        </w:rPr>
        <w:t>986</w:t>
      </w:r>
      <w:r>
        <w:rPr>
          <w:bCs/>
        </w:rPr>
        <w:t xml:space="preserve"> </w:t>
      </w:r>
      <w:r w:rsidRPr="001515E8">
        <w:rPr>
          <w:bCs/>
        </w:rPr>
        <w:t>UoZ</w:t>
      </w:r>
      <w:r>
        <w:rPr>
          <w:bCs/>
        </w:rPr>
        <w:t xml:space="preserve"> zaradených do NP IP pre ZUoZ</w:t>
      </w:r>
      <w:r w:rsidRPr="001515E8">
        <w:rPr>
          <w:bCs/>
        </w:rPr>
        <w:t>.</w:t>
      </w:r>
      <w:r w:rsidRPr="00FF6328">
        <w:t xml:space="preserve"> </w:t>
      </w:r>
      <w:r>
        <w:t xml:space="preserve">Všetkých </w:t>
      </w:r>
      <w:r w:rsidRPr="000743AB">
        <w:rPr>
          <w:bCs/>
        </w:rPr>
        <w:t>5</w:t>
      </w:r>
      <w:r>
        <w:rPr>
          <w:bCs/>
        </w:rPr>
        <w:t> </w:t>
      </w:r>
      <w:r w:rsidRPr="000743AB">
        <w:rPr>
          <w:bCs/>
        </w:rPr>
        <w:t>986</w:t>
      </w:r>
      <w:r>
        <w:rPr>
          <w:bCs/>
        </w:rPr>
        <w:t xml:space="preserve"> </w:t>
      </w:r>
      <w:r>
        <w:t xml:space="preserve">UoZ pri vstupe do projektových OPS získalo spolu </w:t>
      </w:r>
      <w:r w:rsidRPr="00894039">
        <w:t>39</w:t>
      </w:r>
      <w:r>
        <w:t> </w:t>
      </w:r>
      <w:r w:rsidRPr="00894039">
        <w:t>788</w:t>
      </w:r>
      <w:r>
        <w:t xml:space="preserve"> bodov z </w:t>
      </w:r>
      <w:r w:rsidRPr="00E7344C">
        <w:t>95</w:t>
      </w:r>
      <w:r>
        <w:t> </w:t>
      </w:r>
      <w:r w:rsidRPr="00E7344C">
        <w:t>776</w:t>
      </w:r>
      <w:r>
        <w:t xml:space="preserve"> možných bodov,</w:t>
      </w:r>
      <w:r w:rsidRPr="00D72A2C">
        <w:t xml:space="preserve"> </w:t>
      </w:r>
      <w:r>
        <w:t>čo znamená, že</w:t>
      </w:r>
      <w:r w:rsidRPr="00D72A2C">
        <w:t xml:space="preserve"> </w:t>
      </w:r>
      <w:r>
        <w:t>c</w:t>
      </w:r>
      <w:r w:rsidRPr="00D72A2C">
        <w:t>elková úroveň zručností pre riadenie vlastnej kariéry u sledovaných UoZ</w:t>
      </w:r>
      <w:r>
        <w:t xml:space="preserve"> </w:t>
      </w:r>
      <w:r w:rsidRPr="00D72A2C">
        <w:t>bol</w:t>
      </w:r>
      <w:r>
        <w:t>a</w:t>
      </w:r>
      <w:r w:rsidRPr="00D72A2C">
        <w:t xml:space="preserve"> </w:t>
      </w:r>
      <w:r>
        <w:t>na začiatku poradenského procesu</w:t>
      </w:r>
      <w:r w:rsidRPr="00D72A2C">
        <w:t xml:space="preserve"> </w:t>
      </w:r>
      <w:r>
        <w:t>na úrovni v priemere 41,54 </w:t>
      </w:r>
      <w:r w:rsidRPr="007F7A9E">
        <w:t>%</w:t>
      </w:r>
      <w:r>
        <w:t xml:space="preserve">. Po skončení poradenského procesu týchto </w:t>
      </w:r>
      <w:r w:rsidRPr="000743AB">
        <w:rPr>
          <w:bCs/>
        </w:rPr>
        <w:t>5</w:t>
      </w:r>
      <w:r>
        <w:rPr>
          <w:bCs/>
        </w:rPr>
        <w:t> </w:t>
      </w:r>
      <w:r w:rsidRPr="000743AB">
        <w:rPr>
          <w:bCs/>
        </w:rPr>
        <w:t>986</w:t>
      </w:r>
      <w:r>
        <w:rPr>
          <w:bCs/>
        </w:rPr>
        <w:t xml:space="preserve"> </w:t>
      </w:r>
      <w:r>
        <w:t xml:space="preserve">UoZ získalo spolu </w:t>
      </w:r>
      <w:r w:rsidRPr="00E7344C">
        <w:t>72</w:t>
      </w:r>
      <w:r>
        <w:t> </w:t>
      </w:r>
      <w:r w:rsidRPr="00E7344C">
        <w:t>127</w:t>
      </w:r>
      <w:r>
        <w:t xml:space="preserve"> bodov, čo predstavuje nárast o </w:t>
      </w:r>
      <w:r w:rsidRPr="00E7344C">
        <w:t>32</w:t>
      </w:r>
      <w:r>
        <w:t> </w:t>
      </w:r>
      <w:r w:rsidRPr="00E7344C">
        <w:t>339</w:t>
      </w:r>
      <w:r>
        <w:t xml:space="preserve"> bodov, takže celková úroveň </w:t>
      </w:r>
      <w:r w:rsidRPr="00D72A2C">
        <w:t>zručností pre riadenie vlastnej kariéry u sledovaných UoZ</w:t>
      </w:r>
      <w:r>
        <w:t xml:space="preserve"> na konci poradenského procesu</w:t>
      </w:r>
      <w:r w:rsidRPr="00D72A2C">
        <w:t xml:space="preserve"> </w:t>
      </w:r>
      <w:r>
        <w:t>vzrástla o 33,77 % – na úroveň v priemere</w:t>
      </w:r>
      <w:r w:rsidRPr="00D72A2C">
        <w:t xml:space="preserve"> </w:t>
      </w:r>
      <w:r>
        <w:t>75,31 %.</w:t>
      </w:r>
    </w:p>
    <w:p w14:paraId="2BEE4EDE" w14:textId="77777777" w:rsidR="000326FA" w:rsidRDefault="000326FA" w:rsidP="000326FA">
      <w:pPr>
        <w:spacing w:before="120" w:after="0"/>
        <w:ind w:firstLine="0"/>
        <w:rPr>
          <w:bCs/>
        </w:rPr>
      </w:pPr>
      <w:r>
        <w:rPr>
          <w:bCs/>
        </w:rPr>
        <w:t xml:space="preserve">Pri porovnaní vstupných a výstupných údajov sme z celkového počtu </w:t>
      </w:r>
      <w:r w:rsidRPr="000743AB">
        <w:rPr>
          <w:bCs/>
        </w:rPr>
        <w:t>5</w:t>
      </w:r>
      <w:r>
        <w:rPr>
          <w:bCs/>
        </w:rPr>
        <w:t> </w:t>
      </w:r>
      <w:r w:rsidRPr="000743AB">
        <w:rPr>
          <w:bCs/>
        </w:rPr>
        <w:t>986</w:t>
      </w:r>
      <w:r>
        <w:rPr>
          <w:bCs/>
        </w:rPr>
        <w:t xml:space="preserve"> vypracovaných analýz v rámci NP IP pre ZUoZ zaznamenali najvyšší posun úrovne zručností UoZ v týchto konkrétnych položkách:</w:t>
      </w:r>
    </w:p>
    <w:p w14:paraId="70545F35" w14:textId="77777777" w:rsidR="000326FA" w:rsidRPr="000326FA" w:rsidRDefault="000326FA" w:rsidP="000326FA">
      <w:pPr>
        <w:pStyle w:val="Odsekzoznamu"/>
        <w:numPr>
          <w:ilvl w:val="0"/>
          <w:numId w:val="32"/>
        </w:numPr>
        <w:spacing w:before="0" w:after="0"/>
        <w:ind w:left="357" w:hanging="357"/>
        <w:rPr>
          <w:bCs/>
        </w:rPr>
      </w:pPr>
      <w:r w:rsidRPr="000326FA">
        <w:rPr>
          <w:bCs/>
        </w:rPr>
        <w:t>Vie, čo musí urobiť pre to, aby sa zamestnal (akčný plán) – nárast o 59,51 %,</w:t>
      </w:r>
    </w:p>
    <w:p w14:paraId="6FD555CF" w14:textId="77777777" w:rsidR="000326FA" w:rsidRPr="000326FA" w:rsidRDefault="000326FA" w:rsidP="000326FA">
      <w:pPr>
        <w:pStyle w:val="Odsekzoznamu"/>
        <w:numPr>
          <w:ilvl w:val="0"/>
          <w:numId w:val="32"/>
        </w:numPr>
        <w:spacing w:after="0"/>
        <w:ind w:left="360"/>
        <w:contextualSpacing/>
        <w:rPr>
          <w:bCs/>
        </w:rPr>
      </w:pPr>
      <w:r w:rsidRPr="000326FA">
        <w:rPr>
          <w:bCs/>
        </w:rPr>
        <w:t>Dokáže popísať vlastné silné stránky – nárast o 53,59 %,</w:t>
      </w:r>
    </w:p>
    <w:p w14:paraId="6649D338" w14:textId="77777777" w:rsidR="000326FA" w:rsidRPr="000326FA" w:rsidRDefault="000326FA" w:rsidP="000326FA">
      <w:pPr>
        <w:pStyle w:val="Odsekzoznamu"/>
        <w:numPr>
          <w:ilvl w:val="0"/>
          <w:numId w:val="32"/>
        </w:numPr>
        <w:spacing w:after="0"/>
        <w:ind w:left="360"/>
        <w:contextualSpacing/>
        <w:rPr>
          <w:bCs/>
        </w:rPr>
      </w:pPr>
      <w:r w:rsidRPr="000326FA">
        <w:rPr>
          <w:bCs/>
        </w:rPr>
        <w:t xml:space="preserve">Dokáže pripraviť relevantné písomnosti pre hľadanie zamestnania (motivačný list, životopis) – nárast o 48,55 %. </w:t>
      </w:r>
    </w:p>
    <w:p w14:paraId="3938F046" w14:textId="77777777" w:rsidR="000326FA" w:rsidRDefault="000326FA" w:rsidP="000326FA">
      <w:pPr>
        <w:spacing w:before="120" w:after="0"/>
        <w:ind w:hanging="6"/>
      </w:pPr>
      <w:r>
        <w:rPr>
          <w:bCs/>
        </w:rPr>
        <w:t xml:space="preserve">Pri týchto položkách bola vstupná úroveň na úrovni v rozpätí od 20,88 % do 36,33 %, čo značí pomerne nízku úroveň, avšak po skončení poradenského procesu bola výstupná úroveň na úrovni </w:t>
      </w:r>
      <w:r>
        <w:rPr>
          <w:bCs/>
        </w:rPr>
        <w:lastRenderedPageBreak/>
        <w:t>v rozpätí od 80,39 % do 89,93 %, čo predstavuje výrazný nárast úrovne týchto konkrétnych položiek v rámci zručností pre riadenie vlastnej kariéry.</w:t>
      </w:r>
    </w:p>
    <w:p w14:paraId="58667A9B" w14:textId="77777777" w:rsidR="000326FA" w:rsidRDefault="000326FA" w:rsidP="000326FA">
      <w:pPr>
        <w:spacing w:before="120" w:after="0"/>
      </w:pPr>
      <w:r>
        <w:t>Po splnení stanovených podmienok mohli ZUoZ získať paušálny príspevok na úhradu časti výdavkov súvisiacich s účasťou na poradenskom programe (cestovné, stravné a pod.) vo výške 4,76 eur za každý jeden deň účasti. Za rok 2023 bolo v rámci realizácie projektu na paušálny príspevok vyplatených 228 305,60 eur.</w:t>
      </w:r>
    </w:p>
    <w:p w14:paraId="6E7A6998" w14:textId="77777777" w:rsidR="000326FA" w:rsidRDefault="000326FA" w:rsidP="000326FA">
      <w:pPr>
        <w:spacing w:before="120" w:after="0"/>
        <w:ind w:firstLine="0"/>
      </w:pPr>
      <w:r>
        <w:t>Celková úspešnosť OPS v rámci NP IP pre ZUoZ v roku 2023 bola 10,93 % (z </w:t>
      </w:r>
      <w:r w:rsidRPr="00BB14C8">
        <w:t>1</w:t>
      </w:r>
      <w:r>
        <w:t xml:space="preserve">2 002 UoZ, ktorým boli poskytnuté neprojektové OPS, bolo 1 312 UoZ umiestnených na TP do šesť mesiacov po skončení účasti UoZ v OPS). </w:t>
      </w:r>
      <w:r>
        <w:rPr>
          <w:rFonts w:eastAsia="Calibri"/>
        </w:rPr>
        <w:t>Vzhľadom na skutočnosť, že cieľovou skupinou projektu boli iba znevýhodnení UoZ, považujeme výsledok za dostatočný</w:t>
      </w:r>
      <w:r w:rsidRPr="003867C6">
        <w:rPr>
          <w:rFonts w:eastAsia="Calibri"/>
        </w:rPr>
        <w:t>.</w:t>
      </w:r>
    </w:p>
    <w:p w14:paraId="37E88F56" w14:textId="77777777" w:rsidR="000326FA" w:rsidRDefault="000326FA" w:rsidP="000326FA">
      <w:pPr>
        <w:spacing w:before="120" w:after="120"/>
        <w:ind w:hanging="6"/>
      </w:pPr>
      <w:r w:rsidRPr="003867C6">
        <w:rPr>
          <w:rFonts w:eastAsia="Calibri"/>
        </w:rPr>
        <w:t>Za celé obdobie realizácie projektu bol poradenský program poskytnutý 19 541 ZUoZ</w:t>
      </w:r>
      <w:r w:rsidRPr="003867C6">
        <w:t>.</w:t>
      </w:r>
    </w:p>
    <w:p w14:paraId="72F88802" w14:textId="31DDE2F5" w:rsidR="00945E2B" w:rsidRPr="00C35CA8" w:rsidRDefault="000326FA" w:rsidP="003D0407">
      <w:pPr>
        <w:pStyle w:val="Nadpis30"/>
        <w:tabs>
          <w:tab w:val="left" w:pos="567"/>
        </w:tabs>
        <w:spacing w:before="240" w:after="120"/>
        <w:ind w:hanging="6"/>
      </w:pPr>
      <w:bookmarkStart w:id="186" w:name="_Toc173741578"/>
      <w:r w:rsidRPr="000326FA">
        <w:t>6.2.</w:t>
      </w:r>
      <w:r w:rsidR="00D113D9">
        <w:t>4</w:t>
      </w:r>
      <w:r w:rsidR="00945E2B" w:rsidRPr="00CB73DD">
        <w:t xml:space="preserve"> Projekt „Pomáhame odídencom </w:t>
      </w:r>
      <w:r w:rsidR="0096597C" w:rsidRPr="00CB73DD">
        <w:t>–</w:t>
      </w:r>
      <w:r w:rsidR="00945E2B" w:rsidRPr="00CB73DD">
        <w:t xml:space="preserve"> poradenstvo“</w:t>
      </w:r>
      <w:bookmarkEnd w:id="186"/>
      <w:r w:rsidR="00945E2B" w:rsidRPr="00C35CA8">
        <w:t xml:space="preserve"> </w:t>
      </w:r>
    </w:p>
    <w:p w14:paraId="1EA13598" w14:textId="77777777" w:rsidR="003D0407" w:rsidRDefault="003D0407" w:rsidP="003D0407">
      <w:pPr>
        <w:spacing w:before="120" w:after="0"/>
        <w:ind w:hanging="6"/>
        <w:rPr>
          <w:color w:val="00000A"/>
        </w:rPr>
      </w:pPr>
      <w:r>
        <w:rPr>
          <w:color w:val="00000A"/>
        </w:rPr>
        <w:t xml:space="preserve">Hlavnou aktivitou projektu bolo poskytovanie poradenských služieb odídencom. Cieľovou skupinou boli </w:t>
      </w:r>
      <w:r>
        <w:t>odídenci a štátni príslušníci tretích krajín odchádzajúci z Ukrajiny, t. j. osoby, ktoré majú v SR udelené dočasné útočisko (vydaný doklad o tolerovanom pobyte na území SR s označením „ODÍDENEC“) a ktoré prejavili záujem o poskytnutie poradenstva v rámci tohto projektu. Projekt sa realizoval na celom území SR.</w:t>
      </w:r>
    </w:p>
    <w:p w14:paraId="2991D0E7" w14:textId="77777777" w:rsidR="003D0407" w:rsidRDefault="003D0407" w:rsidP="003D0407">
      <w:pPr>
        <w:spacing w:before="120" w:after="0"/>
        <w:ind w:hanging="6"/>
      </w:pPr>
      <w:r>
        <w:t>Cieľom projektu bolo uľahčiť odídencom začlenenie a integráciu na TP prostredníctvom poskytovania poradenských služieb v oblasti orientácie na TP v závislosti od individuálnych potrieb odídenca a v nadväznosti na špecifiká vybraného regiónu v rámci SR.</w:t>
      </w:r>
    </w:p>
    <w:p w14:paraId="5A07E8BC" w14:textId="77777777" w:rsidR="003D0407" w:rsidRDefault="003D0407" w:rsidP="003D0407">
      <w:pPr>
        <w:tabs>
          <w:tab w:val="left" w:pos="34"/>
        </w:tabs>
        <w:spacing w:before="120" w:after="0"/>
        <w:ind w:hanging="6"/>
      </w:pPr>
      <w:r>
        <w:t>Poradenské služby v rámci tohto projektu boli realizované formou poradenského procesu v rozsahu</w:t>
      </w:r>
      <w:r>
        <w:rPr>
          <w:b/>
          <w:bCs/>
        </w:rPr>
        <w:t xml:space="preserve"> </w:t>
      </w:r>
      <w:r>
        <w:t>9 hodín pre osobné stretnutia poradcu s jedným odídencom, pričom poradenský proces mohol v prípade záujmu odídenca pokračovať dištančným spôsobom. Osobné stretnutia boli realizované individuálnou alebo skupinovou formou.</w:t>
      </w:r>
    </w:p>
    <w:p w14:paraId="7C7864B0" w14:textId="2177F0C1" w:rsidR="003D0407" w:rsidRDefault="00FB61E8" w:rsidP="003D0407">
      <w:pPr>
        <w:spacing w:before="120" w:after="0"/>
        <w:ind w:hanging="6"/>
      </w:pPr>
      <w:r>
        <w:t xml:space="preserve">Od 1. </w:t>
      </w:r>
      <w:r w:rsidR="003D0407" w:rsidRPr="00BF4231">
        <w:t>1.</w:t>
      </w:r>
      <w:r>
        <w:t xml:space="preserve"> </w:t>
      </w:r>
      <w:r w:rsidR="003D0407" w:rsidRPr="00BF4231">
        <w:t>2023 do 31.</w:t>
      </w:r>
      <w:r>
        <w:t xml:space="preserve"> </w:t>
      </w:r>
      <w:r w:rsidR="003D0407" w:rsidRPr="00BF4231">
        <w:t>12.</w:t>
      </w:r>
      <w:r>
        <w:t xml:space="preserve"> </w:t>
      </w:r>
      <w:r w:rsidR="003D0407" w:rsidRPr="00BF4231">
        <w:t xml:space="preserve">2023 bol poradenský program poskytnutý </w:t>
      </w:r>
      <w:r w:rsidR="003D0407" w:rsidRPr="003867C6">
        <w:t>2 062</w:t>
      </w:r>
      <w:r w:rsidR="003D0407" w:rsidRPr="00BF4231">
        <w:t xml:space="preserve"> odídencom</w:t>
      </w:r>
      <w:r w:rsidR="003D0407">
        <w:t>, z ktorých 25 pokračovalo v poradenskom procese aj dištančnou formou. Celkovo bolo poskytnutých 29 dištančných poradenských služieb.</w:t>
      </w:r>
      <w:r w:rsidR="003D0407" w:rsidRPr="004C6D45">
        <w:t xml:space="preserve"> </w:t>
      </w:r>
    </w:p>
    <w:p w14:paraId="31BB9F76" w14:textId="77777777" w:rsidR="003D0407" w:rsidRDefault="003D0407" w:rsidP="003D0407">
      <w:pPr>
        <w:spacing w:before="120" w:after="0"/>
        <w:ind w:hanging="6"/>
      </w:pPr>
      <w:r>
        <w:t>Z celkového počtu odídencov, ktorým bol v roku 2023 poradenský program poskytnutý v rámci tohto projektu bolo 1 600 žien (77,59 %) a 462 mužov (22,41 %). Najpočetnejšou skupinou z pohľadu veku bola skupina odídencov vo veku od 30 do 49 rokov v celkovom počte 1 107odídencov (53,69 %). Druhou najpočetnejšou skupinou odídencov, ktorým boli poradenské služby poskytnuté, boli odídenci vo veku 50 a viac rokov v počte 475 odídencov (23,04 %).</w:t>
      </w:r>
    </w:p>
    <w:p w14:paraId="05E13E86" w14:textId="77777777" w:rsidR="003D0407" w:rsidRDefault="003D0407" w:rsidP="003D0407">
      <w:pPr>
        <w:spacing w:before="120" w:after="0"/>
        <w:ind w:hanging="6"/>
      </w:pPr>
      <w:r>
        <w:t>Po absolvovaní osobnej účasti mohol odídenec získať paušálny príspevok na úhradu časti výdavkov súvisiacich s účasťou na poradenskom programe (cestovné, stravné a pod.) vo výške 4,46 eur za každý jeden deň osobnej účasti. Za rok 2023 bolo v rámci realizácie tohto projektu na paušálny príspevok vyplatených 27 892,86 eur.</w:t>
      </w:r>
    </w:p>
    <w:p w14:paraId="1D19AF23" w14:textId="4234CEC5" w:rsidR="002E3039" w:rsidRPr="00C35CA8" w:rsidRDefault="00696AA6" w:rsidP="00D113D9">
      <w:pPr>
        <w:pStyle w:val="Nadpis30"/>
        <w:tabs>
          <w:tab w:val="left" w:pos="567"/>
        </w:tabs>
        <w:spacing w:before="240" w:after="0"/>
        <w:ind w:firstLine="0"/>
      </w:pPr>
      <w:bookmarkStart w:id="187" w:name="_Toc173741579"/>
      <w:bookmarkStart w:id="188" w:name="_Hlk103540275"/>
      <w:r w:rsidRPr="00C35CA8">
        <w:t>6</w:t>
      </w:r>
      <w:r w:rsidR="002E3039" w:rsidRPr="00C35CA8">
        <w:t>.2</w:t>
      </w:r>
      <w:r w:rsidR="002E3039" w:rsidRPr="00D113D9">
        <w:t>.</w:t>
      </w:r>
      <w:r w:rsidR="00D113D9" w:rsidRPr="00D113D9">
        <w:t>5</w:t>
      </w:r>
      <w:r w:rsidR="002E3039" w:rsidRPr="00C35CA8">
        <w:tab/>
        <w:t>Národný projekt „Podpora zamestnanosti“</w:t>
      </w:r>
      <w:bookmarkEnd w:id="187"/>
    </w:p>
    <w:bookmarkEnd w:id="188"/>
    <w:p w14:paraId="7D608E54" w14:textId="27114AD2" w:rsidR="002E3039" w:rsidRPr="00C35CA8" w:rsidRDefault="002E0B99" w:rsidP="00AC29D1">
      <w:pPr>
        <w:tabs>
          <w:tab w:val="left" w:pos="3459"/>
        </w:tabs>
        <w:spacing w:before="120" w:after="120"/>
        <w:ind w:firstLine="0"/>
        <w:rPr>
          <w:szCs w:val="22"/>
        </w:rPr>
      </w:pPr>
      <w:r>
        <w:rPr>
          <w:szCs w:val="22"/>
        </w:rPr>
        <w:t>Cieľom NP bola</w:t>
      </w:r>
      <w:r w:rsidR="002E3039" w:rsidRPr="00C35CA8">
        <w:rPr>
          <w:szCs w:val="22"/>
        </w:rPr>
        <w:t xml:space="preserve">  podpora mobility pre občanov, ktorí boli UoZ a ktorí si našli zamestnanie,</w:t>
      </w:r>
      <w:r w:rsidR="00696AA6" w:rsidRPr="00C35CA8">
        <w:rPr>
          <w:szCs w:val="22"/>
        </w:rPr>
        <w:t xml:space="preserve"> </w:t>
      </w:r>
      <w:r w:rsidR="002E3039" w:rsidRPr="00C35CA8">
        <w:rPr>
          <w:szCs w:val="22"/>
        </w:rPr>
        <w:t xml:space="preserve">ako </w:t>
      </w:r>
      <w:r w:rsidR="00EC4F11" w:rsidRPr="00C35CA8">
        <w:rPr>
          <w:szCs w:val="22"/>
        </w:rPr>
        <w:t>aj</w:t>
      </w:r>
      <w:r w:rsidR="002E3039" w:rsidRPr="00C35CA8">
        <w:rPr>
          <w:szCs w:val="22"/>
        </w:rPr>
        <w:t xml:space="preserve"> zvyšovanie zamestnateľnosti </w:t>
      </w:r>
      <w:r w:rsidR="007255C8" w:rsidRPr="00C35CA8">
        <w:rPr>
          <w:szCs w:val="22"/>
        </w:rPr>
        <w:t>Z</w:t>
      </w:r>
      <w:r w:rsidR="002E3039" w:rsidRPr="00C35CA8">
        <w:rPr>
          <w:szCs w:val="22"/>
        </w:rPr>
        <w:t xml:space="preserve">UoZ, podpora udržiavania pracovných návykov, aktivácia </w:t>
      </w:r>
      <w:r w:rsidR="007255C8" w:rsidRPr="00C35CA8">
        <w:rPr>
          <w:szCs w:val="22"/>
        </w:rPr>
        <w:t>Z</w:t>
      </w:r>
      <w:r w:rsidR="002E3039" w:rsidRPr="00C35CA8">
        <w:rPr>
          <w:szCs w:val="22"/>
        </w:rPr>
        <w:t xml:space="preserve">UoZ, podpora dobrovoľníckej činnosti a rozvoj miestnej a regionálnej zamestnanosti. </w:t>
      </w:r>
    </w:p>
    <w:p w14:paraId="7C412AB1" w14:textId="5F80A0E1" w:rsidR="002E3039" w:rsidRPr="00C35CA8" w:rsidRDefault="002E3039" w:rsidP="00AA7E7B">
      <w:pPr>
        <w:tabs>
          <w:tab w:val="left" w:pos="3459"/>
        </w:tabs>
        <w:spacing w:after="0"/>
        <w:ind w:hanging="6"/>
        <w:rPr>
          <w:rFonts w:eastAsiaTheme="minorHAnsi"/>
          <w:szCs w:val="22"/>
          <w:lang w:eastAsia="en-US"/>
        </w:rPr>
      </w:pPr>
      <w:r w:rsidRPr="00C35CA8">
        <w:rPr>
          <w:szCs w:val="22"/>
        </w:rPr>
        <w:t>NP</w:t>
      </w:r>
      <w:r w:rsidR="002E0B99">
        <w:rPr>
          <w:szCs w:val="22"/>
        </w:rPr>
        <w:t xml:space="preserve">  sa realizoval</w:t>
      </w:r>
      <w:r w:rsidRPr="00C35CA8">
        <w:rPr>
          <w:rFonts w:eastAsiaTheme="minorHAnsi"/>
          <w:szCs w:val="22"/>
          <w:lang w:eastAsia="en-US"/>
        </w:rPr>
        <w:t xml:space="preserve"> prostredníctvom dvoch aktivít:</w:t>
      </w:r>
    </w:p>
    <w:p w14:paraId="6B0FC401" w14:textId="77777777" w:rsidR="00EC4F11" w:rsidRPr="00C35CA8" w:rsidRDefault="002E3039" w:rsidP="005F05DB">
      <w:pPr>
        <w:spacing w:before="120" w:after="0"/>
        <w:ind w:firstLine="0"/>
        <w:rPr>
          <w:rFonts w:eastAsiaTheme="minorHAnsi"/>
          <w:szCs w:val="22"/>
          <w:lang w:eastAsia="en-US"/>
        </w:rPr>
      </w:pPr>
      <w:r w:rsidRPr="00C35CA8">
        <w:rPr>
          <w:rFonts w:eastAsiaTheme="minorHAnsi"/>
          <w:b/>
          <w:bCs/>
          <w:iCs/>
          <w:szCs w:val="22"/>
          <w:lang w:eastAsia="en-US"/>
        </w:rPr>
        <w:t>Aktivita č. 1</w:t>
      </w:r>
      <w:r w:rsidRPr="00C35CA8">
        <w:rPr>
          <w:rFonts w:eastAsiaTheme="minorHAnsi"/>
          <w:szCs w:val="22"/>
          <w:lang w:eastAsia="en-US"/>
        </w:rPr>
        <w:t xml:space="preserve"> </w:t>
      </w:r>
      <w:r w:rsidRPr="00C35CA8">
        <w:rPr>
          <w:rFonts w:eastAsiaTheme="minorHAnsi"/>
          <w:b/>
          <w:bCs/>
          <w:szCs w:val="22"/>
          <w:lang w:eastAsia="en-US"/>
        </w:rPr>
        <w:t xml:space="preserve">Podpora </w:t>
      </w:r>
      <w:r w:rsidR="007255C8" w:rsidRPr="00C35CA8">
        <w:rPr>
          <w:rFonts w:eastAsiaTheme="minorHAnsi"/>
          <w:b/>
          <w:bCs/>
          <w:szCs w:val="22"/>
          <w:lang w:eastAsia="en-US"/>
        </w:rPr>
        <w:t>Z</w:t>
      </w:r>
      <w:r w:rsidRPr="00C35CA8">
        <w:rPr>
          <w:rFonts w:eastAsiaTheme="minorHAnsi"/>
          <w:b/>
          <w:bCs/>
          <w:szCs w:val="22"/>
          <w:lang w:eastAsia="en-US"/>
        </w:rPr>
        <w:t xml:space="preserve">UoZ k uplatneniu sa na </w:t>
      </w:r>
      <w:r w:rsidR="00A018BF" w:rsidRPr="00C35CA8">
        <w:rPr>
          <w:rFonts w:eastAsiaTheme="minorHAnsi"/>
          <w:b/>
          <w:bCs/>
          <w:szCs w:val="22"/>
          <w:lang w:eastAsia="en-US"/>
        </w:rPr>
        <w:t>TP</w:t>
      </w:r>
      <w:r w:rsidRPr="00C35CA8">
        <w:rPr>
          <w:rFonts w:eastAsiaTheme="minorHAnsi"/>
          <w:szCs w:val="22"/>
          <w:lang w:eastAsia="en-US"/>
        </w:rPr>
        <w:t xml:space="preserve"> </w:t>
      </w:r>
    </w:p>
    <w:p w14:paraId="56DF565E" w14:textId="77777777" w:rsidR="002E3039" w:rsidRPr="00C35CA8" w:rsidRDefault="00945BD2" w:rsidP="00F16FCD">
      <w:pPr>
        <w:spacing w:before="120" w:after="0"/>
        <w:ind w:hanging="6"/>
        <w:rPr>
          <w:rFonts w:eastAsiaTheme="minorHAnsi"/>
          <w:szCs w:val="22"/>
          <w:lang w:eastAsia="en-US"/>
        </w:rPr>
      </w:pPr>
      <w:r w:rsidRPr="00C35CA8">
        <w:rPr>
          <w:rFonts w:eastAsiaTheme="minorHAnsi"/>
          <w:szCs w:val="22"/>
          <w:lang w:eastAsia="en-US"/>
        </w:rPr>
        <w:t xml:space="preserve">Aktivita </w:t>
      </w:r>
      <w:r w:rsidR="00AA56C4" w:rsidRPr="00C35CA8">
        <w:rPr>
          <w:rFonts w:eastAsiaTheme="minorHAnsi"/>
          <w:szCs w:val="22"/>
          <w:lang w:eastAsia="en-US"/>
        </w:rPr>
        <w:t xml:space="preserve">č. 1 </w:t>
      </w:r>
      <w:r w:rsidRPr="00C35CA8">
        <w:rPr>
          <w:rFonts w:eastAsiaTheme="minorHAnsi"/>
          <w:szCs w:val="22"/>
          <w:lang w:eastAsia="en-US"/>
        </w:rPr>
        <w:t>sa realiz</w:t>
      </w:r>
      <w:r w:rsidR="00430F40" w:rsidRPr="00C35CA8">
        <w:rPr>
          <w:rFonts w:eastAsiaTheme="minorHAnsi"/>
          <w:szCs w:val="22"/>
          <w:lang w:eastAsia="en-US"/>
        </w:rPr>
        <w:t>ovala</w:t>
      </w:r>
      <w:r w:rsidRPr="00C35CA8">
        <w:rPr>
          <w:rFonts w:eastAsiaTheme="minorHAnsi"/>
          <w:szCs w:val="22"/>
          <w:lang w:eastAsia="en-US"/>
        </w:rPr>
        <w:t xml:space="preserve"> p</w:t>
      </w:r>
      <w:r w:rsidR="002E3039" w:rsidRPr="00C35CA8">
        <w:rPr>
          <w:rFonts w:eastAsiaTheme="minorHAnsi"/>
          <w:szCs w:val="22"/>
          <w:lang w:eastAsia="en-US"/>
        </w:rPr>
        <w:t xml:space="preserve">rostredníctvom poskytovania </w:t>
      </w:r>
      <w:r w:rsidR="002E3039" w:rsidRPr="00C35CA8">
        <w:rPr>
          <w:rFonts w:eastAsiaTheme="minorHAnsi"/>
          <w:iCs/>
          <w:szCs w:val="22"/>
          <w:lang w:eastAsia="en-US"/>
        </w:rPr>
        <w:t>štyroch typov príspevkov</w:t>
      </w:r>
      <w:r w:rsidR="002E3039" w:rsidRPr="00C35CA8">
        <w:rPr>
          <w:rFonts w:eastAsiaTheme="minorHAnsi"/>
          <w:szCs w:val="22"/>
          <w:lang w:eastAsia="en-US"/>
        </w:rPr>
        <w:t xml:space="preserve"> určených </w:t>
      </w:r>
      <w:r w:rsidRPr="00C35CA8">
        <w:rPr>
          <w:rFonts w:eastAsiaTheme="minorHAnsi"/>
          <w:szCs w:val="22"/>
          <w:lang w:eastAsia="en-US"/>
        </w:rPr>
        <w:br/>
      </w:r>
      <w:r w:rsidR="002E3039" w:rsidRPr="00C35CA8">
        <w:rPr>
          <w:rFonts w:eastAsiaTheme="minorHAnsi"/>
          <w:szCs w:val="22"/>
          <w:lang w:eastAsia="en-US"/>
        </w:rPr>
        <w:t xml:space="preserve">na stimuláciu záujmu zamestnávateľov o zamestnávanie </w:t>
      </w:r>
      <w:r w:rsidR="007255C8" w:rsidRPr="00C35CA8">
        <w:rPr>
          <w:rFonts w:eastAsiaTheme="minorHAnsi"/>
          <w:szCs w:val="22"/>
          <w:lang w:eastAsia="en-US"/>
        </w:rPr>
        <w:t>Z</w:t>
      </w:r>
      <w:r w:rsidR="002E3039" w:rsidRPr="00C35CA8">
        <w:rPr>
          <w:rFonts w:eastAsiaTheme="minorHAnsi"/>
          <w:szCs w:val="22"/>
          <w:lang w:eastAsia="en-US"/>
        </w:rPr>
        <w:t xml:space="preserve">UoZ: </w:t>
      </w:r>
    </w:p>
    <w:p w14:paraId="510145AA" w14:textId="77777777" w:rsidR="002E3039" w:rsidRPr="00C35CA8" w:rsidRDefault="002E3039" w:rsidP="006C526F">
      <w:pPr>
        <w:pStyle w:val="bullet1"/>
        <w:numPr>
          <w:ilvl w:val="0"/>
          <w:numId w:val="15"/>
        </w:numPr>
        <w:spacing w:after="0" w:line="240" w:lineRule="auto"/>
        <w:ind w:left="284" w:hanging="284"/>
        <w:contextualSpacing w:val="0"/>
        <w:jc w:val="both"/>
        <w:rPr>
          <w:rFonts w:ascii="Times New Roman" w:hAnsi="Times New Roman"/>
          <w:b w:val="0"/>
          <w:szCs w:val="22"/>
          <w:lang w:eastAsia="sk-SK"/>
        </w:rPr>
      </w:pPr>
      <w:r w:rsidRPr="00C35CA8">
        <w:rPr>
          <w:rFonts w:ascii="Times New Roman" w:hAnsi="Times New Roman"/>
          <w:b w:val="0"/>
          <w:szCs w:val="22"/>
          <w:lang w:eastAsia="sk-SK"/>
        </w:rPr>
        <w:t xml:space="preserve">príspevok na podporu zamestnávania </w:t>
      </w:r>
      <w:r w:rsidR="007255C8" w:rsidRPr="00C35CA8">
        <w:rPr>
          <w:rFonts w:ascii="Times New Roman" w:hAnsi="Times New Roman"/>
          <w:b w:val="0"/>
          <w:szCs w:val="22"/>
          <w:lang w:eastAsia="sk-SK"/>
        </w:rPr>
        <w:t>Z</w:t>
      </w:r>
      <w:r w:rsidRPr="00C35CA8">
        <w:rPr>
          <w:rFonts w:ascii="Times New Roman" w:hAnsi="Times New Roman"/>
          <w:b w:val="0"/>
          <w:szCs w:val="22"/>
          <w:lang w:eastAsia="sk-SK"/>
        </w:rPr>
        <w:t xml:space="preserve">UoZ, </w:t>
      </w:r>
    </w:p>
    <w:p w14:paraId="38DA6BB7" w14:textId="77777777" w:rsidR="002E3039" w:rsidRPr="00C35CA8" w:rsidRDefault="002E3039" w:rsidP="006C526F">
      <w:pPr>
        <w:pStyle w:val="bullet1"/>
        <w:numPr>
          <w:ilvl w:val="0"/>
          <w:numId w:val="15"/>
        </w:numPr>
        <w:spacing w:after="0" w:line="240" w:lineRule="auto"/>
        <w:ind w:left="284" w:hanging="284"/>
        <w:contextualSpacing w:val="0"/>
        <w:jc w:val="both"/>
        <w:rPr>
          <w:rFonts w:ascii="Times New Roman" w:hAnsi="Times New Roman"/>
          <w:b w:val="0"/>
          <w:szCs w:val="22"/>
          <w:lang w:eastAsia="sk-SK"/>
        </w:rPr>
      </w:pPr>
      <w:r w:rsidRPr="00C35CA8">
        <w:rPr>
          <w:rFonts w:ascii="Times New Roman" w:hAnsi="Times New Roman"/>
          <w:b w:val="0"/>
          <w:szCs w:val="22"/>
          <w:lang w:eastAsia="sk-SK"/>
        </w:rPr>
        <w:lastRenderedPageBreak/>
        <w:t xml:space="preserve">príspevok na podporu rozvoja miestnej a regionálnej zamestnanosti, </w:t>
      </w:r>
    </w:p>
    <w:p w14:paraId="2E6326F8" w14:textId="50D744F5" w:rsidR="002E3039" w:rsidRPr="00C35CA8" w:rsidRDefault="002E3039" w:rsidP="006C526F">
      <w:pPr>
        <w:pStyle w:val="bullet1"/>
        <w:numPr>
          <w:ilvl w:val="0"/>
          <w:numId w:val="15"/>
        </w:numPr>
        <w:spacing w:after="0" w:line="240" w:lineRule="auto"/>
        <w:ind w:left="284" w:hanging="284"/>
        <w:contextualSpacing w:val="0"/>
        <w:jc w:val="both"/>
        <w:rPr>
          <w:rFonts w:ascii="Times New Roman" w:hAnsi="Times New Roman"/>
          <w:b w:val="0"/>
          <w:szCs w:val="22"/>
          <w:lang w:eastAsia="sk-SK"/>
        </w:rPr>
      </w:pPr>
      <w:r w:rsidRPr="00C35CA8">
        <w:rPr>
          <w:rFonts w:ascii="Times New Roman" w:hAnsi="Times New Roman"/>
          <w:b w:val="0"/>
          <w:szCs w:val="22"/>
          <w:lang w:eastAsia="sk-SK"/>
        </w:rPr>
        <w:t xml:space="preserve">príspevok na </w:t>
      </w:r>
      <w:r w:rsidR="006A0C1E" w:rsidRPr="00C35CA8">
        <w:rPr>
          <w:rFonts w:ascii="Times New Roman" w:hAnsi="Times New Roman"/>
          <w:b w:val="0"/>
          <w:szCs w:val="22"/>
          <w:lang w:eastAsia="sk-SK"/>
        </w:rPr>
        <w:t>AČ</w:t>
      </w:r>
      <w:r w:rsidRPr="00C35CA8">
        <w:rPr>
          <w:rFonts w:ascii="Times New Roman" w:hAnsi="Times New Roman"/>
          <w:b w:val="0"/>
          <w:szCs w:val="22"/>
          <w:lang w:eastAsia="sk-SK"/>
        </w:rPr>
        <w:t xml:space="preserve"> formou menších obecných služieb pre obec alebo formou menších služieb pre samosprávny</w:t>
      </w:r>
      <w:r w:rsidR="00EC4F11" w:rsidRPr="00C35CA8">
        <w:rPr>
          <w:rFonts w:ascii="Times New Roman" w:hAnsi="Times New Roman"/>
          <w:b w:val="0"/>
          <w:szCs w:val="22"/>
          <w:lang w:eastAsia="sk-SK"/>
        </w:rPr>
        <w:t xml:space="preserve"> kraj</w:t>
      </w:r>
      <w:r w:rsidR="00AD25F5" w:rsidRPr="00C35CA8">
        <w:rPr>
          <w:rFonts w:ascii="Times New Roman" w:hAnsi="Times New Roman"/>
          <w:b w:val="0"/>
          <w:szCs w:val="22"/>
          <w:lang w:eastAsia="sk-SK"/>
        </w:rPr>
        <w:t>,</w:t>
      </w:r>
    </w:p>
    <w:p w14:paraId="2CDAC99E" w14:textId="7A5C789F" w:rsidR="002E3039" w:rsidRPr="00C35CA8" w:rsidRDefault="002E3039" w:rsidP="006C526F">
      <w:pPr>
        <w:pStyle w:val="bullet1"/>
        <w:numPr>
          <w:ilvl w:val="0"/>
          <w:numId w:val="15"/>
        </w:numPr>
        <w:spacing w:after="0" w:line="240" w:lineRule="auto"/>
        <w:ind w:left="284" w:hanging="284"/>
        <w:contextualSpacing w:val="0"/>
        <w:jc w:val="both"/>
        <w:rPr>
          <w:rFonts w:ascii="Times New Roman" w:hAnsi="Times New Roman"/>
          <w:b w:val="0"/>
          <w:szCs w:val="22"/>
          <w:lang w:eastAsia="sk-SK"/>
        </w:rPr>
      </w:pPr>
      <w:r w:rsidRPr="00C35CA8">
        <w:rPr>
          <w:rFonts w:ascii="Times New Roman" w:hAnsi="Times New Roman"/>
          <w:b w:val="0"/>
          <w:szCs w:val="22"/>
          <w:lang w:eastAsia="sk-SK"/>
        </w:rPr>
        <w:t xml:space="preserve">príspevok na </w:t>
      </w:r>
      <w:r w:rsidR="006A0C1E" w:rsidRPr="00C35CA8">
        <w:rPr>
          <w:rFonts w:ascii="Times New Roman" w:hAnsi="Times New Roman"/>
          <w:b w:val="0"/>
          <w:szCs w:val="22"/>
          <w:lang w:eastAsia="sk-SK"/>
        </w:rPr>
        <w:t>AČ</w:t>
      </w:r>
      <w:r w:rsidRPr="00C35CA8">
        <w:rPr>
          <w:rFonts w:ascii="Times New Roman" w:hAnsi="Times New Roman"/>
          <w:b w:val="0"/>
          <w:szCs w:val="22"/>
          <w:lang w:eastAsia="sk-SK"/>
        </w:rPr>
        <w:t xml:space="preserve"> formou </w:t>
      </w:r>
      <w:r w:rsidR="002E0B99">
        <w:rPr>
          <w:rFonts w:ascii="Times New Roman" w:hAnsi="Times New Roman"/>
          <w:b w:val="0"/>
          <w:szCs w:val="22"/>
          <w:lang w:eastAsia="sk-SK"/>
        </w:rPr>
        <w:t>dobrovoľníckej služby</w:t>
      </w:r>
      <w:r w:rsidRPr="00C35CA8">
        <w:rPr>
          <w:rFonts w:ascii="Times New Roman" w:hAnsi="Times New Roman"/>
          <w:b w:val="0"/>
          <w:szCs w:val="22"/>
          <w:lang w:eastAsia="sk-SK"/>
        </w:rPr>
        <w:t xml:space="preserve">. </w:t>
      </w:r>
    </w:p>
    <w:p w14:paraId="60757DD9" w14:textId="77777777" w:rsidR="002E3039" w:rsidRPr="00C35CA8" w:rsidRDefault="002E3039" w:rsidP="00F16FCD">
      <w:pPr>
        <w:spacing w:before="240" w:after="120"/>
        <w:ind w:firstLine="0"/>
        <w:rPr>
          <w:b/>
          <w:szCs w:val="22"/>
        </w:rPr>
      </w:pPr>
      <w:r w:rsidRPr="00C35CA8">
        <w:rPr>
          <w:b/>
          <w:szCs w:val="22"/>
        </w:rPr>
        <w:t>Príspevok na podporu zamestnávania ZUoZ</w:t>
      </w:r>
    </w:p>
    <w:p w14:paraId="1136D0A8" w14:textId="6CBDDA59" w:rsidR="0089154E" w:rsidRPr="00C35CA8" w:rsidRDefault="002E0B99" w:rsidP="0089154E">
      <w:pPr>
        <w:spacing w:before="120" w:after="0"/>
        <w:ind w:hanging="6"/>
      </w:pPr>
      <w:r>
        <w:t>V roku 2023</w:t>
      </w:r>
      <w:r w:rsidR="0089154E" w:rsidRPr="00C35CA8">
        <w:t xml:space="preserve"> </w:t>
      </w:r>
      <w:r>
        <w:t>už neboli týmto príspevkom podporení žiadni zamestnávatelia</w:t>
      </w:r>
      <w:r w:rsidRPr="002E0B99">
        <w:t xml:space="preserve"> a nečerpali sa finančné prostriedky.</w:t>
      </w:r>
    </w:p>
    <w:p w14:paraId="7EEF6770" w14:textId="77777777" w:rsidR="00EC4F11" w:rsidRPr="00C35CA8" w:rsidRDefault="002E3039" w:rsidP="00F16FCD">
      <w:pPr>
        <w:spacing w:before="240" w:after="120"/>
        <w:ind w:firstLine="0"/>
        <w:rPr>
          <w:szCs w:val="22"/>
        </w:rPr>
      </w:pPr>
      <w:r w:rsidRPr="00C35CA8">
        <w:rPr>
          <w:b/>
          <w:szCs w:val="22"/>
        </w:rPr>
        <w:t>Príspevok na podporu rozvoja miestnej a regionálnej zamestnanosti</w:t>
      </w:r>
      <w:r w:rsidRPr="00C35CA8">
        <w:rPr>
          <w:szCs w:val="22"/>
        </w:rPr>
        <w:t xml:space="preserve">   </w:t>
      </w:r>
    </w:p>
    <w:p w14:paraId="24D6F57A" w14:textId="2E1B8736" w:rsidR="00527FD8" w:rsidRPr="00C35CA8" w:rsidRDefault="002E0B99" w:rsidP="002E0B99">
      <w:pPr>
        <w:spacing w:after="0"/>
      </w:pPr>
      <w:r>
        <w:t>V roku 2023</w:t>
      </w:r>
      <w:r w:rsidR="00990C0D" w:rsidRPr="00C35CA8">
        <w:t xml:space="preserve"> </w:t>
      </w:r>
      <w:r>
        <w:t xml:space="preserve">už </w:t>
      </w:r>
      <w:r w:rsidRPr="00C35CA8">
        <w:t xml:space="preserve">neboli </w:t>
      </w:r>
      <w:r w:rsidR="00990C0D" w:rsidRPr="00C35CA8">
        <w:t xml:space="preserve">týmto príspevkom </w:t>
      </w:r>
      <w:r>
        <w:t xml:space="preserve">podporení žiadni zamestnávatelia </w:t>
      </w:r>
      <w:r w:rsidR="006B745E" w:rsidRPr="00C35CA8">
        <w:t xml:space="preserve">a </w:t>
      </w:r>
      <w:r w:rsidR="00990C0D" w:rsidRPr="00C35CA8">
        <w:t xml:space="preserve">nečerpali sa finančné prostriedky. </w:t>
      </w:r>
    </w:p>
    <w:p w14:paraId="440295F4" w14:textId="77777777" w:rsidR="002E3039" w:rsidRPr="00C35CA8" w:rsidRDefault="002E3039" w:rsidP="00217DCC">
      <w:pPr>
        <w:spacing w:before="240" w:after="120"/>
        <w:ind w:firstLine="0"/>
        <w:rPr>
          <w:b/>
          <w:szCs w:val="22"/>
        </w:rPr>
      </w:pPr>
      <w:r w:rsidRPr="00C35CA8">
        <w:rPr>
          <w:b/>
          <w:szCs w:val="22"/>
        </w:rPr>
        <w:t xml:space="preserve">Príspevok na </w:t>
      </w:r>
      <w:r w:rsidR="005D7640" w:rsidRPr="00C35CA8">
        <w:rPr>
          <w:b/>
          <w:szCs w:val="22"/>
        </w:rPr>
        <w:t>aktivačnú činnosť</w:t>
      </w:r>
      <w:r w:rsidRPr="00C35CA8">
        <w:rPr>
          <w:b/>
          <w:szCs w:val="22"/>
        </w:rPr>
        <w:t xml:space="preserve"> formou menších obecných služieb pre obec alebo formou menších služieb pre samosprávny kraj </w:t>
      </w:r>
    </w:p>
    <w:p w14:paraId="4A1EE42D" w14:textId="4E635E6E" w:rsidR="009B4B7A" w:rsidRPr="009B4B7A" w:rsidRDefault="009B4B7A" w:rsidP="009B4B7A">
      <w:pPr>
        <w:spacing w:after="0"/>
        <w:ind w:firstLine="0"/>
        <w:rPr>
          <w:szCs w:val="22"/>
        </w:rPr>
      </w:pPr>
      <w:r w:rsidRPr="009B4B7A">
        <w:rPr>
          <w:szCs w:val="22"/>
        </w:rPr>
        <w:t xml:space="preserve">Príspevok na AČ formou menších obecných služieb pre obec alebo formou menších služieb pre samosprávny kraj v rámci </w:t>
      </w:r>
      <w:r w:rsidRPr="006514DC">
        <w:rPr>
          <w:b/>
          <w:i/>
          <w:szCs w:val="22"/>
        </w:rPr>
        <w:t>NP Podpora zamestnanosti</w:t>
      </w:r>
      <w:r w:rsidRPr="009B4B7A">
        <w:rPr>
          <w:szCs w:val="22"/>
        </w:rPr>
        <w:t xml:space="preserve"> sa poskytoval na úhradu časti nákladov, ktoré súvisia s vykonávaním menších obecných služieb pre obec alebo menších služieb pre samosprávny kraj. </w:t>
      </w:r>
      <w:r w:rsidR="00737E8B">
        <w:rPr>
          <w:szCs w:val="22"/>
        </w:rPr>
        <w:t xml:space="preserve"> </w:t>
      </w:r>
    </w:p>
    <w:p w14:paraId="78EF413B" w14:textId="0AAD3D73" w:rsidR="009B4B7A" w:rsidRPr="009B4B7A" w:rsidRDefault="009B4B7A" w:rsidP="009B4B7A">
      <w:pPr>
        <w:spacing w:before="120" w:after="0"/>
        <w:ind w:firstLine="0"/>
      </w:pPr>
      <w:r w:rsidRPr="009B4B7A">
        <w:rPr>
          <w:szCs w:val="22"/>
        </w:rPr>
        <w:t>P</w:t>
      </w:r>
      <w:r w:rsidRPr="009B4B7A">
        <w:t xml:space="preserve">ríspevok sa poskytoval na základe písomnej dohody medzi úradom  a obcou, alebo medzi úradom a samosprávnym krajom na úhradu časti nákladov, ktoré súvisia s vykonávaním menších obecných služieb pre obec, alebo menších služieb pre samosprávny kraj. V roku </w:t>
      </w:r>
      <w:r w:rsidRPr="006514DC">
        <w:t>2023</w:t>
      </w:r>
      <w:r w:rsidRPr="00660F84">
        <w:rPr>
          <w:b/>
        </w:rPr>
        <w:t xml:space="preserve"> </w:t>
      </w:r>
      <w:r w:rsidRPr="009B4B7A">
        <w:t xml:space="preserve">bolo </w:t>
      </w:r>
      <w:r w:rsidR="00F93F4D">
        <w:t xml:space="preserve">             v rámci hodnoteného národného projektu</w:t>
      </w:r>
      <w:r w:rsidR="00F93F4D" w:rsidRPr="009B4B7A">
        <w:t xml:space="preserve"> </w:t>
      </w:r>
      <w:r w:rsidR="00F4772C">
        <w:t xml:space="preserve">na </w:t>
      </w:r>
      <w:r w:rsidR="00F4772C" w:rsidRPr="006514DC">
        <w:t xml:space="preserve">AČ umiestnených </w:t>
      </w:r>
      <w:r w:rsidR="00F4772C" w:rsidRPr="00D366D0">
        <w:t xml:space="preserve">2 </w:t>
      </w:r>
      <w:r w:rsidRPr="00D366D0">
        <w:t>112 DN UoZ,</w:t>
      </w:r>
      <w:r w:rsidRPr="009B4B7A">
        <w:t xml:space="preserve"> po</w:t>
      </w:r>
      <w:r w:rsidR="00F93F4D">
        <w:t>berateľov dávky v hmotnej núdzi</w:t>
      </w:r>
      <w:r w:rsidR="001F13A2">
        <w:t xml:space="preserve"> </w:t>
      </w:r>
      <w:r w:rsidRPr="009B4B7A">
        <w:t xml:space="preserve">a príspevkov k dávke, ktorí vykonávali AČ v rozsahu najviac 20 hodín týždenne nepretržite, najviac počas šiestich kalendárnych mesiacov s možnosťou jej opakovaného vykonávania najviac počas ďalších dvanástich kalendárnych mesiacov z toho bolo 65 koordinátorov. Výška čerpaných finančných prostriedkov bola 1 063 615 eur. </w:t>
      </w:r>
    </w:p>
    <w:p w14:paraId="0DA67B4F" w14:textId="0E35F41F" w:rsidR="009B4B7A" w:rsidRPr="009B4B7A" w:rsidRDefault="009B4B7A" w:rsidP="009B4B7A">
      <w:pPr>
        <w:spacing w:before="120" w:after="0"/>
        <w:ind w:firstLine="0"/>
        <w:rPr>
          <w:szCs w:val="22"/>
        </w:rPr>
      </w:pPr>
      <w:r w:rsidRPr="009B4B7A">
        <w:rPr>
          <w:szCs w:val="22"/>
        </w:rPr>
        <w:t>Z 2 1</w:t>
      </w:r>
      <w:r w:rsidR="00F4772C">
        <w:rPr>
          <w:szCs w:val="22"/>
        </w:rPr>
        <w:t>12 DN UoZ zaradených do AČ bolo</w:t>
      </w:r>
      <w:r w:rsidRPr="009B4B7A">
        <w:rPr>
          <w:szCs w:val="22"/>
        </w:rPr>
        <w:t> 1 27</w:t>
      </w:r>
      <w:r w:rsidR="00F4772C">
        <w:rPr>
          <w:szCs w:val="22"/>
        </w:rPr>
        <w:t xml:space="preserve">4 žien (60,27 %) a </w:t>
      </w:r>
      <w:r w:rsidR="00F4772C" w:rsidRPr="009B4B7A">
        <w:rPr>
          <w:szCs w:val="22"/>
        </w:rPr>
        <w:t>838 mužov (39,68 %)</w:t>
      </w:r>
      <w:r w:rsidR="00F4772C">
        <w:rPr>
          <w:szCs w:val="22"/>
        </w:rPr>
        <w:t>.</w:t>
      </w:r>
    </w:p>
    <w:p w14:paraId="7CBA481F" w14:textId="115C2F73" w:rsidR="009B4B7A" w:rsidRPr="009B4B7A" w:rsidRDefault="0001695B" w:rsidP="009B4B7A">
      <w:pPr>
        <w:spacing w:before="120" w:after="0"/>
        <w:ind w:hanging="6"/>
        <w:rPr>
          <w:szCs w:val="22"/>
        </w:rPr>
      </w:pPr>
      <w:r w:rsidRPr="00272F37">
        <w:rPr>
          <w:noProof/>
          <w:color w:val="FF0000"/>
          <w:sz w:val="20"/>
          <w:szCs w:val="20"/>
        </w:rPr>
        <w:drawing>
          <wp:anchor distT="0" distB="0" distL="114300" distR="114300" simplePos="0" relativeHeight="252539392" behindDoc="0" locked="0" layoutInCell="1" allowOverlap="1" wp14:anchorId="15FFF913" wp14:editId="6748B7E0">
            <wp:simplePos x="0" y="0"/>
            <wp:positionH relativeFrom="margin">
              <wp:posOffset>-18415</wp:posOffset>
            </wp:positionH>
            <wp:positionV relativeFrom="paragraph">
              <wp:posOffset>678815</wp:posOffset>
            </wp:positionV>
            <wp:extent cx="5862955" cy="3188335"/>
            <wp:effectExtent l="0" t="0" r="4445" b="12065"/>
            <wp:wrapTopAndBottom/>
            <wp:docPr id="26" name="Graf 2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9B4B7A" w:rsidRPr="009B4B7A">
        <w:rPr>
          <w:szCs w:val="22"/>
        </w:rPr>
        <w:t>Z hľadiska vekovej štruktúry bolo 1 211 UoZ (57,34 %) vo veku od 30 do 49 rokov vrátane, 536 UoZ (25,38 %) vo veku nad 50 rokov, 204 UoZ (9,66 %) vo veku od 25 do 29 rokov vrátane a 161 UoZ (7,62 %) vo veku do 24 rokov vrátane. v štruktúre podľa nasledujúceho grafu.</w:t>
      </w:r>
    </w:p>
    <w:p w14:paraId="0AE23D21" w14:textId="77777777" w:rsidR="00CA36D1" w:rsidRDefault="00CA36D1" w:rsidP="009B4B7A">
      <w:pPr>
        <w:spacing w:before="120"/>
        <w:ind w:firstLine="0"/>
        <w:rPr>
          <w:szCs w:val="22"/>
        </w:rPr>
      </w:pPr>
    </w:p>
    <w:p w14:paraId="1377C674" w14:textId="6450CD56" w:rsidR="009B4B7A" w:rsidRPr="0001695B" w:rsidRDefault="00063122" w:rsidP="001924A1">
      <w:pPr>
        <w:spacing w:after="120"/>
        <w:ind w:firstLine="0"/>
        <w:rPr>
          <w:szCs w:val="22"/>
        </w:rPr>
      </w:pPr>
      <w:r w:rsidRPr="00272F37">
        <w:rPr>
          <w:noProof/>
          <w:color w:val="FF0000"/>
          <w:sz w:val="20"/>
          <w:szCs w:val="20"/>
        </w:rPr>
        <w:drawing>
          <wp:anchor distT="0" distB="0" distL="114300" distR="114300" simplePos="0" relativeHeight="252540416" behindDoc="0" locked="0" layoutInCell="1" allowOverlap="1" wp14:anchorId="4A3B4B2A" wp14:editId="28964506">
            <wp:simplePos x="0" y="0"/>
            <wp:positionH relativeFrom="margin">
              <wp:posOffset>20707</wp:posOffset>
            </wp:positionH>
            <wp:positionV relativeFrom="paragraph">
              <wp:posOffset>1297001</wp:posOffset>
            </wp:positionV>
            <wp:extent cx="5862955" cy="3049905"/>
            <wp:effectExtent l="0" t="0" r="4445" b="17145"/>
            <wp:wrapTopAndBottom/>
            <wp:docPr id="235" name="Graf 23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9B4B7A" w:rsidRPr="0001695B">
        <w:rPr>
          <w:szCs w:val="22"/>
        </w:rPr>
        <w:t>Z hľadiska dosiahnutého stupňa vzdelania, najväčšiu skupinu z celkového počtu 2 112 DN UoZ, tvorili UoZ so základným vzdelaním 1 190 UoZ (56,37 %), UoZ s neukončeným základným vzdelaním 438 UoZ (20,75 %), UoZ so stredným odborným vzdelaním bolo zaradených 353 UoZ (16,72 %) s nižším stredným odborným vzdelaním 36 UoZ (1,71 %) a UoZ s úplným stredným odborným vzdelaním bolo zaradených 75 (3,55 %) s úplným stredným všeobecným vzdelaním 12 UoZ (0,57 %), VŠ vzdelanie prvého 0 UoZ (00,00 %) a druhého stupňa 3 UoZ (0,14 %) a ne</w:t>
      </w:r>
      <w:r w:rsidR="006514DC">
        <w:rPr>
          <w:szCs w:val="22"/>
        </w:rPr>
        <w:t>určené vzdelanie 4 UoZ (0,19 %),</w:t>
      </w:r>
      <w:r w:rsidR="0001695B">
        <w:rPr>
          <w:szCs w:val="22"/>
        </w:rPr>
        <w:t xml:space="preserve"> </w:t>
      </w:r>
      <w:r w:rsidR="009B4B7A" w:rsidRPr="0001695B">
        <w:rPr>
          <w:szCs w:val="22"/>
        </w:rPr>
        <w:t>v</w:t>
      </w:r>
      <w:r w:rsidR="0001695B">
        <w:rPr>
          <w:szCs w:val="22"/>
        </w:rPr>
        <w:t xml:space="preserve">iď graf nižšie. </w:t>
      </w:r>
    </w:p>
    <w:p w14:paraId="49D1DD62" w14:textId="6CD2CB17" w:rsidR="00063122" w:rsidRDefault="00063122" w:rsidP="001924A1">
      <w:pPr>
        <w:spacing w:before="240" w:after="120"/>
        <w:ind w:firstLine="0"/>
        <w:rPr>
          <w:szCs w:val="22"/>
        </w:rPr>
      </w:pPr>
      <w:r w:rsidRPr="00272F37">
        <w:rPr>
          <w:noProof/>
          <w:color w:val="FF0000"/>
          <w:sz w:val="20"/>
          <w:szCs w:val="20"/>
        </w:rPr>
        <w:drawing>
          <wp:anchor distT="0" distB="0" distL="114300" distR="114300" simplePos="0" relativeHeight="252541440" behindDoc="0" locked="0" layoutInCell="1" allowOverlap="1" wp14:anchorId="4B6770A7" wp14:editId="7F2025B8">
            <wp:simplePos x="0" y="0"/>
            <wp:positionH relativeFrom="margin">
              <wp:posOffset>-34290</wp:posOffset>
            </wp:positionH>
            <wp:positionV relativeFrom="paragraph">
              <wp:posOffset>3977640</wp:posOffset>
            </wp:positionV>
            <wp:extent cx="5918200" cy="3211830"/>
            <wp:effectExtent l="0" t="0" r="6350" b="7620"/>
            <wp:wrapTopAndBottom/>
            <wp:docPr id="238" name="Graf 23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01695B" w:rsidRPr="0001695B">
        <w:rPr>
          <w:szCs w:val="22"/>
        </w:rPr>
        <w:t>Z hľadiska profesie, ktorú UoZ vykon</w:t>
      </w:r>
      <w:r w:rsidR="006514DC">
        <w:rPr>
          <w:szCs w:val="22"/>
        </w:rPr>
        <w:t>ávali, najväčšie percento tvorili</w:t>
      </w:r>
      <w:r w:rsidR="0001695B" w:rsidRPr="0001695B">
        <w:rPr>
          <w:szCs w:val="22"/>
        </w:rPr>
        <w:t xml:space="preserve"> pomocní a nekvalifikovaní pracovníci 2 042 UoZ (96,69 %), ďalšou skupinou sú administratívni pracovníci 29 UoZ (1,37 %), technickí a odborní pracovníci v počte 34 UoZ (1,61 %), </w:t>
      </w:r>
      <w:r w:rsidR="006514DC">
        <w:rPr>
          <w:szCs w:val="22"/>
        </w:rPr>
        <w:t xml:space="preserve">pracovníci v službách a obchode     7 UoZ (0,33 %), </w:t>
      </w:r>
      <w:r w:rsidR="0001695B" w:rsidRPr="0001695B">
        <w:rPr>
          <w:szCs w:val="22"/>
        </w:rPr>
        <w:t xml:space="preserve">v štruktúre podľa </w:t>
      </w:r>
      <w:r w:rsidR="0001695B">
        <w:rPr>
          <w:szCs w:val="22"/>
        </w:rPr>
        <w:t xml:space="preserve">nasledujúceho </w:t>
      </w:r>
      <w:r w:rsidR="0001695B" w:rsidRPr="0001695B">
        <w:rPr>
          <w:szCs w:val="22"/>
        </w:rPr>
        <w:t>grafu</w:t>
      </w:r>
      <w:r w:rsidR="0001695B">
        <w:rPr>
          <w:szCs w:val="22"/>
        </w:rPr>
        <w:t>.</w:t>
      </w:r>
      <w:r w:rsidR="0001695B" w:rsidRPr="0001695B">
        <w:rPr>
          <w:szCs w:val="22"/>
        </w:rPr>
        <w:t xml:space="preserve"> </w:t>
      </w:r>
      <w:r w:rsidR="009B4B7A" w:rsidRPr="0001695B">
        <w:rPr>
          <w:szCs w:val="22"/>
        </w:rPr>
        <w:t xml:space="preserve"> </w:t>
      </w:r>
    </w:p>
    <w:p w14:paraId="54236E7B" w14:textId="47589B1D" w:rsidR="00063122" w:rsidRDefault="00063122" w:rsidP="00063122">
      <w:pPr>
        <w:spacing w:before="120"/>
        <w:ind w:firstLine="0"/>
        <w:rPr>
          <w:szCs w:val="22"/>
        </w:rPr>
      </w:pPr>
    </w:p>
    <w:p w14:paraId="479C3D0C" w14:textId="7F89914E" w:rsidR="00063122" w:rsidRDefault="00063122" w:rsidP="00063122">
      <w:pPr>
        <w:spacing w:before="120"/>
        <w:ind w:firstLine="0"/>
        <w:rPr>
          <w:szCs w:val="22"/>
        </w:rPr>
      </w:pPr>
    </w:p>
    <w:p w14:paraId="71175C32" w14:textId="0E2BDA74" w:rsidR="00063122" w:rsidRDefault="00063122" w:rsidP="00063122">
      <w:pPr>
        <w:spacing w:before="120"/>
        <w:ind w:firstLine="0"/>
        <w:rPr>
          <w:szCs w:val="22"/>
        </w:rPr>
      </w:pPr>
    </w:p>
    <w:p w14:paraId="5C1A92C6" w14:textId="60C9ACB5" w:rsidR="009B4B7A" w:rsidRPr="0001695B" w:rsidRDefault="00A10B1C" w:rsidP="00A10B1C">
      <w:pPr>
        <w:spacing w:before="120"/>
        <w:ind w:firstLine="0"/>
        <w:rPr>
          <w:szCs w:val="22"/>
        </w:rPr>
      </w:pPr>
      <w:r w:rsidRPr="00A10B1C">
        <w:rPr>
          <w:noProof/>
          <w:sz w:val="20"/>
          <w:szCs w:val="20"/>
        </w:rPr>
        <w:drawing>
          <wp:anchor distT="0" distB="0" distL="114300" distR="114300" simplePos="0" relativeHeight="252542464" behindDoc="0" locked="0" layoutInCell="1" allowOverlap="1" wp14:anchorId="384BE56F" wp14:editId="7679C5BB">
            <wp:simplePos x="0" y="0"/>
            <wp:positionH relativeFrom="margin">
              <wp:posOffset>-10160</wp:posOffset>
            </wp:positionH>
            <wp:positionV relativeFrom="paragraph">
              <wp:posOffset>681990</wp:posOffset>
            </wp:positionV>
            <wp:extent cx="5819775" cy="2790825"/>
            <wp:effectExtent l="0" t="0" r="9525" b="9525"/>
            <wp:wrapTopAndBottom/>
            <wp:docPr id="239" name="Graf 23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9B4B7A" w:rsidRPr="00A10B1C">
        <w:rPr>
          <w:szCs w:val="22"/>
        </w:rPr>
        <w:t>Z</w:t>
      </w:r>
      <w:r w:rsidR="009B4B7A" w:rsidRPr="0001695B">
        <w:rPr>
          <w:szCs w:val="22"/>
        </w:rPr>
        <w:t xml:space="preserve"> hľadiska SK NACE  2 103 UoZ (99,57 %) vykonávalo AČ vo verejnej správe a sociálnom zabezpečení, 6 UoZ (0,28 %) v oblasti vzdelávania a 3 UoZ (0,14 %) v oblasti zdravotníctva a sociálny pomocníci. </w:t>
      </w:r>
    </w:p>
    <w:p w14:paraId="027DA893" w14:textId="59F51B11" w:rsidR="009B4B7A" w:rsidRPr="0001695B" w:rsidRDefault="009B4B7A" w:rsidP="009B4B7A">
      <w:pPr>
        <w:spacing w:before="120" w:after="0"/>
        <w:ind w:firstLine="0"/>
        <w:rPr>
          <w:szCs w:val="22"/>
        </w:rPr>
      </w:pPr>
      <w:r w:rsidRPr="0001695B">
        <w:rPr>
          <w:szCs w:val="22"/>
        </w:rPr>
        <w:t xml:space="preserve">Väčšina zaradených UoZ považovala AČ predovšetkým za možnosť získať aktivačný príspevok. </w:t>
      </w:r>
    </w:p>
    <w:p w14:paraId="29B8BF6F" w14:textId="31F00A58" w:rsidR="009B4B7A" w:rsidRPr="0001695B" w:rsidRDefault="00CA2C34" w:rsidP="009B4B7A">
      <w:pPr>
        <w:spacing w:before="120" w:after="0"/>
        <w:ind w:firstLine="0"/>
        <w:rPr>
          <w:szCs w:val="22"/>
        </w:rPr>
      </w:pPr>
      <w:r>
        <w:rPr>
          <w:szCs w:val="22"/>
        </w:rPr>
        <w:t xml:space="preserve">Priebehu </w:t>
      </w:r>
      <w:r w:rsidR="009B4B7A" w:rsidRPr="0001695B">
        <w:rPr>
          <w:szCs w:val="22"/>
        </w:rPr>
        <w:t xml:space="preserve">2023 skončilo AČ v rámci NP Podpora zamestnanosti celkovo 3 058 UoZ, z tohto počtu sa na TP umiestnilo 182 UoZ do 1 mes., do 3 mes. 217 UoZ a do 6 mesiacov sa umiestnilo 270 UoZ. Úspešnosť tohto opatrenia po 6 mesiacoch od skončenia AČ predstavuje 21,88 %. </w:t>
      </w:r>
    </w:p>
    <w:p w14:paraId="2F94C95D" w14:textId="6129B41E" w:rsidR="009B4B7A" w:rsidRPr="0001695B" w:rsidRDefault="009B4B7A" w:rsidP="009B4B7A">
      <w:pPr>
        <w:spacing w:before="240" w:after="120"/>
        <w:ind w:firstLine="0"/>
        <w:rPr>
          <w:b/>
          <w:szCs w:val="22"/>
        </w:rPr>
      </w:pPr>
      <w:r w:rsidRPr="0001695B">
        <w:rPr>
          <w:b/>
          <w:szCs w:val="22"/>
        </w:rPr>
        <w:t xml:space="preserve">Príspevok na aktivačnú činnosť formou dobrovoľníckej služby </w:t>
      </w:r>
    </w:p>
    <w:p w14:paraId="79FDBC90" w14:textId="01A8A56E" w:rsidR="009B4B7A" w:rsidRPr="0001695B" w:rsidRDefault="009B4B7A" w:rsidP="009B4B7A">
      <w:pPr>
        <w:spacing w:after="0"/>
        <w:ind w:firstLine="0"/>
      </w:pPr>
      <w:r w:rsidRPr="0001695B">
        <w:t xml:space="preserve">V rámci uvedeného NP sa </w:t>
      </w:r>
      <w:r w:rsidRPr="0001695B">
        <w:rPr>
          <w:bCs/>
          <w:szCs w:val="22"/>
        </w:rPr>
        <w:t xml:space="preserve">príspevok na AČ formou DS </w:t>
      </w:r>
      <w:r w:rsidRPr="0001695B">
        <w:t xml:space="preserve">poskytuje na základe uzatvorenej písomnej dohody medzi úradom a právnickou osobou, alebo fyzickou osobou na úhradu časti nákladov, ktoré súvisia s vykonávaním DS. Príspevok môže úrad, v územnom obvode ktorého sa dobrovoľnícka služba vykonáva, poskytnúť na úhradu časti nákladov potrebných </w:t>
      </w:r>
      <w:r w:rsidRPr="0001695B">
        <w:br/>
        <w:t xml:space="preserve">na kvalifikované vykonávanie a prevádzku DS, na úrazové poistenie UoZ, na úhradu poplatku za doklad preukazujúci zdravotnú spôsobilosť UoZ, na úhradu časti nákladov na osobné ochranné pracovné prostriedky, pracovné náradie a časti ďalších nákladov, ktoré súvisia </w:t>
      </w:r>
      <w:r w:rsidRPr="0001695B">
        <w:br/>
        <w:t xml:space="preserve">s vykonávaním dobrovoľníckej činnosti a na úhradu časti CCP zamestnanca, ktorý organizuje DS. </w:t>
      </w:r>
    </w:p>
    <w:p w14:paraId="78BE38EC" w14:textId="646A7B38" w:rsidR="009B4B7A" w:rsidRPr="0001695B" w:rsidRDefault="009B4B7A" w:rsidP="0001695B">
      <w:pPr>
        <w:spacing w:before="120" w:after="0"/>
        <w:ind w:hanging="6"/>
      </w:pPr>
      <w:r w:rsidRPr="0001695B">
        <w:t xml:space="preserve">Počas vykonávania DS, úrad poskytuje UoZ paušálny príspevok vo výške sumy životného minima poskytovaného jednej plnoletej fyzickej osobe na úhradu nevyhnutných výdavkov </w:t>
      </w:r>
      <w:r w:rsidRPr="0001695B">
        <w:br/>
        <w:t xml:space="preserve">na stravovanie, ubytovanie a výdavkov na cestovné z miesta jeho trvalého pobytu alebo prechodného pobytu do miesta vykonávania DS. DS je forma aktivácie UoZ vykonávaním dobrovoľníckej činnosti, ktorej cieľom je získanie praktických skúseností pre potreby TP. </w:t>
      </w:r>
    </w:p>
    <w:p w14:paraId="2B880949" w14:textId="29F89799" w:rsidR="009B4B7A" w:rsidRPr="0001695B" w:rsidRDefault="009B4B7A" w:rsidP="0001695B">
      <w:pPr>
        <w:spacing w:before="120" w:after="0"/>
        <w:ind w:hanging="6"/>
        <w:rPr>
          <w:b/>
        </w:rPr>
      </w:pPr>
      <w:r w:rsidRPr="0001695B">
        <w:t>V roku 2023 bolo v rámci NP Podpora zamestnanosti zaradených na AČ formou DS 61 UoZ. Celkový príspevok bol čerpaný vo výške 165 720 eur.</w:t>
      </w:r>
    </w:p>
    <w:p w14:paraId="35167864" w14:textId="5523E9F0" w:rsidR="00BF33C9" w:rsidRDefault="009B4B7A" w:rsidP="009B4B7A">
      <w:pPr>
        <w:spacing w:before="120" w:after="0"/>
        <w:ind w:firstLine="0"/>
        <w:rPr>
          <w:szCs w:val="22"/>
        </w:rPr>
      </w:pPr>
      <w:r w:rsidRPr="0001695B">
        <w:rPr>
          <w:szCs w:val="22"/>
        </w:rPr>
        <w:t xml:space="preserve">Zo 61 zaradených UoZ na AČ formou DS bolo zaradených 9 mužov a 52 žien. Celkový príspevok bol čerpaný vo výške </w:t>
      </w:r>
      <w:r w:rsidRPr="0001695B">
        <w:t>165 720 eur.</w:t>
      </w:r>
      <w:r w:rsidR="00BF33C9" w:rsidRPr="00BF33C9">
        <w:rPr>
          <w:szCs w:val="22"/>
        </w:rPr>
        <w:t xml:space="preserve"> </w:t>
      </w:r>
    </w:p>
    <w:p w14:paraId="1CD912E2" w14:textId="02F3B176" w:rsidR="009B4B7A" w:rsidRPr="0001695B" w:rsidRDefault="00BF33C9" w:rsidP="009B4B7A">
      <w:pPr>
        <w:spacing w:before="120" w:after="0"/>
        <w:ind w:firstLine="0"/>
        <w:rPr>
          <w:szCs w:val="22"/>
        </w:rPr>
      </w:pPr>
      <w:r w:rsidRPr="0001695B">
        <w:rPr>
          <w:szCs w:val="22"/>
        </w:rPr>
        <w:t>Z hľadiska vekovej štruktúry, vo veku 50 rokov a viac bolo 28 UoZ (45,90 %), vo veku od 30 do 49 rokov vrátane bolo 27 UoZ (44,26 %) , 3 UoZ (4,92 %) bolo vo veku od 25 do 29 rokov vrátane a 3 UoZ (4,92 %) bolo vo veku do 24 rokov vrátane - v štruktúre podľa</w:t>
      </w:r>
      <w:r>
        <w:rPr>
          <w:szCs w:val="22"/>
        </w:rPr>
        <w:t xml:space="preserve"> nasledujúceho </w:t>
      </w:r>
      <w:r w:rsidRPr="0001695B">
        <w:rPr>
          <w:szCs w:val="22"/>
        </w:rPr>
        <w:t xml:space="preserve"> </w:t>
      </w:r>
      <w:r w:rsidRPr="0057375A">
        <w:rPr>
          <w:szCs w:val="22"/>
        </w:rPr>
        <w:t>grafu.</w:t>
      </w:r>
    </w:p>
    <w:p w14:paraId="3BB7EAF8" w14:textId="3B39C461" w:rsidR="00765E56" w:rsidRDefault="00BF33C9" w:rsidP="00765E56">
      <w:pPr>
        <w:spacing w:before="120" w:after="0"/>
        <w:ind w:firstLine="0"/>
        <w:rPr>
          <w:szCs w:val="22"/>
        </w:rPr>
      </w:pPr>
      <w:r w:rsidRPr="00272F37">
        <w:rPr>
          <w:noProof/>
          <w:color w:val="FF0000"/>
          <w:sz w:val="20"/>
          <w:szCs w:val="20"/>
        </w:rPr>
        <w:lastRenderedPageBreak/>
        <w:drawing>
          <wp:anchor distT="0" distB="0" distL="114300" distR="114300" simplePos="0" relativeHeight="252543488" behindDoc="0" locked="0" layoutInCell="1" allowOverlap="1" wp14:anchorId="6C4BF0C1" wp14:editId="6F2D69FF">
            <wp:simplePos x="0" y="0"/>
            <wp:positionH relativeFrom="margin">
              <wp:posOffset>-2513</wp:posOffset>
            </wp:positionH>
            <wp:positionV relativeFrom="paragraph">
              <wp:posOffset>132936</wp:posOffset>
            </wp:positionV>
            <wp:extent cx="5824855" cy="3299460"/>
            <wp:effectExtent l="0" t="0" r="4445" b="15240"/>
            <wp:wrapTopAndBottom/>
            <wp:docPr id="240" name="Graf 24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9B4B7A" w:rsidRPr="0057375A">
        <w:rPr>
          <w:szCs w:val="22"/>
        </w:rPr>
        <w:t xml:space="preserve">Zo 61 UoZ zaradených na DS, boli UoZ s viacnásobným znevýhodnením. Najvyšší počet tvorili občania, ktorí najmenej 12 po sebe nasledujúcich kalendárnych mesiacov pred zaradením </w:t>
      </w:r>
      <w:r w:rsidR="009B4B7A" w:rsidRPr="0057375A">
        <w:rPr>
          <w:szCs w:val="22"/>
        </w:rPr>
        <w:br/>
        <w:t>do evidencie UoZ nemali pravidelne platené zamestnanie v počte 42 UoZ (32,31 %). Druhou najpočetnejšou skupinou UoZ boli DN UoZ v počte 32 UoZ (24,62 %), UoZ starší  ako 50 rokov boli v </w:t>
      </w:r>
      <w:r w:rsidR="00CA2C34">
        <w:rPr>
          <w:szCs w:val="22"/>
        </w:rPr>
        <w:t xml:space="preserve">počte 28 UoZ (21,54 %) a 9 UoZ </w:t>
      </w:r>
      <w:r w:rsidR="009B4B7A" w:rsidRPr="0057375A">
        <w:rPr>
          <w:szCs w:val="22"/>
        </w:rPr>
        <w:t xml:space="preserve">(6,92 %) boli občania so ZP. 0 UoZ </w:t>
      </w:r>
      <w:r w:rsidR="009B4B7A" w:rsidRPr="0057375A">
        <w:rPr>
          <w:szCs w:val="22"/>
        </w:rPr>
        <w:br/>
        <w:t>(00,00 %) boli absolventi škôl a 17 UoZ (13,08 %) boli občania, ktorí mali vzdelanie nižšie ako stredné odborné vzdelanie, 1 UoZ (0,77 %), ktorý bol osamelý občan – starostlivosť o odkázanú osobu/starajúci sa o dieťa a 1 UoZ (0,77 %), ktorý ukončil poberanie materského alebo poberanie rodičovského príspevku - v štruktúre podľa grafu</w:t>
      </w:r>
      <w:r w:rsidR="00765E56">
        <w:rPr>
          <w:szCs w:val="22"/>
        </w:rPr>
        <w:t xml:space="preserve"> nižšie.</w:t>
      </w:r>
    </w:p>
    <w:p w14:paraId="78B93995" w14:textId="2BD4E773" w:rsidR="00BF33C9" w:rsidRDefault="00BF33C9" w:rsidP="00765E56">
      <w:pPr>
        <w:spacing w:before="120" w:after="0"/>
        <w:ind w:firstLine="0"/>
        <w:rPr>
          <w:color w:val="FF0000"/>
          <w:szCs w:val="22"/>
        </w:rPr>
      </w:pPr>
      <w:r w:rsidRPr="00272F37">
        <w:rPr>
          <w:noProof/>
          <w:color w:val="FF0000"/>
          <w:sz w:val="20"/>
          <w:szCs w:val="20"/>
        </w:rPr>
        <w:drawing>
          <wp:anchor distT="0" distB="0" distL="114300" distR="114300" simplePos="0" relativeHeight="252580352" behindDoc="1" locked="0" layoutInCell="1" allowOverlap="1" wp14:anchorId="53A8B265" wp14:editId="1BCB26F6">
            <wp:simplePos x="0" y="0"/>
            <wp:positionH relativeFrom="margin">
              <wp:posOffset>-1905</wp:posOffset>
            </wp:positionH>
            <wp:positionV relativeFrom="paragraph">
              <wp:posOffset>160821</wp:posOffset>
            </wp:positionV>
            <wp:extent cx="5808980" cy="3482671"/>
            <wp:effectExtent l="0" t="0" r="1270" b="3810"/>
            <wp:wrapNone/>
            <wp:docPr id="241" name="Graf 24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40E3CFED" w14:textId="6793CAB8" w:rsidR="00BF33C9" w:rsidRDefault="00BF33C9" w:rsidP="009B4B7A">
      <w:pPr>
        <w:spacing w:before="120" w:after="0"/>
        <w:ind w:firstLine="0"/>
        <w:rPr>
          <w:szCs w:val="22"/>
        </w:rPr>
      </w:pPr>
    </w:p>
    <w:p w14:paraId="1467E8C3" w14:textId="77777777" w:rsidR="00BF33C9" w:rsidRDefault="00BF33C9" w:rsidP="009B4B7A">
      <w:pPr>
        <w:spacing w:before="120" w:after="0"/>
        <w:ind w:firstLine="0"/>
        <w:rPr>
          <w:szCs w:val="22"/>
        </w:rPr>
      </w:pPr>
    </w:p>
    <w:p w14:paraId="31061AC2" w14:textId="77777777" w:rsidR="00BF33C9" w:rsidRDefault="00BF33C9" w:rsidP="009B4B7A">
      <w:pPr>
        <w:spacing w:before="120" w:after="0"/>
        <w:ind w:firstLine="0"/>
        <w:rPr>
          <w:szCs w:val="22"/>
        </w:rPr>
      </w:pPr>
    </w:p>
    <w:p w14:paraId="12CEEBD6" w14:textId="77777777" w:rsidR="00BF33C9" w:rsidRDefault="00BF33C9" w:rsidP="009B4B7A">
      <w:pPr>
        <w:spacing w:before="120" w:after="0"/>
        <w:ind w:firstLine="0"/>
        <w:rPr>
          <w:szCs w:val="22"/>
        </w:rPr>
      </w:pPr>
    </w:p>
    <w:p w14:paraId="37AE4549" w14:textId="77777777" w:rsidR="00BF33C9" w:rsidRDefault="00BF33C9" w:rsidP="009B4B7A">
      <w:pPr>
        <w:spacing w:before="120" w:after="0"/>
        <w:ind w:firstLine="0"/>
        <w:rPr>
          <w:szCs w:val="22"/>
        </w:rPr>
      </w:pPr>
    </w:p>
    <w:p w14:paraId="59F15A9F" w14:textId="77777777" w:rsidR="00BF33C9" w:rsidRDefault="00BF33C9" w:rsidP="009B4B7A">
      <w:pPr>
        <w:spacing w:before="120" w:after="0"/>
        <w:ind w:firstLine="0"/>
        <w:rPr>
          <w:szCs w:val="22"/>
        </w:rPr>
      </w:pPr>
    </w:p>
    <w:p w14:paraId="3C755E9F" w14:textId="77777777" w:rsidR="00BF33C9" w:rsidRDefault="00BF33C9" w:rsidP="009B4B7A">
      <w:pPr>
        <w:spacing w:before="120" w:after="0"/>
        <w:ind w:firstLine="0"/>
        <w:rPr>
          <w:szCs w:val="22"/>
        </w:rPr>
      </w:pPr>
    </w:p>
    <w:p w14:paraId="10E505C8" w14:textId="1DFE3649" w:rsidR="009B4B7A" w:rsidRPr="00272F37" w:rsidRDefault="008F0EE2" w:rsidP="009B4B7A">
      <w:pPr>
        <w:spacing w:before="120" w:after="0"/>
        <w:ind w:firstLine="0"/>
        <w:rPr>
          <w:color w:val="FF0000"/>
          <w:szCs w:val="22"/>
          <w:highlight w:val="yellow"/>
        </w:rPr>
      </w:pPr>
      <w:r w:rsidRPr="00765E56">
        <w:rPr>
          <w:noProof/>
          <w:sz w:val="20"/>
          <w:szCs w:val="20"/>
        </w:rPr>
        <w:lastRenderedPageBreak/>
        <w:drawing>
          <wp:anchor distT="0" distB="0" distL="114300" distR="114300" simplePos="0" relativeHeight="252545536" behindDoc="0" locked="0" layoutInCell="1" allowOverlap="1" wp14:anchorId="0E1CFB0A" wp14:editId="3B2BCFF0">
            <wp:simplePos x="0" y="0"/>
            <wp:positionH relativeFrom="margin">
              <wp:posOffset>-18415</wp:posOffset>
            </wp:positionH>
            <wp:positionV relativeFrom="paragraph">
              <wp:posOffset>1127125</wp:posOffset>
            </wp:positionV>
            <wp:extent cx="5812155" cy="3049905"/>
            <wp:effectExtent l="0" t="0" r="2540" b="17145"/>
            <wp:wrapTopAndBottom/>
            <wp:docPr id="233" name="Graf 23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9B4B7A" w:rsidRPr="00765E56">
        <w:rPr>
          <w:szCs w:val="22"/>
        </w:rPr>
        <w:t xml:space="preserve">Z hľadiska dosiahnutého stupňa vzdelania, najväčšiu skupinu z celkového počtu 61 zaradených, tvorili UoZ s úplným stredným odborným vzdelaním 28 (45,90 %), nasledovala skupina UoZ so základným vzdelaním 14 (22,95%), ďalšiu skupinu tvorili UoZ so stredným odborným vzdelaním v počte 9 (14,75 %), s neukončením vzdelaním 3 UoZ (4,92 %), UoZ s úplným stredným všeobecným vzdelaním bolo 3 (4,92 %) a UoZ, ktorí dosiahli VŠ I. stupňa boli 2 UoZ (3,28 %) a UoZ s VŠ II. stupňa boli 2 UoZ (3,28 </w:t>
      </w:r>
      <w:r w:rsidR="00765E56">
        <w:rPr>
          <w:szCs w:val="22"/>
        </w:rPr>
        <w:t>%),</w:t>
      </w:r>
      <w:r w:rsidR="00765E56" w:rsidRPr="00765E56">
        <w:rPr>
          <w:szCs w:val="22"/>
        </w:rPr>
        <w:t xml:space="preserve"> v štruktúre podľa nasledujúceho grafu.</w:t>
      </w:r>
    </w:p>
    <w:p w14:paraId="655F7335" w14:textId="761C8496" w:rsidR="009B4B7A" w:rsidRPr="00765E56" w:rsidRDefault="00421CEF" w:rsidP="009B4B7A">
      <w:pPr>
        <w:spacing w:before="120"/>
        <w:ind w:firstLine="0"/>
        <w:rPr>
          <w:szCs w:val="22"/>
        </w:rPr>
      </w:pPr>
      <w:r w:rsidRPr="00765E56">
        <w:rPr>
          <w:noProof/>
          <w:sz w:val="20"/>
          <w:szCs w:val="20"/>
        </w:rPr>
        <w:drawing>
          <wp:anchor distT="0" distB="0" distL="114300" distR="114300" simplePos="0" relativeHeight="252546560" behindDoc="0" locked="0" layoutInCell="1" allowOverlap="1" wp14:anchorId="4AB33425" wp14:editId="2FDF4C53">
            <wp:simplePos x="0" y="0"/>
            <wp:positionH relativeFrom="margin">
              <wp:posOffset>-18415</wp:posOffset>
            </wp:positionH>
            <wp:positionV relativeFrom="paragraph">
              <wp:posOffset>3955415</wp:posOffset>
            </wp:positionV>
            <wp:extent cx="5883910" cy="3195955"/>
            <wp:effectExtent l="0" t="0" r="2540" b="4445"/>
            <wp:wrapTopAndBottom/>
            <wp:docPr id="242" name="Graf 24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9B4B7A" w:rsidRPr="00765E56">
        <w:rPr>
          <w:szCs w:val="22"/>
        </w:rPr>
        <w:t>Z hľadiska dĺžky evidencie, zo 61 zaradených UoZ, bolo 17 UoZ (27,87 %) v evidencii UoZ 0 - 3 mesiace, 8 UoZ (14,75 %) bolo evidovaných 4 - 6 mesiacov, 9 UoZ (13,11 %) bolo evidovaných 7 - 12 mesiacov, 17 UoZ (27,87 %) bolo vedených v evidencii UoZ 13 - 24 mesiacov a 10 UoZ (16,39 %) bolo evido</w:t>
      </w:r>
      <w:r w:rsidR="00765E56">
        <w:rPr>
          <w:szCs w:val="22"/>
        </w:rPr>
        <w:t xml:space="preserve">vaných dlhšie ako 24 mesiacov, </w:t>
      </w:r>
      <w:r w:rsidR="009B4B7A" w:rsidRPr="00765E56">
        <w:rPr>
          <w:szCs w:val="22"/>
        </w:rPr>
        <w:t xml:space="preserve">v štruktúre podľa </w:t>
      </w:r>
      <w:r w:rsidR="00765E56">
        <w:rPr>
          <w:szCs w:val="22"/>
        </w:rPr>
        <w:t>grafu</w:t>
      </w:r>
      <w:r w:rsidR="009B4B7A" w:rsidRPr="00765E56">
        <w:rPr>
          <w:szCs w:val="22"/>
        </w:rPr>
        <w:t>.</w:t>
      </w:r>
    </w:p>
    <w:p w14:paraId="4144B2B0" w14:textId="77777777" w:rsidR="00421CEF" w:rsidRPr="00765E56" w:rsidRDefault="00421CEF" w:rsidP="00421CEF">
      <w:pPr>
        <w:spacing w:before="120" w:after="0"/>
        <w:ind w:firstLine="0"/>
        <w:rPr>
          <w:szCs w:val="22"/>
          <w:highlight w:val="yellow"/>
        </w:rPr>
      </w:pPr>
      <w:r w:rsidRPr="00765E56">
        <w:rPr>
          <w:szCs w:val="22"/>
        </w:rPr>
        <w:t>Z hľadiska profesie, ktorú UoZ v rámci AČ formou DS, najväčšie percento tvorili administratívni pracovníci 25 UoZ (40,98 %), nasledujú pomocní a nekvalifikovaní pracovníci v počte 18 UoZ (29,51 %), technickí a odborní pracovníci v počte 13 UoZ (21,31 %), pracovníci v službách a obchode v počte 3 UoZ (4,92 %) a špeci</w:t>
      </w:r>
      <w:r>
        <w:rPr>
          <w:szCs w:val="22"/>
        </w:rPr>
        <w:t xml:space="preserve">alisti v počte 2 UoZ (3,28 %), </w:t>
      </w:r>
      <w:r w:rsidRPr="00765E56">
        <w:rPr>
          <w:szCs w:val="22"/>
        </w:rPr>
        <w:t xml:space="preserve">v štruktúre podľa grafu </w:t>
      </w:r>
      <w:r>
        <w:rPr>
          <w:szCs w:val="22"/>
        </w:rPr>
        <w:t>dole.</w:t>
      </w:r>
    </w:p>
    <w:p w14:paraId="61141077" w14:textId="51C7EB8B" w:rsidR="009B4B7A" w:rsidRPr="00897D88" w:rsidRDefault="00421CEF" w:rsidP="00421CEF">
      <w:pPr>
        <w:spacing w:before="120" w:after="0"/>
        <w:ind w:firstLine="0"/>
        <w:rPr>
          <w:szCs w:val="22"/>
        </w:rPr>
      </w:pPr>
      <w:r w:rsidRPr="00272F37">
        <w:rPr>
          <w:noProof/>
          <w:color w:val="FF0000"/>
          <w:sz w:val="20"/>
          <w:szCs w:val="20"/>
        </w:rPr>
        <w:lastRenderedPageBreak/>
        <w:drawing>
          <wp:anchor distT="0" distB="0" distL="114300" distR="114300" simplePos="0" relativeHeight="252547584" behindDoc="0" locked="0" layoutInCell="1" allowOverlap="1" wp14:anchorId="6B77855A" wp14:editId="2BEE44F1">
            <wp:simplePos x="0" y="0"/>
            <wp:positionH relativeFrom="margin">
              <wp:posOffset>-2540</wp:posOffset>
            </wp:positionH>
            <wp:positionV relativeFrom="paragraph">
              <wp:posOffset>0</wp:posOffset>
            </wp:positionV>
            <wp:extent cx="5862955" cy="2671445"/>
            <wp:effectExtent l="0" t="0" r="4445" b="14605"/>
            <wp:wrapTopAndBottom/>
            <wp:docPr id="245" name="Graf 24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9B4B7A" w:rsidRPr="00897D88">
        <w:rPr>
          <w:szCs w:val="22"/>
        </w:rPr>
        <w:t>Z hľadiska SK NACE prevažná väčšina UoZ vykonávala DS v oblasti verejnej správy a sociálneho zabezpečenia - v počte 55 UoZ (90,16 %). Ďalšími oblasťami vzdelávanie – 4 UoZ (6,56 %), zdravotníctvo a sociálna pomoc - 1 UoZ (1,64 %) a ostatné činnosti 1 UoZ (1,64 %).</w:t>
      </w:r>
    </w:p>
    <w:p w14:paraId="59C88690" w14:textId="748CDAAF" w:rsidR="009B4B7A" w:rsidRPr="00897D88" w:rsidRDefault="009B4B7A" w:rsidP="009B4B7A">
      <w:pPr>
        <w:spacing w:before="120"/>
        <w:ind w:firstLine="0"/>
        <w:rPr>
          <w:szCs w:val="22"/>
        </w:rPr>
      </w:pPr>
      <w:r w:rsidRPr="00897D88">
        <w:rPr>
          <w:szCs w:val="22"/>
        </w:rPr>
        <w:t xml:space="preserve">V roku 2023 skončilo DS v rámci NP Podpora zamestnanosti celkovo 170 UoZ, z toho 35 UoZ sa umiestnilo na TP do 1 mes., 46 UoZ do 3 mesiacov a 56 UoZ sa umiestnilo na TP </w:t>
      </w:r>
      <w:r w:rsidRPr="00897D88">
        <w:rPr>
          <w:szCs w:val="22"/>
        </w:rPr>
        <w:br/>
        <w:t>do 6 mesiacov po skončení DS. Celková úspešnosť tohto AOTP po 6 mesiacoch od skončenia jeho vykonávania bola 80,59 %.</w:t>
      </w:r>
    </w:p>
    <w:p w14:paraId="76E03DF3" w14:textId="2B9B5A85" w:rsidR="001C410E" w:rsidRPr="004D556E" w:rsidRDefault="002E3039" w:rsidP="00AF0DBF">
      <w:pPr>
        <w:spacing w:before="240" w:after="120"/>
        <w:ind w:firstLine="0"/>
        <w:rPr>
          <w:b/>
        </w:rPr>
      </w:pPr>
      <w:r w:rsidRPr="004D556E">
        <w:rPr>
          <w:b/>
        </w:rPr>
        <w:t xml:space="preserve">Príspevok na dochádzku za prácou </w:t>
      </w:r>
    </w:p>
    <w:p w14:paraId="4CF38CD6" w14:textId="4B27A5AB" w:rsidR="00AD620C" w:rsidRPr="00AD620C" w:rsidRDefault="00AD620C" w:rsidP="00AD620C">
      <w:pPr>
        <w:spacing w:before="120" w:after="0"/>
        <w:ind w:firstLine="0"/>
        <w:rPr>
          <w:rFonts w:eastAsia="Calibri"/>
          <w:lang w:eastAsia="en-US"/>
        </w:rPr>
      </w:pPr>
      <w:r w:rsidRPr="00AD620C">
        <w:rPr>
          <w:rFonts w:eastAsia="Calibri"/>
          <w:bCs/>
          <w:lang w:eastAsia="en-US"/>
        </w:rPr>
        <w:t>Príspevok sa poskytuje mesačne na úhradu časti cestovných výdavkov na dochádzku z miesta trvalého pobytu alebo z miesta prechodného pobytu zamestnanca do miesta výkonu zamestnania uvedeného</w:t>
      </w:r>
      <w:r w:rsidRPr="00AD620C">
        <w:rPr>
          <w:rFonts w:eastAsia="Calibri"/>
          <w:lang w:eastAsia="en-US"/>
        </w:rPr>
        <w:t xml:space="preserve"> v pracovnej zmluve a späť. Príspevok bol poskytovaný do 31.</w:t>
      </w:r>
      <w:r w:rsidR="00421CEF">
        <w:rPr>
          <w:rFonts w:eastAsia="Calibri"/>
          <w:lang w:eastAsia="en-US"/>
        </w:rPr>
        <w:t xml:space="preserve"> </w:t>
      </w:r>
      <w:r w:rsidRPr="00AD620C">
        <w:rPr>
          <w:rFonts w:eastAsia="Calibri"/>
          <w:lang w:eastAsia="en-US"/>
        </w:rPr>
        <w:t>10.</w:t>
      </w:r>
      <w:r w:rsidR="00421CEF">
        <w:rPr>
          <w:rFonts w:eastAsia="Calibri"/>
          <w:lang w:eastAsia="en-US"/>
        </w:rPr>
        <w:t xml:space="preserve"> </w:t>
      </w:r>
      <w:r w:rsidRPr="00AD620C">
        <w:rPr>
          <w:rFonts w:eastAsia="Calibri"/>
          <w:lang w:eastAsia="en-US"/>
        </w:rPr>
        <w:t>2023.</w:t>
      </w:r>
    </w:p>
    <w:p w14:paraId="54DFB042" w14:textId="24C84113" w:rsidR="00421CEF" w:rsidRDefault="00AD620C" w:rsidP="00421CEF">
      <w:pPr>
        <w:spacing w:before="120" w:after="0"/>
        <w:ind w:firstLine="0"/>
        <w:rPr>
          <w:rFonts w:eastAsia="Calibri"/>
          <w:color w:val="000000"/>
          <w:lang w:eastAsia="en-US"/>
        </w:rPr>
      </w:pPr>
      <w:r w:rsidRPr="00421CEF">
        <w:rPr>
          <w:rFonts w:eastAsia="Calibri"/>
          <w:bCs/>
          <w:lang w:eastAsia="en-US"/>
        </w:rPr>
        <w:t xml:space="preserve">V roku 2023 bolo prijatých 679 žiadostí na dochádzku za prácou, z ktorých bolo schválených 625 (92,05 %). V roku 2023 bol príspevok na dochádzku za prácou poskytnutý celkom 644 </w:t>
      </w:r>
      <w:r w:rsidRPr="00421CEF">
        <w:rPr>
          <w:rFonts w:eastAsia="Calibri"/>
          <w:lang w:eastAsia="en-US"/>
        </w:rPr>
        <w:t xml:space="preserve">žiadateľom, z toho 269 mužom (41,77 %) a 375 ženám (58,23 %) v celkovej poskytnutej sume finančných prostriedkov 537 419 eur, čo je o 2 238 039 eur menej ako v roku 2022.  </w:t>
      </w:r>
    </w:p>
    <w:p w14:paraId="1EEB04A5" w14:textId="0536EDB1" w:rsidR="00AD620C" w:rsidRDefault="00AD620C" w:rsidP="00421CEF">
      <w:pPr>
        <w:spacing w:before="120" w:after="0"/>
        <w:ind w:hanging="6"/>
        <w:rPr>
          <w:rFonts w:eastAsia="Calibri"/>
          <w:color w:val="000000"/>
          <w:lang w:eastAsia="en-US"/>
        </w:rPr>
      </w:pPr>
      <w:r w:rsidRPr="00421CEF">
        <w:rPr>
          <w:rFonts w:eastAsia="Calibri"/>
          <w:color w:val="000000"/>
          <w:lang w:eastAsia="en-US"/>
        </w:rPr>
        <w:t>Z hľadiska vekovej štruktúry, bolo podporených 471 žiadateľov vo veku od 30 do 49 rokov vrátane (73,14 %), 126 žiadateľov vo veku vo veku od 25 do 29 rokov vrátane (19,57 %), 42 žiadateľov vo veku do 24 rokov vrátane (6,52 %), 5 žiadateľov vo veku 50 a viac rokov (0,78 %), v štruktúre podľa grafu.</w:t>
      </w:r>
    </w:p>
    <w:p w14:paraId="274943B8" w14:textId="500BC862" w:rsidR="00421CEF" w:rsidRDefault="00421CEF" w:rsidP="00421CEF">
      <w:pPr>
        <w:spacing w:before="120" w:after="0"/>
        <w:ind w:hanging="6"/>
        <w:rPr>
          <w:rFonts w:eastAsia="Calibri"/>
          <w:color w:val="000000"/>
          <w:lang w:eastAsia="en-US"/>
        </w:rPr>
      </w:pPr>
      <w:r w:rsidRPr="00AD620C">
        <w:rPr>
          <w:rFonts w:ascii="Calibri" w:eastAsia="Calibri" w:hAnsi="Calibri"/>
          <w:noProof/>
          <w:sz w:val="22"/>
          <w:szCs w:val="22"/>
        </w:rPr>
        <w:drawing>
          <wp:anchor distT="0" distB="0" distL="114300" distR="114300" simplePos="0" relativeHeight="252549632" behindDoc="1" locked="0" layoutInCell="1" allowOverlap="1" wp14:anchorId="55DFC966" wp14:editId="1A2B4AEE">
            <wp:simplePos x="0" y="0"/>
            <wp:positionH relativeFrom="margin">
              <wp:posOffset>-49613</wp:posOffset>
            </wp:positionH>
            <wp:positionV relativeFrom="paragraph">
              <wp:posOffset>71479</wp:posOffset>
            </wp:positionV>
            <wp:extent cx="5867400" cy="2695492"/>
            <wp:effectExtent l="0" t="0" r="0" b="10160"/>
            <wp:wrapNone/>
            <wp:docPr id="106" name="Graf 10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2E1F700E" w14:textId="320B730F" w:rsidR="00421CEF" w:rsidRDefault="00421CEF" w:rsidP="00421CEF">
      <w:pPr>
        <w:spacing w:before="120" w:after="0"/>
        <w:ind w:hanging="6"/>
        <w:rPr>
          <w:rFonts w:eastAsia="Calibri"/>
          <w:color w:val="000000"/>
          <w:lang w:eastAsia="en-US"/>
        </w:rPr>
      </w:pPr>
    </w:p>
    <w:p w14:paraId="246F32C9" w14:textId="6EFA4529" w:rsidR="00421CEF" w:rsidRDefault="00421CEF" w:rsidP="00421CEF">
      <w:pPr>
        <w:spacing w:before="120" w:after="0"/>
        <w:ind w:hanging="6"/>
        <w:rPr>
          <w:rFonts w:eastAsia="Calibri"/>
          <w:color w:val="000000"/>
          <w:lang w:eastAsia="en-US"/>
        </w:rPr>
      </w:pPr>
    </w:p>
    <w:p w14:paraId="40E9788F" w14:textId="735F448C" w:rsidR="00421CEF" w:rsidRDefault="00421CEF" w:rsidP="00421CEF">
      <w:pPr>
        <w:spacing w:before="120" w:after="0"/>
        <w:ind w:hanging="6"/>
        <w:rPr>
          <w:rFonts w:eastAsia="Calibri"/>
          <w:color w:val="000000"/>
          <w:lang w:eastAsia="en-US"/>
        </w:rPr>
      </w:pPr>
    </w:p>
    <w:p w14:paraId="6A156E5B" w14:textId="614CC8F3" w:rsidR="00421CEF" w:rsidRPr="00421CEF" w:rsidRDefault="00421CEF" w:rsidP="00421CEF">
      <w:pPr>
        <w:spacing w:before="120" w:after="0"/>
        <w:ind w:hanging="6"/>
        <w:rPr>
          <w:rFonts w:eastAsia="Calibri"/>
          <w:color w:val="000000"/>
          <w:lang w:eastAsia="en-US"/>
        </w:rPr>
      </w:pPr>
    </w:p>
    <w:p w14:paraId="391E017D" w14:textId="2DA93966" w:rsidR="00AD620C" w:rsidRPr="00AD620C" w:rsidRDefault="00AD620C" w:rsidP="00AD620C">
      <w:pPr>
        <w:spacing w:before="120" w:after="160" w:line="259" w:lineRule="auto"/>
        <w:ind w:hanging="6"/>
        <w:jc w:val="left"/>
        <w:rPr>
          <w:rFonts w:ascii="Calibri" w:eastAsia="Calibri" w:hAnsi="Calibri"/>
          <w:sz w:val="22"/>
          <w:szCs w:val="22"/>
          <w:lang w:eastAsia="en-US"/>
        </w:rPr>
      </w:pPr>
    </w:p>
    <w:p w14:paraId="4F2BE031" w14:textId="53E7A549" w:rsidR="00AD620C" w:rsidRPr="00AD620C" w:rsidRDefault="00AD620C" w:rsidP="00AD620C">
      <w:pPr>
        <w:spacing w:before="120" w:after="160" w:line="259" w:lineRule="auto"/>
        <w:ind w:hanging="6"/>
        <w:jc w:val="left"/>
        <w:rPr>
          <w:rFonts w:ascii="Calibri" w:eastAsia="Calibri" w:hAnsi="Calibri"/>
          <w:sz w:val="22"/>
          <w:szCs w:val="22"/>
          <w:lang w:eastAsia="en-US"/>
        </w:rPr>
      </w:pPr>
    </w:p>
    <w:p w14:paraId="61449216" w14:textId="4FD92C05" w:rsidR="00AD620C" w:rsidRPr="00AD620C" w:rsidRDefault="00AD620C" w:rsidP="00AD620C">
      <w:pPr>
        <w:spacing w:before="120" w:after="160" w:line="259" w:lineRule="auto"/>
        <w:ind w:hanging="6"/>
        <w:jc w:val="left"/>
        <w:rPr>
          <w:rFonts w:ascii="Calibri" w:eastAsia="Calibri" w:hAnsi="Calibri"/>
          <w:sz w:val="22"/>
          <w:szCs w:val="22"/>
          <w:lang w:eastAsia="en-US"/>
        </w:rPr>
      </w:pPr>
    </w:p>
    <w:p w14:paraId="1EA5517A" w14:textId="38E5BD9F" w:rsidR="00AD620C" w:rsidRPr="00AD620C" w:rsidRDefault="00AD620C" w:rsidP="00AD620C">
      <w:pPr>
        <w:tabs>
          <w:tab w:val="left" w:pos="3705"/>
          <w:tab w:val="center" w:pos="4536"/>
        </w:tabs>
        <w:spacing w:before="120" w:after="160" w:line="259" w:lineRule="auto"/>
        <w:ind w:firstLine="0"/>
        <w:jc w:val="left"/>
        <w:rPr>
          <w:rFonts w:ascii="Calibri" w:eastAsia="Calibri" w:hAnsi="Calibri"/>
          <w:sz w:val="22"/>
          <w:szCs w:val="22"/>
          <w:lang w:eastAsia="en-US"/>
        </w:rPr>
      </w:pPr>
      <w:r w:rsidRPr="00AD620C">
        <w:rPr>
          <w:rFonts w:ascii="Calibri" w:eastAsia="Calibri" w:hAnsi="Calibri"/>
          <w:sz w:val="22"/>
          <w:szCs w:val="22"/>
          <w:lang w:eastAsia="en-US"/>
        </w:rPr>
        <w:tab/>
      </w:r>
      <w:r w:rsidRPr="00AD620C">
        <w:rPr>
          <w:rFonts w:ascii="Calibri" w:eastAsia="Calibri" w:hAnsi="Calibri"/>
          <w:sz w:val="22"/>
          <w:szCs w:val="22"/>
          <w:lang w:eastAsia="en-US"/>
        </w:rPr>
        <w:tab/>
      </w:r>
    </w:p>
    <w:p w14:paraId="473375FC" w14:textId="38ADF32D" w:rsidR="00AD620C" w:rsidRPr="00AD620C" w:rsidRDefault="00AD620C" w:rsidP="00AD620C">
      <w:pPr>
        <w:spacing w:before="120" w:after="160" w:line="259" w:lineRule="auto"/>
        <w:ind w:firstLine="0"/>
        <w:jc w:val="center"/>
        <w:rPr>
          <w:rFonts w:ascii="Calibri" w:eastAsia="Calibri" w:hAnsi="Calibri"/>
          <w:sz w:val="22"/>
          <w:szCs w:val="22"/>
          <w:lang w:eastAsia="en-US"/>
        </w:rPr>
      </w:pPr>
    </w:p>
    <w:p w14:paraId="6DF5F888" w14:textId="31F6BDC2" w:rsidR="004D556E" w:rsidRPr="004D556E" w:rsidRDefault="004D556E" w:rsidP="004D556E">
      <w:pPr>
        <w:spacing w:before="120" w:after="0"/>
        <w:ind w:hanging="6"/>
      </w:pPr>
      <w:r w:rsidRPr="004D556E">
        <w:lastRenderedPageBreak/>
        <w:t xml:space="preserve">Z hľadiska znevýhodnenia UoZ, ktorým bol poskytnutý príspevok na dochádzku za prácou, bolo 20 ZUoZ, čo predstavuje 3,11 % z celkového počtu 644 zaradených klientov. </w:t>
      </w:r>
      <w:r w:rsidR="00AB2CA5">
        <w:t>N</w:t>
      </w:r>
      <w:r w:rsidRPr="004D556E">
        <w:t>ajvyšší podiel tvorili občania, ktorí najmenej 12 po sebe nasledujúcich kalendárnych mesiacov pred zaradením do evidencie UoZ nemali pravidelne platené zamestnanie - v počte 12 žiadateľov (60 %). Občania starší ako 50 rokov veku tvorili druhú najpočetnejšiu skupinu znevýhodnených UoZ v počte 5 žiadateľov (25 %). Treťou najpočetnejšou skupinou boli dlhodobo nezamestnaní občania v počte 4 žiadateľov (20 %).</w:t>
      </w:r>
    </w:p>
    <w:p w14:paraId="4B99775F" w14:textId="22A4AC31" w:rsidR="004D556E" w:rsidRPr="004D556E" w:rsidRDefault="004D556E" w:rsidP="004D556E">
      <w:pPr>
        <w:spacing w:before="120"/>
        <w:ind w:hanging="6"/>
      </w:pPr>
      <w:r w:rsidRPr="004D556E">
        <w:t xml:space="preserve">Z hľadiska dosiahnutého stupňa vzdelania, najväčšiu skupinu zaradených tvorili UoZ s úplným stredným odborným vzdelaním v počte 290 (45,03 %), ďalšiu početnú skupinu tvorili UoZ s vysokoškolským vzdelaním druhého stupňa v počte 145 (22,52 %), UoZ so stredným odborným vzdelaním 112 (17,39 %) </w:t>
      </w:r>
      <w:r>
        <w:t>a iní, v štruktúre podľa grafu nižšie</w:t>
      </w:r>
      <w:r w:rsidRPr="004D556E">
        <w:t>.</w:t>
      </w:r>
    </w:p>
    <w:p w14:paraId="46DC537B" w14:textId="144FC58E" w:rsidR="00421CEF" w:rsidRDefault="00AB2CA5" w:rsidP="00D51E9A">
      <w:pPr>
        <w:spacing w:before="120"/>
        <w:ind w:hanging="6"/>
        <w:rPr>
          <w:noProof/>
          <w:sz w:val="20"/>
          <w:szCs w:val="20"/>
        </w:rPr>
      </w:pPr>
      <w:r w:rsidRPr="00421CEF">
        <w:rPr>
          <w:noProof/>
          <w:sz w:val="20"/>
          <w:szCs w:val="20"/>
        </w:rPr>
        <w:drawing>
          <wp:anchor distT="0" distB="0" distL="114300" distR="114300" simplePos="0" relativeHeight="252551680" behindDoc="0" locked="0" layoutInCell="1" allowOverlap="1" wp14:anchorId="560D766E" wp14:editId="35D07E45">
            <wp:simplePos x="0" y="0"/>
            <wp:positionH relativeFrom="margin">
              <wp:posOffset>-1932</wp:posOffset>
            </wp:positionH>
            <wp:positionV relativeFrom="paragraph">
              <wp:posOffset>36112</wp:posOffset>
            </wp:positionV>
            <wp:extent cx="5804094" cy="3267710"/>
            <wp:effectExtent l="0" t="0" r="6350" b="8890"/>
            <wp:wrapNone/>
            <wp:docPr id="6" name="Graf 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79B8FC29" w14:textId="3B5F50EA" w:rsidR="00421CEF" w:rsidRDefault="00421CEF" w:rsidP="00D51E9A">
      <w:pPr>
        <w:spacing w:before="120"/>
        <w:ind w:hanging="6"/>
        <w:rPr>
          <w:noProof/>
          <w:sz w:val="20"/>
          <w:szCs w:val="20"/>
        </w:rPr>
      </w:pPr>
    </w:p>
    <w:p w14:paraId="35FCF617" w14:textId="44FB1D19" w:rsidR="00421CEF" w:rsidRDefault="00421CEF" w:rsidP="00D51E9A">
      <w:pPr>
        <w:spacing w:before="120"/>
        <w:ind w:hanging="6"/>
        <w:rPr>
          <w:noProof/>
          <w:sz w:val="20"/>
          <w:szCs w:val="20"/>
        </w:rPr>
      </w:pPr>
    </w:p>
    <w:p w14:paraId="7C8CAA40" w14:textId="6F610308" w:rsidR="00421CEF" w:rsidRDefault="00421CEF" w:rsidP="00D51E9A">
      <w:pPr>
        <w:spacing w:before="120"/>
        <w:ind w:hanging="6"/>
        <w:rPr>
          <w:noProof/>
          <w:sz w:val="20"/>
          <w:szCs w:val="20"/>
        </w:rPr>
      </w:pPr>
    </w:p>
    <w:p w14:paraId="4EDDC3AC" w14:textId="3CC621A5" w:rsidR="00421CEF" w:rsidRDefault="00421CEF" w:rsidP="00D51E9A">
      <w:pPr>
        <w:spacing w:before="120"/>
        <w:ind w:hanging="6"/>
        <w:rPr>
          <w:noProof/>
          <w:sz w:val="20"/>
          <w:szCs w:val="20"/>
        </w:rPr>
      </w:pPr>
    </w:p>
    <w:p w14:paraId="6268AE4F" w14:textId="6FE130FC" w:rsidR="00421CEF" w:rsidRDefault="00421CEF" w:rsidP="00D51E9A">
      <w:pPr>
        <w:spacing w:before="120"/>
        <w:ind w:hanging="6"/>
        <w:rPr>
          <w:noProof/>
          <w:sz w:val="20"/>
          <w:szCs w:val="20"/>
        </w:rPr>
      </w:pPr>
    </w:p>
    <w:p w14:paraId="061BC0ED" w14:textId="07422730" w:rsidR="00421CEF" w:rsidRDefault="00421CEF" w:rsidP="00D51E9A">
      <w:pPr>
        <w:spacing w:before="120"/>
        <w:ind w:hanging="6"/>
        <w:rPr>
          <w:noProof/>
          <w:sz w:val="20"/>
          <w:szCs w:val="20"/>
        </w:rPr>
      </w:pPr>
    </w:p>
    <w:p w14:paraId="3DC301C4" w14:textId="6DDA9FAA" w:rsidR="00421CEF" w:rsidRDefault="00421CEF" w:rsidP="00D51E9A">
      <w:pPr>
        <w:spacing w:before="120"/>
        <w:ind w:hanging="6"/>
        <w:rPr>
          <w:noProof/>
          <w:sz w:val="20"/>
          <w:szCs w:val="20"/>
        </w:rPr>
      </w:pPr>
    </w:p>
    <w:p w14:paraId="3671E883" w14:textId="09CABE41" w:rsidR="00421CEF" w:rsidRDefault="00421CEF" w:rsidP="00D51E9A">
      <w:pPr>
        <w:spacing w:before="120"/>
        <w:ind w:hanging="6"/>
        <w:rPr>
          <w:noProof/>
          <w:sz w:val="20"/>
          <w:szCs w:val="20"/>
        </w:rPr>
      </w:pPr>
    </w:p>
    <w:p w14:paraId="6F3D0F9A" w14:textId="7CF92B2A" w:rsidR="00421CEF" w:rsidRDefault="00421CEF" w:rsidP="00D51E9A">
      <w:pPr>
        <w:spacing w:before="120"/>
        <w:ind w:hanging="6"/>
        <w:rPr>
          <w:noProof/>
          <w:sz w:val="20"/>
          <w:szCs w:val="20"/>
        </w:rPr>
      </w:pPr>
    </w:p>
    <w:p w14:paraId="75FEBA38" w14:textId="36BBF04B" w:rsidR="00421CEF" w:rsidRDefault="00421CEF" w:rsidP="00D51E9A">
      <w:pPr>
        <w:spacing w:before="120"/>
        <w:ind w:hanging="6"/>
        <w:rPr>
          <w:noProof/>
          <w:sz w:val="20"/>
          <w:szCs w:val="20"/>
        </w:rPr>
      </w:pPr>
    </w:p>
    <w:p w14:paraId="023421F9" w14:textId="3367922C" w:rsidR="00421CEF" w:rsidRDefault="00421CEF" w:rsidP="00D51E9A">
      <w:pPr>
        <w:spacing w:before="120"/>
        <w:ind w:hanging="6"/>
        <w:rPr>
          <w:noProof/>
          <w:sz w:val="20"/>
          <w:szCs w:val="20"/>
        </w:rPr>
      </w:pPr>
    </w:p>
    <w:p w14:paraId="75FAC3C9" w14:textId="029E9B49" w:rsidR="00421CEF" w:rsidRDefault="00421CEF" w:rsidP="00D51E9A">
      <w:pPr>
        <w:spacing w:before="120"/>
        <w:ind w:hanging="6"/>
        <w:rPr>
          <w:noProof/>
          <w:sz w:val="20"/>
          <w:szCs w:val="20"/>
        </w:rPr>
      </w:pPr>
    </w:p>
    <w:p w14:paraId="002CFA5D" w14:textId="565BA181" w:rsidR="003C4989" w:rsidRDefault="003C4989" w:rsidP="00D51E9A">
      <w:pPr>
        <w:spacing w:before="120"/>
        <w:ind w:hanging="6"/>
        <w:rPr>
          <w:noProof/>
          <w:sz w:val="20"/>
          <w:szCs w:val="20"/>
        </w:rPr>
      </w:pPr>
    </w:p>
    <w:p w14:paraId="503F6790" w14:textId="77777777" w:rsidR="00AB2CA5" w:rsidRDefault="00AB2CA5" w:rsidP="00021798">
      <w:pPr>
        <w:tabs>
          <w:tab w:val="left" w:pos="1276"/>
        </w:tabs>
        <w:spacing w:before="120" w:after="0"/>
        <w:ind w:firstLine="0"/>
        <w:rPr>
          <w:color w:val="000000" w:themeColor="text1"/>
        </w:rPr>
      </w:pPr>
    </w:p>
    <w:p w14:paraId="588D65C0" w14:textId="1F7206B0" w:rsidR="003C4989" w:rsidRPr="00C35CA8" w:rsidRDefault="00021798" w:rsidP="00021798">
      <w:pPr>
        <w:tabs>
          <w:tab w:val="left" w:pos="1276"/>
        </w:tabs>
        <w:spacing w:before="120" w:after="0"/>
        <w:ind w:firstLine="0"/>
        <w:rPr>
          <w:color w:val="000000" w:themeColor="text1"/>
        </w:rPr>
      </w:pPr>
      <w:r w:rsidRPr="00021798">
        <w:rPr>
          <w:color w:val="000000" w:themeColor="text1"/>
        </w:rPr>
        <w:t xml:space="preserve">Z hľadiska doby evidencie, najväčšiu skupinu tvorili UoZ, ktorí boli v evidencii UoZ od 4 do 6 mesiacov – 336 (52,17 %), ďalšiu skupinu tvorili UoZ vedení v evidencii UoZ od 7 do 12 mesiacov 269 (41,77 %) a UoZ, ktorí boli vedení v evidencii UoZ od 0 do 3 </w:t>
      </w:r>
      <w:r>
        <w:rPr>
          <w:color w:val="000000" w:themeColor="text1"/>
        </w:rPr>
        <w:t xml:space="preserve">mesiacov v počte 35 (5,43 %), </w:t>
      </w:r>
      <w:r w:rsidRPr="00021798">
        <w:rPr>
          <w:color w:val="000000" w:themeColor="text1"/>
        </w:rPr>
        <w:t>v</w:t>
      </w:r>
      <w:r>
        <w:rPr>
          <w:color w:val="000000" w:themeColor="text1"/>
        </w:rPr>
        <w:t>iď graf</w:t>
      </w:r>
      <w:r w:rsidR="008756D6" w:rsidRPr="00C35CA8">
        <w:rPr>
          <w:color w:val="000000" w:themeColor="text1"/>
        </w:rPr>
        <w:t>.</w:t>
      </w:r>
    </w:p>
    <w:p w14:paraId="28AA9F28" w14:textId="2AC86D86" w:rsidR="00AB2CA5" w:rsidRDefault="00AB2CA5" w:rsidP="00021798">
      <w:pPr>
        <w:spacing w:before="120" w:after="0"/>
        <w:ind w:firstLine="0"/>
        <w:jc w:val="left"/>
        <w:rPr>
          <w:b/>
        </w:rPr>
      </w:pPr>
      <w:r w:rsidRPr="00C35CA8">
        <w:rPr>
          <w:noProof/>
          <w:sz w:val="20"/>
          <w:szCs w:val="20"/>
        </w:rPr>
        <w:drawing>
          <wp:anchor distT="0" distB="0" distL="114300" distR="114300" simplePos="0" relativeHeight="252449280" behindDoc="0" locked="0" layoutInCell="1" allowOverlap="1" wp14:anchorId="3CF50895" wp14:editId="168120C7">
            <wp:simplePos x="0" y="0"/>
            <wp:positionH relativeFrom="margin">
              <wp:posOffset>-1905</wp:posOffset>
            </wp:positionH>
            <wp:positionV relativeFrom="paragraph">
              <wp:posOffset>88072</wp:posOffset>
            </wp:positionV>
            <wp:extent cx="5899703" cy="2869565"/>
            <wp:effectExtent l="0" t="0" r="6350" b="6985"/>
            <wp:wrapNone/>
            <wp:docPr id="110" name="Graf 11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3EC699AB" w14:textId="0BC5078F" w:rsidR="00AB2CA5" w:rsidRDefault="00AB2CA5" w:rsidP="00021798">
      <w:pPr>
        <w:spacing w:before="120" w:after="0"/>
        <w:ind w:firstLine="0"/>
        <w:jc w:val="left"/>
        <w:rPr>
          <w:b/>
        </w:rPr>
      </w:pPr>
    </w:p>
    <w:p w14:paraId="3CA3E721" w14:textId="4B4A5DA8" w:rsidR="00AB2CA5" w:rsidRDefault="00AB2CA5" w:rsidP="00021798">
      <w:pPr>
        <w:spacing w:before="120" w:after="0"/>
        <w:ind w:firstLine="0"/>
        <w:jc w:val="left"/>
        <w:rPr>
          <w:b/>
        </w:rPr>
      </w:pPr>
    </w:p>
    <w:p w14:paraId="2BE15CD5" w14:textId="1F0E1388" w:rsidR="00AB2CA5" w:rsidRDefault="00AB2CA5" w:rsidP="00021798">
      <w:pPr>
        <w:spacing w:before="120" w:after="0"/>
        <w:ind w:firstLine="0"/>
        <w:jc w:val="left"/>
        <w:rPr>
          <w:b/>
        </w:rPr>
      </w:pPr>
    </w:p>
    <w:p w14:paraId="365C3831" w14:textId="017AEAAF" w:rsidR="00AB2CA5" w:rsidRDefault="00AB2CA5" w:rsidP="00021798">
      <w:pPr>
        <w:spacing w:before="120" w:after="0"/>
        <w:ind w:firstLine="0"/>
        <w:jc w:val="left"/>
        <w:rPr>
          <w:b/>
        </w:rPr>
      </w:pPr>
    </w:p>
    <w:p w14:paraId="1B1717D6" w14:textId="2952349A" w:rsidR="00AB2CA5" w:rsidRDefault="00AB2CA5" w:rsidP="00021798">
      <w:pPr>
        <w:spacing w:before="120" w:after="0"/>
        <w:ind w:firstLine="0"/>
        <w:jc w:val="left"/>
        <w:rPr>
          <w:b/>
        </w:rPr>
      </w:pPr>
    </w:p>
    <w:p w14:paraId="16FD1542" w14:textId="7DE263E4" w:rsidR="00AB2CA5" w:rsidRDefault="00AB2CA5" w:rsidP="00021798">
      <w:pPr>
        <w:spacing w:before="120" w:after="0"/>
        <w:ind w:firstLine="0"/>
        <w:jc w:val="left"/>
        <w:rPr>
          <w:b/>
        </w:rPr>
      </w:pPr>
    </w:p>
    <w:p w14:paraId="77944874" w14:textId="293D15B9" w:rsidR="00AB2CA5" w:rsidRDefault="00AB2CA5" w:rsidP="00021798">
      <w:pPr>
        <w:spacing w:before="120" w:after="0"/>
        <w:ind w:firstLine="0"/>
        <w:jc w:val="left"/>
        <w:rPr>
          <w:b/>
        </w:rPr>
      </w:pPr>
    </w:p>
    <w:p w14:paraId="68BD4F5D" w14:textId="40C398C4" w:rsidR="00AB2CA5" w:rsidRDefault="00AB2CA5" w:rsidP="00021798">
      <w:pPr>
        <w:spacing w:before="120" w:after="0"/>
        <w:ind w:firstLine="0"/>
        <w:jc w:val="left"/>
        <w:rPr>
          <w:b/>
        </w:rPr>
      </w:pPr>
    </w:p>
    <w:p w14:paraId="3664B317" w14:textId="7733D97C" w:rsidR="00AB2CA5" w:rsidRDefault="00AB2CA5" w:rsidP="00021798">
      <w:pPr>
        <w:spacing w:before="120" w:after="0"/>
        <w:ind w:firstLine="0"/>
        <w:jc w:val="left"/>
        <w:rPr>
          <w:b/>
        </w:rPr>
      </w:pPr>
    </w:p>
    <w:p w14:paraId="1878B9F3" w14:textId="0D4F00DB" w:rsidR="00AB2CA5" w:rsidRDefault="00AB2CA5" w:rsidP="00021798">
      <w:pPr>
        <w:spacing w:before="120" w:after="0"/>
        <w:ind w:firstLine="0"/>
        <w:jc w:val="left"/>
        <w:rPr>
          <w:b/>
        </w:rPr>
      </w:pPr>
    </w:p>
    <w:p w14:paraId="5CB9477E" w14:textId="11137B81" w:rsidR="00AB2CA5" w:rsidRDefault="00AB2CA5" w:rsidP="00021798">
      <w:pPr>
        <w:spacing w:before="120" w:after="0"/>
        <w:ind w:firstLine="0"/>
        <w:jc w:val="left"/>
        <w:rPr>
          <w:b/>
        </w:rPr>
      </w:pPr>
    </w:p>
    <w:p w14:paraId="6D85847F" w14:textId="1D25CF76" w:rsidR="003C4989" w:rsidRPr="00C35CA8" w:rsidRDefault="003C4989" w:rsidP="00021798">
      <w:pPr>
        <w:spacing w:before="120" w:after="0"/>
        <w:ind w:firstLine="0"/>
        <w:jc w:val="left"/>
        <w:rPr>
          <w:b/>
        </w:rPr>
      </w:pPr>
      <w:r w:rsidRPr="00C35CA8">
        <w:rPr>
          <w:b/>
        </w:rPr>
        <w:lastRenderedPageBreak/>
        <w:t xml:space="preserve">Príspevok na podporu mobility za prácou </w:t>
      </w:r>
    </w:p>
    <w:p w14:paraId="340F2B62" w14:textId="5399F1BF" w:rsidR="00021798" w:rsidRDefault="00021798" w:rsidP="00021798">
      <w:pPr>
        <w:spacing w:before="120" w:after="0"/>
        <w:ind w:hanging="6"/>
      </w:pPr>
      <w:r>
        <w:t>Príspevok na podporu mobility za prácou sa poskytuje UoZ ako náhrada časti výdavkov na bývanie súvisiacich so zmenou trvalého pobytu alebo prechodného pobytu o najmenej 50 kilometrov - v súvislosti so získaním zamestnania najmenej na 6 mesiacov. Príspevok bol poskytovaný do 31.</w:t>
      </w:r>
      <w:r w:rsidR="00AB2CA5">
        <w:t xml:space="preserve"> </w:t>
      </w:r>
      <w:r>
        <w:t>10.</w:t>
      </w:r>
      <w:r w:rsidR="00AB2CA5">
        <w:t xml:space="preserve"> </w:t>
      </w:r>
      <w:r>
        <w:t>2023.</w:t>
      </w:r>
    </w:p>
    <w:p w14:paraId="450025BE" w14:textId="62C17B54" w:rsidR="00021798" w:rsidRDefault="00021798" w:rsidP="00021798">
      <w:pPr>
        <w:spacing w:before="120" w:after="0"/>
        <w:ind w:hanging="6"/>
      </w:pPr>
      <w:r>
        <w:t xml:space="preserve">V roku 2023 boli prijaté </w:t>
      </w:r>
      <w:r w:rsidR="00AB2CA5">
        <w:t xml:space="preserve">len </w:t>
      </w:r>
      <w:r>
        <w:t>3 žiadosti na podpo</w:t>
      </w:r>
      <w:r w:rsidR="00AB2CA5">
        <w:t>ru mobility za prácou</w:t>
      </w:r>
      <w:r>
        <w:t xml:space="preserve">. </w:t>
      </w:r>
      <w:r w:rsidR="00AB2CA5">
        <w:t xml:space="preserve">Počas roka boli podporovaní </w:t>
      </w:r>
      <w:r>
        <w:t xml:space="preserve">4 žiadatelia, </w:t>
      </w:r>
      <w:r w:rsidR="00AB2CA5">
        <w:t>všetci boli muži,  celková</w:t>
      </w:r>
      <w:r>
        <w:t xml:space="preserve"> sum</w:t>
      </w:r>
      <w:r w:rsidR="00AB2CA5">
        <w:t>a</w:t>
      </w:r>
      <w:r>
        <w:t xml:space="preserve"> </w:t>
      </w:r>
      <w:r w:rsidR="00AB2CA5">
        <w:t xml:space="preserve">poskytnutých </w:t>
      </w:r>
      <w:r>
        <w:t>finančných prostriedkov</w:t>
      </w:r>
      <w:r w:rsidR="00AB2CA5">
        <w:t xml:space="preserve"> bola</w:t>
      </w:r>
      <w:r>
        <w:t xml:space="preserve"> 31 925 eur, čo je o 202 388 eur menej ako v roku 2022.  </w:t>
      </w:r>
    </w:p>
    <w:p w14:paraId="5F87A533" w14:textId="42FF6CEE" w:rsidR="003C4989" w:rsidRPr="00C35CA8" w:rsidRDefault="00021798" w:rsidP="00021798">
      <w:pPr>
        <w:spacing w:before="120" w:after="0"/>
        <w:ind w:hanging="6"/>
      </w:pPr>
      <w:r>
        <w:t>Z hľadiska vekovej štruktúry, boli podporený 3 žiadatelia vo veku od 30 do 49 rokov (75 %) a 1 žiadateľ vo veku od 25 do 29 rokov (25 %), v štruktúre podľa grafu nižšie.</w:t>
      </w:r>
    </w:p>
    <w:p w14:paraId="6564BBDD" w14:textId="447ED6EC" w:rsidR="00421B95" w:rsidRPr="00C35CA8" w:rsidRDefault="00021798" w:rsidP="00AA7E7B">
      <w:pPr>
        <w:spacing w:before="120" w:after="0"/>
        <w:ind w:firstLine="0"/>
      </w:pPr>
      <w:r w:rsidRPr="00897948">
        <w:rPr>
          <w:noProof/>
          <w:sz w:val="20"/>
          <w:szCs w:val="20"/>
        </w:rPr>
        <w:drawing>
          <wp:anchor distT="0" distB="0" distL="114300" distR="114300" simplePos="0" relativeHeight="252555776" behindDoc="1" locked="0" layoutInCell="1" allowOverlap="1" wp14:anchorId="1B34EB58" wp14:editId="52410B24">
            <wp:simplePos x="0" y="0"/>
            <wp:positionH relativeFrom="margin">
              <wp:posOffset>-1933</wp:posOffset>
            </wp:positionH>
            <wp:positionV relativeFrom="paragraph">
              <wp:posOffset>60518</wp:posOffset>
            </wp:positionV>
            <wp:extent cx="5867400" cy="2894137"/>
            <wp:effectExtent l="0" t="0" r="0" b="1905"/>
            <wp:wrapNone/>
            <wp:docPr id="1" name="Graf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6487F150" w14:textId="0637999D" w:rsidR="003C4989" w:rsidRPr="00C35CA8" w:rsidRDefault="003C4989" w:rsidP="00AA7E7B">
      <w:pPr>
        <w:spacing w:before="120"/>
        <w:ind w:hanging="6"/>
      </w:pPr>
    </w:p>
    <w:p w14:paraId="4E4176B5" w14:textId="77777777" w:rsidR="003C4989" w:rsidRPr="00C35CA8" w:rsidRDefault="003C4989" w:rsidP="00AA7E7B">
      <w:pPr>
        <w:spacing w:before="120"/>
        <w:ind w:hanging="6"/>
      </w:pPr>
    </w:p>
    <w:p w14:paraId="4073E621" w14:textId="77777777" w:rsidR="003C4989" w:rsidRPr="00C35CA8" w:rsidRDefault="003C4989" w:rsidP="00AA7E7B">
      <w:pPr>
        <w:spacing w:before="120"/>
        <w:ind w:hanging="6"/>
      </w:pPr>
    </w:p>
    <w:p w14:paraId="39505ACD" w14:textId="77777777" w:rsidR="003C4989" w:rsidRPr="00C35CA8" w:rsidRDefault="003C4989" w:rsidP="00AA7E7B">
      <w:pPr>
        <w:spacing w:before="120"/>
        <w:ind w:firstLine="0"/>
        <w:jc w:val="left"/>
      </w:pPr>
    </w:p>
    <w:p w14:paraId="5AB84A01" w14:textId="77777777" w:rsidR="003C4989" w:rsidRPr="00C35CA8" w:rsidRDefault="003C4989" w:rsidP="00AA7E7B">
      <w:pPr>
        <w:spacing w:before="120"/>
        <w:ind w:firstLine="0"/>
        <w:jc w:val="left"/>
      </w:pPr>
    </w:p>
    <w:p w14:paraId="6AFBF8E7" w14:textId="77777777" w:rsidR="003C4989" w:rsidRPr="00C35CA8" w:rsidRDefault="003C4989" w:rsidP="00AA7E7B">
      <w:pPr>
        <w:spacing w:before="120"/>
        <w:ind w:firstLine="0"/>
      </w:pPr>
    </w:p>
    <w:p w14:paraId="08E8D6CF" w14:textId="77777777" w:rsidR="00D84429" w:rsidRPr="00C35CA8" w:rsidRDefault="00D84429" w:rsidP="00AA7E7B">
      <w:pPr>
        <w:tabs>
          <w:tab w:val="left" w:pos="6420"/>
        </w:tabs>
        <w:spacing w:after="0"/>
        <w:ind w:firstLine="0"/>
        <w:rPr>
          <w:color w:val="000000" w:themeColor="text1"/>
        </w:rPr>
      </w:pPr>
    </w:p>
    <w:p w14:paraId="76EB8FD6" w14:textId="77777777" w:rsidR="00D84429" w:rsidRPr="00C35CA8" w:rsidRDefault="00D84429" w:rsidP="00AA7E7B">
      <w:pPr>
        <w:tabs>
          <w:tab w:val="left" w:pos="6420"/>
        </w:tabs>
        <w:spacing w:after="0"/>
        <w:ind w:firstLine="0"/>
        <w:rPr>
          <w:color w:val="000000" w:themeColor="text1"/>
        </w:rPr>
      </w:pPr>
    </w:p>
    <w:p w14:paraId="0C6A361A" w14:textId="77777777" w:rsidR="00021798" w:rsidRDefault="00021798" w:rsidP="00AA7E7B">
      <w:pPr>
        <w:tabs>
          <w:tab w:val="left" w:pos="6420"/>
        </w:tabs>
        <w:spacing w:after="0"/>
        <w:ind w:firstLine="0"/>
        <w:rPr>
          <w:color w:val="000000" w:themeColor="text1"/>
        </w:rPr>
      </w:pPr>
    </w:p>
    <w:p w14:paraId="46A7B0CF" w14:textId="77777777" w:rsidR="00021798" w:rsidRDefault="00021798" w:rsidP="00AA7E7B">
      <w:pPr>
        <w:tabs>
          <w:tab w:val="left" w:pos="6420"/>
        </w:tabs>
        <w:spacing w:after="0"/>
        <w:ind w:firstLine="0"/>
        <w:rPr>
          <w:color w:val="000000" w:themeColor="text1"/>
        </w:rPr>
      </w:pPr>
    </w:p>
    <w:p w14:paraId="78E83179" w14:textId="77777777" w:rsidR="00021798" w:rsidRDefault="00021798" w:rsidP="00AA7E7B">
      <w:pPr>
        <w:tabs>
          <w:tab w:val="left" w:pos="6420"/>
        </w:tabs>
        <w:spacing w:after="0"/>
        <w:ind w:firstLine="0"/>
        <w:rPr>
          <w:color w:val="000000" w:themeColor="text1"/>
        </w:rPr>
      </w:pPr>
    </w:p>
    <w:p w14:paraId="40933B65" w14:textId="77777777" w:rsidR="00021798" w:rsidRDefault="00021798" w:rsidP="00AA7E7B">
      <w:pPr>
        <w:tabs>
          <w:tab w:val="left" w:pos="6420"/>
        </w:tabs>
        <w:spacing w:after="0"/>
        <w:ind w:firstLine="0"/>
        <w:rPr>
          <w:color w:val="000000" w:themeColor="text1"/>
        </w:rPr>
      </w:pPr>
    </w:p>
    <w:p w14:paraId="52375611" w14:textId="77777777" w:rsidR="00021798" w:rsidRDefault="00021798" w:rsidP="00AA7E7B">
      <w:pPr>
        <w:tabs>
          <w:tab w:val="left" w:pos="6420"/>
        </w:tabs>
        <w:spacing w:after="0"/>
        <w:ind w:firstLine="0"/>
        <w:rPr>
          <w:color w:val="000000" w:themeColor="text1"/>
        </w:rPr>
      </w:pPr>
    </w:p>
    <w:p w14:paraId="6F7A5094" w14:textId="068C2CFA" w:rsidR="00255BCB" w:rsidRDefault="00255BCB" w:rsidP="00AB2CA5">
      <w:pPr>
        <w:spacing w:after="0"/>
        <w:ind w:hanging="6"/>
        <w:rPr>
          <w:color w:val="000000" w:themeColor="text1"/>
        </w:rPr>
      </w:pPr>
      <w:r w:rsidRPr="00897948">
        <w:rPr>
          <w:noProof/>
          <w:sz w:val="20"/>
          <w:szCs w:val="20"/>
        </w:rPr>
        <w:drawing>
          <wp:anchor distT="0" distB="0" distL="114300" distR="114300" simplePos="0" relativeHeight="252557824" behindDoc="0" locked="0" layoutInCell="1" allowOverlap="1" wp14:anchorId="5C222710" wp14:editId="472BD940">
            <wp:simplePos x="0" y="0"/>
            <wp:positionH relativeFrom="margin">
              <wp:posOffset>-2540</wp:posOffset>
            </wp:positionH>
            <wp:positionV relativeFrom="paragraph">
              <wp:posOffset>602477</wp:posOffset>
            </wp:positionV>
            <wp:extent cx="5867400" cy="2798445"/>
            <wp:effectExtent l="0" t="0" r="0" b="1905"/>
            <wp:wrapTopAndBottom/>
            <wp:docPr id="12" name="Graf 1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003C4989" w:rsidRPr="00C35CA8">
        <w:rPr>
          <w:color w:val="000000" w:themeColor="text1"/>
        </w:rPr>
        <w:t>Z hľadiska dosiahnutého stupňa vzdelania, najväčšiu skupinu zaradených tvorili UoZ s vysokoškolským vzd</w:t>
      </w:r>
      <w:r w:rsidR="00A7572F" w:rsidRPr="00C35CA8">
        <w:rPr>
          <w:color w:val="000000" w:themeColor="text1"/>
        </w:rPr>
        <w:t>elaním druhého stupňa v počte 19 (50,00</w:t>
      </w:r>
      <w:r w:rsidR="003C4989" w:rsidRPr="00C35CA8">
        <w:rPr>
          <w:color w:val="000000" w:themeColor="text1"/>
        </w:rPr>
        <w:t xml:space="preserve"> %), ďalšiu skupinu tvorili UoZ úplným stredn</w:t>
      </w:r>
      <w:r w:rsidR="00A7572F" w:rsidRPr="00C35CA8">
        <w:rPr>
          <w:color w:val="000000" w:themeColor="text1"/>
        </w:rPr>
        <w:t>ým odborným vzdelaním v počte 10 (26,32</w:t>
      </w:r>
      <w:r w:rsidR="003C4989" w:rsidRPr="00C35CA8">
        <w:rPr>
          <w:color w:val="000000" w:themeColor="text1"/>
        </w:rPr>
        <w:t xml:space="preserve"> %)</w:t>
      </w:r>
      <w:r w:rsidR="008E390B" w:rsidRPr="00C35CA8">
        <w:rPr>
          <w:color w:val="000000" w:themeColor="text1"/>
        </w:rPr>
        <w:t xml:space="preserve"> </w:t>
      </w:r>
      <w:r>
        <w:rPr>
          <w:color w:val="000000" w:themeColor="text1"/>
        </w:rPr>
        <w:t xml:space="preserve">a iní, </w:t>
      </w:r>
      <w:r w:rsidR="00897948" w:rsidRPr="00C35CA8">
        <w:rPr>
          <w:color w:val="000000" w:themeColor="text1"/>
        </w:rPr>
        <w:t>v štruktúre podľa grafu</w:t>
      </w:r>
      <w:r>
        <w:rPr>
          <w:color w:val="000000" w:themeColor="text1"/>
        </w:rPr>
        <w:t>.</w:t>
      </w:r>
    </w:p>
    <w:p w14:paraId="32B31595" w14:textId="4E8F6DF6" w:rsidR="00A632FD" w:rsidRPr="00C35CA8" w:rsidRDefault="00021798" w:rsidP="00255BCB">
      <w:pPr>
        <w:spacing w:before="120" w:after="0"/>
        <w:ind w:hanging="6"/>
        <w:rPr>
          <w:color w:val="000000" w:themeColor="text1"/>
        </w:rPr>
      </w:pPr>
      <w:r w:rsidRPr="00021798">
        <w:rPr>
          <w:color w:val="000000" w:themeColor="text1"/>
        </w:rPr>
        <w:t>Z hľadiska doby evidencie, všetci 4 zaradení tvorili UoZ, ktorí boli v evidencii UoZ od 4 do 6 mesiacov.</w:t>
      </w:r>
    </w:p>
    <w:p w14:paraId="03100328" w14:textId="77777777" w:rsidR="00FB61E8" w:rsidRDefault="00FB61E8" w:rsidP="00FB61E8">
      <w:pPr>
        <w:spacing w:before="120"/>
        <w:rPr>
          <w:b/>
        </w:rPr>
      </w:pPr>
    </w:p>
    <w:p w14:paraId="4C32DBBA" w14:textId="77777777" w:rsidR="00FB61E8" w:rsidRDefault="00FB61E8" w:rsidP="00FB61E8">
      <w:pPr>
        <w:spacing w:before="120"/>
        <w:rPr>
          <w:b/>
        </w:rPr>
      </w:pPr>
    </w:p>
    <w:p w14:paraId="70AA5E2B" w14:textId="22D47901" w:rsidR="00FB61E8" w:rsidRPr="0051619E" w:rsidRDefault="00FB61E8" w:rsidP="00FB61E8">
      <w:pPr>
        <w:spacing w:before="120"/>
      </w:pPr>
      <w:r w:rsidRPr="0051619E">
        <w:rPr>
          <w:b/>
        </w:rPr>
        <w:lastRenderedPageBreak/>
        <w:t xml:space="preserve">Príspevok na presťahovanie za prácou </w:t>
      </w:r>
    </w:p>
    <w:p w14:paraId="52EB9D84" w14:textId="6B6968E4" w:rsidR="00FB61E8" w:rsidRPr="0051619E" w:rsidRDefault="00FB61E8" w:rsidP="00FB61E8">
      <w:pPr>
        <w:spacing w:before="120" w:after="0"/>
        <w:rPr>
          <w:bCs/>
        </w:rPr>
      </w:pPr>
      <w:r w:rsidRPr="0051619E">
        <w:rPr>
          <w:bCs/>
        </w:rPr>
        <w:t xml:space="preserve">Príspevok na presťahovanie za prácou sa poskytuje UoZ ako úhrada časti výdavkov na bývanie a nákladov na presťahovanie súvisiacich so zmenou trvalého pobytu o najmenej 70 kilometrov v súvislosti so získaním zamestnania najmenej na 6 mesiacov. </w:t>
      </w:r>
      <w:r w:rsidRPr="0051619E">
        <w:t xml:space="preserve">Príspevok bol poskytovaný do </w:t>
      </w:r>
      <w:r w:rsidR="00CA2C34">
        <w:t xml:space="preserve">    </w:t>
      </w:r>
      <w:r w:rsidRPr="0051619E">
        <w:t>31.</w:t>
      </w:r>
      <w:r>
        <w:t xml:space="preserve"> </w:t>
      </w:r>
      <w:r w:rsidRPr="0051619E">
        <w:t>10.</w:t>
      </w:r>
      <w:r>
        <w:t xml:space="preserve"> </w:t>
      </w:r>
      <w:r w:rsidRPr="0051619E">
        <w:t>2023.</w:t>
      </w:r>
    </w:p>
    <w:p w14:paraId="3406C192" w14:textId="50E5D256" w:rsidR="00FB61E8" w:rsidRPr="0051619E" w:rsidRDefault="00FB61E8" w:rsidP="00CA2C34">
      <w:pPr>
        <w:spacing w:before="120" w:after="120"/>
        <w:ind w:hanging="6"/>
      </w:pPr>
      <w:r w:rsidRPr="0051619E">
        <w:t xml:space="preserve">V roku 2023 bol príspevok na presťahovanie za prácou poskytnutý celkom 3 žiadateľom, z toho 1 mužovi </w:t>
      </w:r>
      <w:r w:rsidR="00CA2C34">
        <w:t>a 2 ženám v</w:t>
      </w:r>
      <w:r w:rsidRPr="0051619E">
        <w:t xml:space="preserve"> celkovej poskytnutej sume finančných prostriedkov 54 879 eur, čo je o 79 571 eur menej ako v roku 2022.  </w:t>
      </w:r>
    </w:p>
    <w:p w14:paraId="023CD81B" w14:textId="4797AAC5" w:rsidR="00FB61E8" w:rsidRPr="0051619E" w:rsidRDefault="00FB61E8" w:rsidP="00626069">
      <w:pPr>
        <w:spacing w:after="0"/>
        <w:ind w:hanging="6"/>
        <w:rPr>
          <w:color w:val="000000" w:themeColor="text1"/>
        </w:rPr>
      </w:pPr>
      <w:r w:rsidRPr="0051619E">
        <w:rPr>
          <w:color w:val="000000" w:themeColor="text1"/>
        </w:rPr>
        <w:t>Z hľadiska vekovej štruktúry, boli všetci podporený žiadatelia vo veku od 30 do 49 rokov vrátane.</w:t>
      </w:r>
    </w:p>
    <w:p w14:paraId="733B4405" w14:textId="68752947" w:rsidR="00FB61E8" w:rsidRPr="0051619E" w:rsidRDefault="00FB61E8" w:rsidP="00A108B9">
      <w:pPr>
        <w:spacing w:before="120" w:after="120"/>
        <w:ind w:hanging="6"/>
      </w:pPr>
      <w:r w:rsidRPr="0051619E">
        <w:rPr>
          <w:color w:val="000000" w:themeColor="text1"/>
        </w:rPr>
        <w:t>Ani jeden podporený žiadateľ nebol znevýhodnený uchádzač o zamestnanie.</w:t>
      </w:r>
    </w:p>
    <w:p w14:paraId="0CC30178" w14:textId="05DA4D38" w:rsidR="00AB2CA5" w:rsidRDefault="00FB61E8" w:rsidP="00626069">
      <w:pPr>
        <w:spacing w:after="0"/>
        <w:ind w:firstLine="0"/>
        <w:rPr>
          <w:color w:val="000000" w:themeColor="text1"/>
        </w:rPr>
      </w:pPr>
      <w:r w:rsidRPr="0051619E">
        <w:rPr>
          <w:color w:val="000000" w:themeColor="text1"/>
        </w:rPr>
        <w:t xml:space="preserve">Z hľadiska najvyššieho dosiahnutého stupňa vzdelania, </w:t>
      </w:r>
      <w:r w:rsidR="00A108B9">
        <w:rPr>
          <w:color w:val="000000" w:themeColor="text1"/>
        </w:rPr>
        <w:t>boli rovnako zastúpení žiadatelia s</w:t>
      </w:r>
      <w:r w:rsidRPr="0051619E">
        <w:rPr>
          <w:color w:val="000000" w:themeColor="text1"/>
        </w:rPr>
        <w:t xml:space="preserve"> úplným stredným odborným vzdelaním, vysokoškolským vzdelaním prvého stupňa a vysokoško</w:t>
      </w:r>
      <w:r w:rsidR="00A108B9">
        <w:rPr>
          <w:color w:val="000000" w:themeColor="text1"/>
        </w:rPr>
        <w:t>lským vzdelaním druhého stupňa viď graf</w:t>
      </w:r>
      <w:r>
        <w:rPr>
          <w:color w:val="000000" w:themeColor="text1"/>
        </w:rPr>
        <w:t>.</w:t>
      </w:r>
    </w:p>
    <w:p w14:paraId="2CD1EECD" w14:textId="207F2501" w:rsidR="00626069" w:rsidRDefault="00626069" w:rsidP="00FB61E8">
      <w:pPr>
        <w:spacing w:before="120" w:after="0"/>
        <w:rPr>
          <w:color w:val="000000" w:themeColor="text1"/>
        </w:rPr>
      </w:pPr>
      <w:r w:rsidRPr="0067351C">
        <w:rPr>
          <w:noProof/>
          <w:sz w:val="20"/>
          <w:szCs w:val="20"/>
        </w:rPr>
        <w:drawing>
          <wp:anchor distT="0" distB="0" distL="114300" distR="114300" simplePos="0" relativeHeight="252559872" behindDoc="0" locked="0" layoutInCell="1" allowOverlap="1" wp14:anchorId="0DEE7815" wp14:editId="74A05D25">
            <wp:simplePos x="0" y="0"/>
            <wp:positionH relativeFrom="margin">
              <wp:posOffset>-1905</wp:posOffset>
            </wp:positionH>
            <wp:positionV relativeFrom="paragraph">
              <wp:posOffset>91827</wp:posOffset>
            </wp:positionV>
            <wp:extent cx="5868035" cy="2926080"/>
            <wp:effectExtent l="0" t="0" r="18415" b="7620"/>
            <wp:wrapNone/>
            <wp:docPr id="225" name="Graf 22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66BD9BB4" w14:textId="28B1D386" w:rsidR="00626069" w:rsidRDefault="00626069" w:rsidP="00FB61E8">
      <w:pPr>
        <w:spacing w:before="120" w:after="0"/>
        <w:rPr>
          <w:color w:val="000000" w:themeColor="text1"/>
        </w:rPr>
      </w:pPr>
    </w:p>
    <w:p w14:paraId="2C4D1BE2" w14:textId="488CF3A6" w:rsidR="00626069" w:rsidRDefault="00626069" w:rsidP="00FB61E8">
      <w:pPr>
        <w:spacing w:before="120" w:after="0"/>
        <w:rPr>
          <w:color w:val="000000" w:themeColor="text1"/>
        </w:rPr>
      </w:pPr>
    </w:p>
    <w:p w14:paraId="2B15F110" w14:textId="31ADC69B" w:rsidR="00626069" w:rsidRDefault="00626069" w:rsidP="00FB61E8">
      <w:pPr>
        <w:spacing w:before="120" w:after="0"/>
        <w:rPr>
          <w:color w:val="000000" w:themeColor="text1"/>
        </w:rPr>
      </w:pPr>
    </w:p>
    <w:p w14:paraId="7323024D" w14:textId="5CFE26DC" w:rsidR="00626069" w:rsidRDefault="00626069" w:rsidP="00FB61E8">
      <w:pPr>
        <w:spacing w:before="120" w:after="0"/>
        <w:rPr>
          <w:color w:val="000000" w:themeColor="text1"/>
        </w:rPr>
      </w:pPr>
    </w:p>
    <w:p w14:paraId="76CB60CE" w14:textId="47DB3160" w:rsidR="00626069" w:rsidRDefault="00626069" w:rsidP="00FB61E8">
      <w:pPr>
        <w:spacing w:before="120" w:after="0"/>
        <w:rPr>
          <w:color w:val="000000" w:themeColor="text1"/>
        </w:rPr>
      </w:pPr>
    </w:p>
    <w:p w14:paraId="5ADB1064" w14:textId="1A1774B5" w:rsidR="00626069" w:rsidRDefault="00626069" w:rsidP="00FB61E8">
      <w:pPr>
        <w:spacing w:before="120" w:after="0"/>
        <w:rPr>
          <w:color w:val="000000" w:themeColor="text1"/>
        </w:rPr>
      </w:pPr>
    </w:p>
    <w:p w14:paraId="5E6A7C4D" w14:textId="5BC3CD70" w:rsidR="00626069" w:rsidRDefault="00626069" w:rsidP="00FB61E8">
      <w:pPr>
        <w:spacing w:before="120" w:after="0"/>
        <w:rPr>
          <w:color w:val="000000" w:themeColor="text1"/>
        </w:rPr>
      </w:pPr>
    </w:p>
    <w:p w14:paraId="4D71B783" w14:textId="77777777" w:rsidR="00626069" w:rsidRDefault="00626069" w:rsidP="00FB61E8">
      <w:pPr>
        <w:spacing w:before="120" w:after="0"/>
        <w:rPr>
          <w:color w:val="000000" w:themeColor="text1"/>
        </w:rPr>
      </w:pPr>
    </w:p>
    <w:p w14:paraId="6104CAD3" w14:textId="77777777" w:rsidR="00626069" w:rsidRDefault="00626069" w:rsidP="00FB61E8">
      <w:pPr>
        <w:spacing w:before="120" w:after="0"/>
        <w:rPr>
          <w:color w:val="000000" w:themeColor="text1"/>
        </w:rPr>
      </w:pPr>
    </w:p>
    <w:p w14:paraId="3DBDAE09" w14:textId="77777777" w:rsidR="00626069" w:rsidRDefault="00626069" w:rsidP="00FB61E8">
      <w:pPr>
        <w:spacing w:before="120" w:after="0"/>
        <w:rPr>
          <w:color w:val="000000" w:themeColor="text1"/>
        </w:rPr>
      </w:pPr>
    </w:p>
    <w:p w14:paraId="13D6BD01" w14:textId="77777777" w:rsidR="00626069" w:rsidRDefault="00626069" w:rsidP="00FB61E8">
      <w:pPr>
        <w:spacing w:before="120" w:after="0"/>
        <w:rPr>
          <w:color w:val="000000" w:themeColor="text1"/>
        </w:rPr>
      </w:pPr>
    </w:p>
    <w:p w14:paraId="02437D38" w14:textId="54D14C13" w:rsidR="00FB61E8" w:rsidRDefault="00A108B9" w:rsidP="00FB61E8">
      <w:pPr>
        <w:spacing w:before="120" w:after="0"/>
        <w:rPr>
          <w:color w:val="000000" w:themeColor="text1"/>
        </w:rPr>
      </w:pPr>
      <w:r>
        <w:rPr>
          <w:color w:val="000000" w:themeColor="text1"/>
        </w:rPr>
        <w:t>Štruktúru zaradených z aspektu dĺžky evidencie vidno z</w:t>
      </w:r>
      <w:r w:rsidR="00FB61E8">
        <w:rPr>
          <w:color w:val="000000" w:themeColor="text1"/>
        </w:rPr>
        <w:t xml:space="preserve"> grafu</w:t>
      </w:r>
      <w:r w:rsidR="00FB61E8" w:rsidRPr="0051619E">
        <w:rPr>
          <w:color w:val="000000" w:themeColor="text1"/>
        </w:rPr>
        <w:t>.</w:t>
      </w:r>
    </w:p>
    <w:p w14:paraId="7C60661E" w14:textId="53977396" w:rsidR="00A108B9" w:rsidRDefault="00A108B9" w:rsidP="00FB61E8">
      <w:pPr>
        <w:spacing w:before="120" w:after="0"/>
        <w:rPr>
          <w:color w:val="000000" w:themeColor="text1"/>
        </w:rPr>
      </w:pPr>
      <w:r w:rsidRPr="0067351C">
        <w:rPr>
          <w:noProof/>
          <w:sz w:val="20"/>
          <w:szCs w:val="20"/>
        </w:rPr>
        <w:drawing>
          <wp:anchor distT="0" distB="0" distL="114300" distR="114300" simplePos="0" relativeHeight="252561920" behindDoc="1" locked="0" layoutInCell="1" allowOverlap="1" wp14:anchorId="6E3768FC" wp14:editId="1A8A7939">
            <wp:simplePos x="0" y="0"/>
            <wp:positionH relativeFrom="margin">
              <wp:posOffset>-2651</wp:posOffset>
            </wp:positionH>
            <wp:positionV relativeFrom="paragraph">
              <wp:posOffset>103505</wp:posOffset>
            </wp:positionV>
            <wp:extent cx="5868035" cy="2798445"/>
            <wp:effectExtent l="0" t="0" r="18415" b="1905"/>
            <wp:wrapNone/>
            <wp:docPr id="246" name="Graf 246">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24A00966" w14:textId="37EB157D" w:rsidR="00A108B9" w:rsidRDefault="00A108B9" w:rsidP="00FB61E8">
      <w:pPr>
        <w:spacing w:before="120" w:after="0"/>
        <w:rPr>
          <w:color w:val="000000" w:themeColor="text1"/>
        </w:rPr>
      </w:pPr>
    </w:p>
    <w:p w14:paraId="73082FA0" w14:textId="471D8C2D" w:rsidR="00A108B9" w:rsidRDefault="00A108B9" w:rsidP="00255BCB">
      <w:pPr>
        <w:pStyle w:val="Nadpis30"/>
        <w:tabs>
          <w:tab w:val="left" w:pos="567"/>
        </w:tabs>
        <w:spacing w:before="240" w:after="120"/>
        <w:ind w:firstLine="0"/>
      </w:pPr>
    </w:p>
    <w:p w14:paraId="0AA0A254" w14:textId="625E4E80" w:rsidR="00A108B9" w:rsidRDefault="00A108B9" w:rsidP="00255BCB">
      <w:pPr>
        <w:pStyle w:val="Nadpis30"/>
        <w:tabs>
          <w:tab w:val="left" w:pos="567"/>
        </w:tabs>
        <w:spacing w:before="240" w:after="120"/>
        <w:ind w:firstLine="0"/>
      </w:pPr>
    </w:p>
    <w:p w14:paraId="27847A8A" w14:textId="6A769F12" w:rsidR="00A108B9" w:rsidRDefault="00A108B9" w:rsidP="00255BCB">
      <w:pPr>
        <w:pStyle w:val="Nadpis30"/>
        <w:tabs>
          <w:tab w:val="left" w:pos="567"/>
        </w:tabs>
        <w:spacing w:before="240" w:after="120"/>
        <w:ind w:firstLine="0"/>
      </w:pPr>
    </w:p>
    <w:p w14:paraId="099B8FC8" w14:textId="3312E3D6" w:rsidR="00A108B9" w:rsidRDefault="00A108B9" w:rsidP="00255BCB">
      <w:pPr>
        <w:pStyle w:val="Nadpis30"/>
        <w:tabs>
          <w:tab w:val="left" w:pos="567"/>
        </w:tabs>
        <w:spacing w:before="240" w:after="120"/>
        <w:ind w:firstLine="0"/>
      </w:pPr>
    </w:p>
    <w:p w14:paraId="10BDE605" w14:textId="31498167" w:rsidR="00A108B9" w:rsidRDefault="00A108B9" w:rsidP="00255BCB">
      <w:pPr>
        <w:pStyle w:val="Nadpis30"/>
        <w:tabs>
          <w:tab w:val="left" w:pos="567"/>
        </w:tabs>
        <w:spacing w:before="240" w:after="120"/>
        <w:ind w:firstLine="0"/>
      </w:pPr>
    </w:p>
    <w:p w14:paraId="661D1515" w14:textId="547E220A" w:rsidR="00A108B9" w:rsidRDefault="00A108B9" w:rsidP="00255BCB">
      <w:pPr>
        <w:pStyle w:val="Nadpis30"/>
        <w:tabs>
          <w:tab w:val="left" w:pos="567"/>
        </w:tabs>
        <w:spacing w:before="240" w:after="120"/>
        <w:ind w:firstLine="0"/>
      </w:pPr>
    </w:p>
    <w:p w14:paraId="740FF2A9" w14:textId="77777777" w:rsidR="00A108B9" w:rsidRDefault="00A108B9" w:rsidP="00255BCB">
      <w:pPr>
        <w:pStyle w:val="Nadpis30"/>
        <w:tabs>
          <w:tab w:val="left" w:pos="567"/>
        </w:tabs>
        <w:spacing w:before="240" w:after="120"/>
        <w:ind w:firstLine="0"/>
      </w:pPr>
    </w:p>
    <w:p w14:paraId="02E58162" w14:textId="77777777" w:rsidR="00A108B9" w:rsidRDefault="00A108B9" w:rsidP="00255BCB">
      <w:pPr>
        <w:pStyle w:val="Nadpis30"/>
        <w:tabs>
          <w:tab w:val="left" w:pos="567"/>
        </w:tabs>
        <w:spacing w:before="240" w:after="120"/>
        <w:ind w:firstLine="0"/>
      </w:pPr>
    </w:p>
    <w:p w14:paraId="3D7C920F" w14:textId="5405F06E" w:rsidR="0089154E" w:rsidRPr="00C35CA8" w:rsidRDefault="00AE2255" w:rsidP="00255BCB">
      <w:pPr>
        <w:pStyle w:val="Nadpis30"/>
        <w:tabs>
          <w:tab w:val="left" w:pos="567"/>
        </w:tabs>
        <w:spacing w:before="240" w:after="120"/>
        <w:ind w:firstLine="0"/>
      </w:pPr>
      <w:bookmarkStart w:id="189" w:name="_Toc173741580"/>
      <w:r>
        <w:lastRenderedPageBreak/>
        <w:t>6.2.6</w:t>
      </w:r>
      <w:r w:rsidR="005974F7" w:rsidRPr="00C35CA8">
        <w:t xml:space="preserve"> </w:t>
      </w:r>
      <w:r w:rsidR="0089154E" w:rsidRPr="00C35CA8">
        <w:t>Národný projekt „Aktivácia znevýhodnených UoZ“</w:t>
      </w:r>
      <w:bookmarkEnd w:id="189"/>
      <w:r w:rsidR="0089154E" w:rsidRPr="00C35CA8">
        <w:t xml:space="preserve"> </w:t>
      </w:r>
    </w:p>
    <w:p w14:paraId="6EFC0CCF" w14:textId="6FD85CDF" w:rsidR="0089154E" w:rsidRPr="00C35CA8" w:rsidRDefault="005974F7" w:rsidP="006E77BB">
      <w:pPr>
        <w:spacing w:before="120" w:after="120"/>
        <w:ind w:hanging="6"/>
      </w:pPr>
      <w:r w:rsidRPr="00C35CA8">
        <w:rPr>
          <w:bCs/>
        </w:rPr>
        <w:t>NP</w:t>
      </w:r>
      <w:r w:rsidR="00E41A48">
        <w:t xml:space="preserve"> sa </w:t>
      </w:r>
      <w:r w:rsidR="00E41A48" w:rsidRPr="00BE7772">
        <w:t>realizoval</w:t>
      </w:r>
      <w:r w:rsidR="0089154E" w:rsidRPr="00BE7772">
        <w:t xml:space="preserve"> od 14. septembra 2022 a </w:t>
      </w:r>
      <w:r w:rsidR="00AE2255" w:rsidRPr="00BE7772">
        <w:t>bol</w:t>
      </w:r>
      <w:r w:rsidR="0089154E" w:rsidRPr="00BE7772">
        <w:t xml:space="preserve"> ukončený v decembri 2023. Realizuje sa na celom území SR mimo </w:t>
      </w:r>
      <w:r w:rsidRPr="00C35CA8">
        <w:t>BSK</w:t>
      </w:r>
      <w:r w:rsidR="0089154E" w:rsidRPr="00C35CA8">
        <w:t>.</w:t>
      </w:r>
    </w:p>
    <w:p w14:paraId="16553B33" w14:textId="77777777" w:rsidR="00AE2255" w:rsidRDefault="00AE2255" w:rsidP="00AE2255">
      <w:pPr>
        <w:spacing w:before="120" w:after="0"/>
        <w:ind w:hanging="6"/>
      </w:pPr>
      <w:r>
        <w:rPr>
          <w:color w:val="00000A"/>
        </w:rPr>
        <w:t>Hlavnou aktivitou NP bola podpora zvýšenia zamestnateľnosti a zamestnanosti ZUoZ formou poskytovania poradenstva, zaškolenia, aktivácie u zamestnávateľa a následného umiestnenia na vytvorenom PM. Cieľovou skupinou boli ZUoZ podľa § 8 ods. 1 zákona o službách zamestnanosti.</w:t>
      </w:r>
      <w:r>
        <w:t xml:space="preserve"> </w:t>
      </w:r>
    </w:p>
    <w:p w14:paraId="2B8BCCEE" w14:textId="5CB8C6E9" w:rsidR="0089154E" w:rsidRPr="00C35CA8" w:rsidRDefault="005974F7" w:rsidP="00AE2255">
      <w:pPr>
        <w:spacing w:before="120" w:after="0"/>
        <w:ind w:hanging="6"/>
      </w:pPr>
      <w:r w:rsidRPr="00C35CA8">
        <w:t>NP  sa</w:t>
      </w:r>
      <w:r w:rsidR="00E41A48" w:rsidRPr="00E41A48">
        <w:t xml:space="preserve"> </w:t>
      </w:r>
      <w:r w:rsidR="00E41A48">
        <w:t>r</w:t>
      </w:r>
      <w:r w:rsidR="00E41A48" w:rsidRPr="00BE7772">
        <w:t xml:space="preserve">ealizoval </w:t>
      </w:r>
      <w:r w:rsidRPr="00C35CA8">
        <w:t>prostredníctvom troch opatrení</w:t>
      </w:r>
      <w:r w:rsidR="0089154E" w:rsidRPr="00C35CA8">
        <w:t>:</w:t>
      </w:r>
    </w:p>
    <w:p w14:paraId="2D417EF5" w14:textId="59A5F8A3" w:rsidR="0089154E" w:rsidRPr="00C35CA8" w:rsidRDefault="0089154E" w:rsidP="005974F7">
      <w:pPr>
        <w:pStyle w:val="Odsekzoznamu"/>
        <w:spacing w:before="0" w:after="0"/>
        <w:ind w:firstLine="0"/>
        <w:rPr>
          <w:rFonts w:cs="Times New Roman"/>
          <w:szCs w:val="24"/>
        </w:rPr>
      </w:pPr>
      <w:r w:rsidRPr="00C35CA8">
        <w:rPr>
          <w:rFonts w:cs="Times New Roman"/>
          <w:szCs w:val="24"/>
        </w:rPr>
        <w:t>Opatrenie č. 1 Poskytovanie odborných poradenských služieb ZUoZ</w:t>
      </w:r>
      <w:r w:rsidR="000F51DC" w:rsidRPr="00C35CA8">
        <w:rPr>
          <w:rFonts w:cs="Times New Roman"/>
          <w:szCs w:val="24"/>
        </w:rPr>
        <w:t>,</w:t>
      </w:r>
    </w:p>
    <w:p w14:paraId="44B05532" w14:textId="4A023EB4" w:rsidR="0089154E" w:rsidRPr="00C35CA8" w:rsidRDefault="0089154E" w:rsidP="005974F7">
      <w:pPr>
        <w:spacing w:after="0"/>
        <w:rPr>
          <w:bCs/>
        </w:rPr>
      </w:pPr>
      <w:r w:rsidRPr="00C35CA8">
        <w:rPr>
          <w:bCs/>
        </w:rPr>
        <w:t>Opatrenie č. 2 Aktivácia a zaškolenie ZUoZ</w:t>
      </w:r>
      <w:r w:rsidR="000F51DC" w:rsidRPr="00C35CA8">
        <w:rPr>
          <w:bCs/>
        </w:rPr>
        <w:t>,</w:t>
      </w:r>
    </w:p>
    <w:p w14:paraId="3BC130FD" w14:textId="0AE7874C" w:rsidR="0089154E" w:rsidRPr="00C35CA8" w:rsidRDefault="005974F7" w:rsidP="005974F7">
      <w:pPr>
        <w:spacing w:after="0"/>
        <w:rPr>
          <w:bCs/>
        </w:rPr>
      </w:pPr>
      <w:r w:rsidRPr="00C35CA8">
        <w:rPr>
          <w:bCs/>
        </w:rPr>
        <w:t xml:space="preserve">Opatrenie č. 3 </w:t>
      </w:r>
      <w:r w:rsidR="0089154E" w:rsidRPr="00C35CA8">
        <w:rPr>
          <w:bCs/>
        </w:rPr>
        <w:t xml:space="preserve">Podpora vytvorenia </w:t>
      </w:r>
      <w:r w:rsidRPr="00C35CA8">
        <w:rPr>
          <w:bCs/>
        </w:rPr>
        <w:t>PM</w:t>
      </w:r>
      <w:r w:rsidR="0089154E" w:rsidRPr="00C35CA8">
        <w:rPr>
          <w:bCs/>
        </w:rPr>
        <w:t xml:space="preserve"> pre ZUoZ</w:t>
      </w:r>
      <w:r w:rsidR="000F51DC" w:rsidRPr="00C35CA8">
        <w:rPr>
          <w:bCs/>
        </w:rPr>
        <w:t>.</w:t>
      </w:r>
    </w:p>
    <w:p w14:paraId="5CF0C95B" w14:textId="77777777" w:rsidR="00D97CC0" w:rsidRPr="00C35CA8" w:rsidRDefault="005974F7" w:rsidP="007D4A43">
      <w:pPr>
        <w:spacing w:before="240" w:after="0"/>
        <w:ind w:hanging="6"/>
        <w:rPr>
          <w:b/>
          <w:bCs/>
        </w:rPr>
      </w:pPr>
      <w:r w:rsidRPr="00C35CA8">
        <w:rPr>
          <w:b/>
          <w:bCs/>
        </w:rPr>
        <w:t xml:space="preserve">Opatrenie č. 1 </w:t>
      </w:r>
      <w:r w:rsidR="00D97CC0" w:rsidRPr="00C35CA8">
        <w:rPr>
          <w:b/>
          <w:bCs/>
        </w:rPr>
        <w:t>Poskytovanie OPS ZUoZ</w:t>
      </w:r>
    </w:p>
    <w:p w14:paraId="2CD4D50B" w14:textId="77777777" w:rsidR="00AE2255" w:rsidRDefault="00AE2255" w:rsidP="00AE2255">
      <w:pPr>
        <w:spacing w:before="120" w:after="0"/>
        <w:ind w:hanging="6"/>
      </w:pPr>
      <w:r>
        <w:t>Cieľom opatrenia č. 1 projektu bolo poskytovanie OPS pre ZUoZ zacielených na rozvoj interpersonálnych zručností potrebných pre efektívne fungovanie v pracovnom prostredí a na zvýšenie motivácie ZUoZ začleniť sa do pracovného procesu, a to aj prostredníctvom zaradenia sa do niektorého z ostatných opatrení tohto projektu. Zaradenie do opatrenia č. 1 tohto projektu bolo podmienkou na zaradenie ZUoZ do ostatných opatrení projektu.</w:t>
      </w:r>
      <w:r>
        <w:rPr>
          <w:b/>
          <w:bCs/>
        </w:rPr>
        <w:t xml:space="preserve"> </w:t>
      </w:r>
      <w:r>
        <w:t>Poskytovanie OPS pozostávalo celkovo z 3 skupinových stretnutí v rozsahu maximálne 15 hodín.</w:t>
      </w:r>
    </w:p>
    <w:p w14:paraId="2E9753B9" w14:textId="14CB10FC" w:rsidR="00D97CC0" w:rsidRDefault="00AE2255" w:rsidP="00AE2255">
      <w:pPr>
        <w:spacing w:before="120" w:after="60"/>
        <w:ind w:firstLine="0"/>
      </w:pPr>
      <w:r w:rsidRPr="00F5762B">
        <w:t>Od 01.01.2023 do 31.</w:t>
      </w:r>
      <w:r w:rsidR="00A108B9">
        <w:t xml:space="preserve"> </w:t>
      </w:r>
      <w:r w:rsidRPr="00F5762B">
        <w:t>12.</w:t>
      </w:r>
      <w:r w:rsidR="00A108B9">
        <w:t xml:space="preserve"> </w:t>
      </w:r>
      <w:r w:rsidRPr="00F5762B">
        <w:t xml:space="preserve">2023 bol poradenský program poskytnutý 7 169 ZUoZ. </w:t>
      </w:r>
      <w:r>
        <w:t>Z celkového počtu ZUoZ, ktorým bol v roku 2023 poradenský program poskytnutý v rámci opatrenia č. 1, bolo 4 275 žien (59,63 %) a 2 894 mužov (40,37 %). Najpočetnejšou skupinou z  pohľadu veku bola skupina ZUoZ vo veku od 30 do 49 rokov v celkovom počte 3 262 ZUoZ (45,50 %). Druhou najpočetnejšou skupinou ZUoZ z pohľadu veku, ktorým boli poskytované OPS, boli ZUoZ vo veku 50 a viac rokov – 2 836 klientov (</w:t>
      </w:r>
      <w:r w:rsidRPr="00776FD5">
        <w:t>39,56 %).</w:t>
      </w:r>
      <w:r>
        <w:t xml:space="preserve"> Medzi najviac zastúpených ZUoZ patrila skupina DNO (4 774 ZUoZ, t. j. 66,59 %), za nimi nasledovali občania, ktorí nemali pravidelne platené zamestnanie (4 729 ZUoZ, t. j. 65,96 %), a občania s nižším vzdelaním ako stredné odborné (3 372 ZUoZ, t. j. 47,04 %). Štruktúra znevýhodnení je uvedená v nasledujúcom grafe.</w:t>
      </w:r>
    </w:p>
    <w:p w14:paraId="1BD97C7F" w14:textId="428A6B0C" w:rsidR="00AE2255" w:rsidRPr="00C35CA8" w:rsidRDefault="00AE2255" w:rsidP="00AE2255">
      <w:pPr>
        <w:spacing w:before="120" w:after="60"/>
        <w:ind w:firstLine="0"/>
        <w:rPr>
          <w:sz w:val="20"/>
          <w:szCs w:val="20"/>
        </w:rPr>
      </w:pPr>
      <w:r>
        <w:rPr>
          <w:noProof/>
        </w:rPr>
        <w:drawing>
          <wp:inline distT="0" distB="0" distL="0" distR="0" wp14:anchorId="53398BF1" wp14:editId="1FEDB0A1">
            <wp:extent cx="5843905" cy="3108960"/>
            <wp:effectExtent l="0" t="0" r="4445" b="15240"/>
            <wp:docPr id="247" name="Graf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761DA1" w14:textId="77777777" w:rsidR="00AE2255" w:rsidRDefault="00AE2255" w:rsidP="00BF33C9">
      <w:pPr>
        <w:spacing w:after="0"/>
      </w:pPr>
      <w:r>
        <w:t>Po splnení stanovených podmienok mohol ZUoZ získať paušálny príspevok na úhradu časti výdavkov súvisiacich s účasťou na poradenskom programe (cestovné, stravné a pod.) vo výške 7,93 eura za každý jeden deň účasti. V roku 2023 bolo v rámci realizácie opatrenia č. 1 tohto projektu na paušálny príspevok vyplatených 172 961,22 eur.</w:t>
      </w:r>
    </w:p>
    <w:p w14:paraId="5E46C7F9" w14:textId="5336CEF1" w:rsidR="007D4A43" w:rsidRPr="006E39CE" w:rsidRDefault="0089154E" w:rsidP="00BF33C9">
      <w:pPr>
        <w:spacing w:after="0"/>
        <w:ind w:firstLine="0"/>
        <w:rPr>
          <w:b/>
        </w:rPr>
      </w:pPr>
      <w:r w:rsidRPr="00C35CA8">
        <w:rPr>
          <w:b/>
          <w:bCs/>
        </w:rPr>
        <w:lastRenderedPageBreak/>
        <w:t>Opatrenie č. 2</w:t>
      </w:r>
      <w:r w:rsidR="00177848" w:rsidRPr="00C35CA8">
        <w:rPr>
          <w:b/>
          <w:bCs/>
        </w:rPr>
        <w:t xml:space="preserve"> Aktivácia a zaškolenie ZUoZ</w:t>
      </w:r>
    </w:p>
    <w:p w14:paraId="0494A303" w14:textId="056F2F58" w:rsidR="006E39CE" w:rsidRPr="006E39CE" w:rsidRDefault="006E39CE" w:rsidP="00BF33C9">
      <w:pPr>
        <w:spacing w:before="120" w:after="0"/>
        <w:ind w:firstLine="0"/>
      </w:pPr>
      <w:r w:rsidRPr="006E39CE">
        <w:t xml:space="preserve">Cieľom opatrenia č. 2 bolo zvýšiť zamestnanosť a zamestnateľnosť a znížiť nezamestnanosť s osobitným dôrazom na ZUoZ, nízko kvalifikovaných, starších a osôb so ZP. Opatrenie č. 2 napomáhalo k získavaniu nových a rozširovaniu existujúcich zručností. ZUoZ, ktorí boli  zapojení do projektu sa napomáhalo k zvýšeniu ich zamestnateľnosti.   </w:t>
      </w:r>
    </w:p>
    <w:p w14:paraId="553E582B" w14:textId="77777777" w:rsidR="006E39CE" w:rsidRPr="006E39CE" w:rsidRDefault="006E39CE" w:rsidP="006E39CE">
      <w:pPr>
        <w:spacing w:before="120" w:after="60"/>
        <w:ind w:firstLine="0"/>
      </w:pPr>
      <w:r w:rsidRPr="006E39CE">
        <w:t>Medzi zamestnávateľom a ZUoZ, ktorý u zamestnávateľa vykonával aktiváciu a zaškolenie, nebol pracovnoprávny vzťah, aktivácia u zamestnávateľa sa vykonávala na základe uzatvorenej písomnej dohody medzi ZUoZ a úradom a medzi úradom a zamestnávateľom.</w:t>
      </w:r>
    </w:p>
    <w:p w14:paraId="53C95EA8" w14:textId="77777777" w:rsidR="006E39CE" w:rsidRPr="006E39CE" w:rsidRDefault="006E39CE" w:rsidP="006E39CE">
      <w:pPr>
        <w:spacing w:before="120" w:after="60"/>
        <w:ind w:firstLine="0"/>
      </w:pPr>
      <w:r w:rsidRPr="006E39CE">
        <w:t xml:space="preserve">Finančný príspevok ZUoZ sa poskytoval minimálne 3 mesiace, max. 5 mesiacov </w:t>
      </w:r>
      <w:r w:rsidRPr="006E39CE">
        <w:br/>
        <w:t>vo výške životného minima, určený bol na úhradu nevyhnutných osobných výdavkov spojených s vykonávaním aktivácie u zamestnávateľa. Finančný príspevok zamestnávateľovi na úhradu časti nákladov, ktoré súviseli s vykonávaním aktivácie, sa poskytoval mesačne, najviac vo výške 4 % z CCP na jedného aktivovaného ZUoZ, a príspevok na úhradu časti CCP zamestnanca – koordinátora sa poskytoval mesačne, najviac  vo výške 3 % z CCP na jedného ZUoZ vykonávajúceho aktiváciu.</w:t>
      </w:r>
    </w:p>
    <w:p w14:paraId="6F414897" w14:textId="77777777" w:rsidR="006E39CE" w:rsidRPr="006E39CE" w:rsidRDefault="006E39CE" w:rsidP="006E39CE">
      <w:pPr>
        <w:spacing w:before="120" w:after="60"/>
        <w:ind w:firstLine="0"/>
      </w:pPr>
      <w:r w:rsidRPr="006E39CE">
        <w:t xml:space="preserve">V rámci opatrenia č. 2 Aktivácia a zaškolenie ZUoZ sa mohla realizovať aj nepovinná aktivita „Zaškolenie ZUoZ“. Účelom zaškolenia bolo poskytnúť ZUoZ možnosť nadobudnúť praktické skúsenosti a zručnosti potrebné pre zapojenie sa do výkonu príslušnej pracovnej činnosti. Zaškolenie, ktoré zamestnávateľ mohol pre ZUoZ zabezpečiť, malo pomôcť ZUoZ  osvojiť si pracovné postupy v súlade s požiadavkami a potrebami konkrétneho zamestnávateľa. Zamestnávateľ mohol zabezpečiť zaškolenie ZUoZ v období prvých 3 mesiacov aktivácie </w:t>
      </w:r>
      <w:r w:rsidRPr="006E39CE">
        <w:br/>
        <w:t xml:space="preserve">v rozsahu minimálne 25 hodín. Na zabezpečenie zaškolenia ZUoZ sa poskytoval paušálny príspevok vo výške 150 eur, ktorý sa uhrádzal jednorazovo po absolvovaní zaškolenia.  </w:t>
      </w:r>
    </w:p>
    <w:p w14:paraId="368AC8D5" w14:textId="77777777" w:rsidR="006E39CE" w:rsidRPr="006E39CE" w:rsidRDefault="006E39CE" w:rsidP="006E39CE">
      <w:pPr>
        <w:spacing w:before="120" w:after="60"/>
        <w:ind w:firstLine="0"/>
      </w:pPr>
      <w:r w:rsidRPr="006E39CE">
        <w:t>Finančné prostriedky v roku 2023 boli čerpané vo výške 7 597 992,02 eur.</w:t>
      </w:r>
    </w:p>
    <w:p w14:paraId="05477683" w14:textId="5011ACC0" w:rsidR="006E39CE" w:rsidRPr="006E39CE" w:rsidRDefault="006E39CE" w:rsidP="006E39CE">
      <w:pPr>
        <w:spacing w:before="120" w:after="60"/>
        <w:ind w:firstLine="0"/>
      </w:pPr>
      <w:r w:rsidRPr="006E39CE">
        <w:t>V roku</w:t>
      </w:r>
      <w:r w:rsidR="00A108B9">
        <w:t xml:space="preserve"> 2023 bolo do projektu v rámci o</w:t>
      </w:r>
      <w:r w:rsidRPr="006E39CE">
        <w:t>patrenia č. 2 zaradených 4 707 ZUoZ, z toho 2 896 (61,53 %) bolo žien a 1 811 mužov (38,47 %).</w:t>
      </w:r>
    </w:p>
    <w:p w14:paraId="356EF049" w14:textId="6A463754" w:rsidR="006E39CE" w:rsidRPr="006E39CE" w:rsidRDefault="006E39CE" w:rsidP="006E39CE">
      <w:pPr>
        <w:spacing w:before="120" w:after="60"/>
        <w:ind w:firstLine="0"/>
      </w:pPr>
      <w:r w:rsidRPr="006E39CE">
        <w:t xml:space="preserve">Z hľadiska veku ZUoZ zaradených na aktiváciu v roku 2023, najvyšší podiel tvorili ZUoZ </w:t>
      </w:r>
      <w:r w:rsidRPr="006E39CE">
        <w:br/>
        <w:t xml:space="preserve">vo veku 30-49 rokov, ktorých bolo 2 175 (46,21 %). Naopak, najmenej zastúpená kategória boli ľudia vo veku 25 – 29 rokov, v počte 273 (5,80 %). ZUoZ vo veku do 24 rokov bolo 303 (6,44 %) a vo veku 50 a viac rokov 1 956 (41,56 %) - v štruktúre podľa grafu.   </w:t>
      </w:r>
    </w:p>
    <w:p w14:paraId="7C04F6D5" w14:textId="55AD9EEB" w:rsidR="006E39CE" w:rsidRPr="006E39CE" w:rsidRDefault="006E39CE" w:rsidP="006E39CE">
      <w:pPr>
        <w:spacing w:before="120" w:after="60"/>
        <w:ind w:firstLine="0"/>
        <w:rPr>
          <w:sz w:val="20"/>
          <w:szCs w:val="20"/>
        </w:rPr>
      </w:pPr>
      <w:r w:rsidRPr="006E39CE">
        <w:rPr>
          <w:noProof/>
          <w:sz w:val="20"/>
          <w:szCs w:val="20"/>
        </w:rPr>
        <w:drawing>
          <wp:anchor distT="0" distB="0" distL="114300" distR="114300" simplePos="0" relativeHeight="252569088" behindDoc="0" locked="0" layoutInCell="1" allowOverlap="1" wp14:anchorId="7D1C4AFC" wp14:editId="4E4F2BB8">
            <wp:simplePos x="0" y="0"/>
            <wp:positionH relativeFrom="margin">
              <wp:posOffset>-9884</wp:posOffset>
            </wp:positionH>
            <wp:positionV relativeFrom="paragraph">
              <wp:posOffset>69436</wp:posOffset>
            </wp:positionV>
            <wp:extent cx="5860111" cy="2857500"/>
            <wp:effectExtent l="0" t="0" r="7620" b="0"/>
            <wp:wrapNone/>
            <wp:docPr id="55" name="Graf 5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14:paraId="657E532C" w14:textId="77777777" w:rsidR="006E39CE" w:rsidRPr="006E39CE" w:rsidRDefault="006E39CE" w:rsidP="006E39CE">
      <w:pPr>
        <w:spacing w:before="120" w:after="60"/>
        <w:ind w:firstLine="0"/>
        <w:rPr>
          <w:sz w:val="20"/>
          <w:szCs w:val="20"/>
        </w:rPr>
      </w:pPr>
    </w:p>
    <w:p w14:paraId="3A499A53" w14:textId="77777777" w:rsidR="006E39CE" w:rsidRPr="006E39CE" w:rsidRDefault="006E39CE" w:rsidP="006E39CE">
      <w:pPr>
        <w:spacing w:before="120" w:after="60"/>
        <w:ind w:firstLine="0"/>
        <w:rPr>
          <w:sz w:val="20"/>
          <w:szCs w:val="20"/>
        </w:rPr>
      </w:pPr>
    </w:p>
    <w:p w14:paraId="34B225BD" w14:textId="77777777" w:rsidR="006E39CE" w:rsidRPr="006E39CE" w:rsidRDefault="006E39CE" w:rsidP="006E39CE">
      <w:pPr>
        <w:spacing w:before="120" w:after="60"/>
        <w:ind w:firstLine="0"/>
        <w:rPr>
          <w:sz w:val="20"/>
          <w:szCs w:val="20"/>
        </w:rPr>
      </w:pPr>
    </w:p>
    <w:p w14:paraId="315E975B" w14:textId="77777777" w:rsidR="006E39CE" w:rsidRPr="006E39CE" w:rsidRDefault="006E39CE" w:rsidP="006E39CE">
      <w:pPr>
        <w:spacing w:before="120" w:after="60"/>
        <w:ind w:firstLine="0"/>
        <w:rPr>
          <w:sz w:val="20"/>
          <w:szCs w:val="20"/>
        </w:rPr>
      </w:pPr>
    </w:p>
    <w:p w14:paraId="14E153C8" w14:textId="77777777" w:rsidR="006E39CE" w:rsidRPr="006E39CE" w:rsidRDefault="006E39CE" w:rsidP="006E39CE">
      <w:pPr>
        <w:spacing w:before="120" w:after="60"/>
        <w:ind w:firstLine="0"/>
        <w:rPr>
          <w:b/>
          <w:bCs/>
          <w:sz w:val="20"/>
          <w:szCs w:val="20"/>
        </w:rPr>
      </w:pPr>
    </w:p>
    <w:p w14:paraId="2357CB57" w14:textId="77777777" w:rsidR="006E39CE" w:rsidRPr="006E39CE" w:rsidRDefault="006E39CE" w:rsidP="006E39CE">
      <w:pPr>
        <w:spacing w:before="120" w:after="60"/>
        <w:ind w:firstLine="0"/>
        <w:rPr>
          <w:b/>
          <w:bCs/>
          <w:sz w:val="20"/>
          <w:szCs w:val="20"/>
        </w:rPr>
      </w:pPr>
    </w:p>
    <w:p w14:paraId="7A209E78" w14:textId="77777777" w:rsidR="006E39CE" w:rsidRPr="006E39CE" w:rsidRDefault="006E39CE" w:rsidP="006E39CE">
      <w:pPr>
        <w:spacing w:before="120" w:after="60"/>
        <w:ind w:firstLine="0"/>
        <w:rPr>
          <w:b/>
          <w:bCs/>
          <w:sz w:val="20"/>
          <w:szCs w:val="20"/>
        </w:rPr>
      </w:pPr>
    </w:p>
    <w:p w14:paraId="506C67F1" w14:textId="77777777" w:rsidR="006E39CE" w:rsidRPr="006E39CE" w:rsidRDefault="006E39CE" w:rsidP="006E39CE">
      <w:pPr>
        <w:spacing w:before="120" w:after="60"/>
        <w:ind w:firstLine="0"/>
        <w:rPr>
          <w:b/>
          <w:bCs/>
          <w:sz w:val="20"/>
          <w:szCs w:val="20"/>
        </w:rPr>
      </w:pPr>
    </w:p>
    <w:p w14:paraId="69DC5640" w14:textId="77777777" w:rsidR="006E39CE" w:rsidRPr="006E39CE" w:rsidRDefault="006E39CE" w:rsidP="006E39CE">
      <w:pPr>
        <w:spacing w:before="120" w:after="60"/>
        <w:ind w:firstLine="0"/>
        <w:rPr>
          <w:b/>
          <w:bCs/>
          <w:sz w:val="20"/>
          <w:szCs w:val="20"/>
        </w:rPr>
      </w:pPr>
    </w:p>
    <w:p w14:paraId="44E5BCF3" w14:textId="77777777" w:rsidR="006E39CE" w:rsidRPr="006E39CE" w:rsidRDefault="006E39CE" w:rsidP="006E39CE">
      <w:pPr>
        <w:spacing w:before="120" w:after="60"/>
        <w:ind w:firstLine="0"/>
        <w:rPr>
          <w:b/>
          <w:bCs/>
          <w:sz w:val="20"/>
          <w:szCs w:val="20"/>
        </w:rPr>
      </w:pPr>
    </w:p>
    <w:p w14:paraId="3C8E9F1A" w14:textId="77777777" w:rsidR="006E39CE" w:rsidRPr="006E39CE" w:rsidRDefault="006E39CE" w:rsidP="006E39CE">
      <w:pPr>
        <w:spacing w:before="120" w:after="60"/>
        <w:ind w:firstLine="0"/>
        <w:rPr>
          <w:b/>
          <w:bCs/>
          <w:sz w:val="20"/>
          <w:szCs w:val="20"/>
        </w:rPr>
      </w:pPr>
    </w:p>
    <w:p w14:paraId="467A86B4" w14:textId="77777777" w:rsidR="006E39CE" w:rsidRPr="006E39CE" w:rsidRDefault="006E39CE" w:rsidP="006E39CE">
      <w:pPr>
        <w:spacing w:before="120" w:after="60"/>
        <w:ind w:firstLine="0"/>
        <w:rPr>
          <w:b/>
          <w:bCs/>
          <w:sz w:val="20"/>
          <w:szCs w:val="20"/>
        </w:rPr>
      </w:pPr>
    </w:p>
    <w:p w14:paraId="658E948F" w14:textId="5D08BB37" w:rsidR="006E39CE" w:rsidRPr="006E39CE" w:rsidRDefault="006E39CE" w:rsidP="006E39CE">
      <w:pPr>
        <w:spacing w:before="120" w:after="60"/>
        <w:ind w:firstLine="0"/>
      </w:pPr>
      <w:r w:rsidRPr="006E39CE">
        <w:t xml:space="preserve">Z hľadiska dosiahnutého stupňa vzdelania, najväčšiu skupinu tvorili ZUoZ so základným vzdelaním v počte 1 952 (41,47 %), nasledovala skupina ZUoZ so stredným odborným vzdelaním v počte 1 368 (29,06 %) a ZUoZ s úplným stredným odborným vzdelaním, ktorých </w:t>
      </w:r>
      <w:r w:rsidRPr="006E39CE">
        <w:lastRenderedPageBreak/>
        <w:t>bolo 626 (13,30 %). ZUoZ, ktorí dosiahli vysokoškolské vzdelanie I. stupňa bolo 33 (0,70 %), vysokoškolské vzdelanie II. stupňa 109 (2,32 %) a vysokoškolské vzdelanie III. stupňa dosiahli 4 (0,08 %). Neukončené vzdelanie malo 420 ZUoZ (8,92 %). Úplné stredné  všeobecné vzdelanie malo 92 ZUoZ (1,95 %). Nižšie stredné odborné vzdelanie malo 90 ZUoZ, čo predstavuje</w:t>
      </w:r>
      <w:r>
        <w:t xml:space="preserve">        </w:t>
      </w:r>
      <w:r w:rsidRPr="006E39CE">
        <w:t xml:space="preserve"> 1,91 </w:t>
      </w:r>
      <w:r>
        <w:t>%, v štruktúre podľa grafu</w:t>
      </w:r>
      <w:r w:rsidRPr="006E39CE">
        <w:t xml:space="preserve">. </w:t>
      </w:r>
    </w:p>
    <w:p w14:paraId="29E624BE" w14:textId="20F92024" w:rsidR="006E39CE" w:rsidRPr="006E39CE" w:rsidRDefault="006E39CE" w:rsidP="006E39CE">
      <w:pPr>
        <w:spacing w:before="120" w:after="60"/>
        <w:ind w:firstLine="0"/>
        <w:rPr>
          <w:sz w:val="20"/>
          <w:szCs w:val="20"/>
        </w:rPr>
      </w:pPr>
      <w:r>
        <w:rPr>
          <w:noProof/>
        </w:rPr>
        <w:drawing>
          <wp:inline distT="0" distB="0" distL="0" distR="0" wp14:anchorId="78D81F25" wp14:editId="6BE3EE24">
            <wp:extent cx="5850890" cy="3133090"/>
            <wp:effectExtent l="0" t="0" r="16510" b="1016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194E02C" w14:textId="56908618" w:rsidR="002A0710" w:rsidRPr="002A0710" w:rsidRDefault="002A0710" w:rsidP="002A0710">
      <w:pPr>
        <w:spacing w:before="120" w:after="0"/>
        <w:ind w:firstLine="0"/>
        <w:rPr>
          <w:szCs w:val="22"/>
        </w:rPr>
      </w:pPr>
      <w:r w:rsidRPr="002A0710">
        <w:rPr>
          <w:szCs w:val="22"/>
        </w:rPr>
        <w:t>Najväčší podiel z celkového počtu 4 707 tvorili ZUoZ evidovaní dlhšie ako 24 mesiacov a to</w:t>
      </w:r>
      <w:r w:rsidRPr="002A0710">
        <w:rPr>
          <w:szCs w:val="22"/>
        </w:rPr>
        <w:br/>
        <w:t xml:space="preserve">2 545 (54,07 %). Uchádzačov, ktorí boli v evidencii 13 – 24 mesiacov bolo 834 (17,72 %), evidovaných 7 - 12 mesiacov 530 (11,26 %), nasledovali uchádzači v evidencii 0 - 3 mesiace v počte 418 (8,88%) a najmenej bolo na aktiváciu zaradených ZUoZ, ktorí sú evidovaní 4 - 6 mesiacov, a to v počte 380 (8,07 % ), v štruktúre podľa grafu. </w:t>
      </w:r>
    </w:p>
    <w:p w14:paraId="0F28F0A8" w14:textId="77777777" w:rsidR="002A0710" w:rsidRPr="002A0710" w:rsidRDefault="002A0710" w:rsidP="002A0710">
      <w:pPr>
        <w:spacing w:before="120" w:after="0"/>
        <w:rPr>
          <w:b/>
          <w:bCs/>
        </w:rPr>
      </w:pPr>
      <w:r w:rsidRPr="002A0710">
        <w:rPr>
          <w:noProof/>
        </w:rPr>
        <w:drawing>
          <wp:inline distT="0" distB="0" distL="0" distR="0" wp14:anchorId="71BE7ECC" wp14:editId="6ABF1AA5">
            <wp:extent cx="5850890" cy="2997642"/>
            <wp:effectExtent l="0" t="0" r="16510" b="1270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77CDCA4" w14:textId="25E83AD7" w:rsidR="002A0710" w:rsidRPr="002A0710" w:rsidRDefault="002A0710" w:rsidP="002A0710">
      <w:pPr>
        <w:spacing w:before="120" w:after="0"/>
        <w:ind w:firstLine="0"/>
        <w:rPr>
          <w:szCs w:val="22"/>
        </w:rPr>
      </w:pPr>
      <w:r w:rsidRPr="002A0710">
        <w:rPr>
          <w:szCs w:val="22"/>
        </w:rPr>
        <w:t xml:space="preserve">Medzi UoZ, ktorí boli zaradení na vykonávanie aktivácie boli aj viacnásobne znevýhodnení. Z hľadiska typu znevýhodnenia, z celkového počtu 4 707 zaradených ZUoZ tvorili najvyšší podiel dlhodobo nezamestnaní občania v počte 3 618 (76,86 %) a UoZ, ktorí najmenej 12 po sebe nasledujúcich kalendárnych mesiacov pred zaradením do evidencie nemali pravidelne platené zamestnanie v počte 3 298 (70,07 %). Starších ako 50 rokov veku bolo 1 970 ZUoZ (41,85 %), s nižším vzdelaním ako je stredné odborné bolo 2 460 (52,26 %), so ZP 308 (6,54 %), </w:t>
      </w:r>
      <w:r w:rsidRPr="002A0710">
        <w:rPr>
          <w:szCs w:val="22"/>
        </w:rPr>
        <w:lastRenderedPageBreak/>
        <w:t>absolventov školy 46 (0,98 %), ZUoZ, ktorí ukončili poberanie materského alebo rodičovského príspevku bolo 94 (2 %) a v počte 57 (1,21 %) bolo občanov, ktorí žijú ako osamelá osoba s osobami odkázanými na jeho starostlivosť alebo s</w:t>
      </w:r>
      <w:r>
        <w:rPr>
          <w:szCs w:val="22"/>
        </w:rPr>
        <w:t>tarajúca sa aspoň o jedno dieťa, v štruktúre podľa grafu.</w:t>
      </w:r>
      <w:r w:rsidRPr="002A0710">
        <w:rPr>
          <w:color w:val="FF0000"/>
          <w:szCs w:val="22"/>
        </w:rPr>
        <w:t xml:space="preserve"> </w:t>
      </w:r>
    </w:p>
    <w:p w14:paraId="4F3CC591" w14:textId="77777777" w:rsidR="002A0710" w:rsidRPr="002A0710" w:rsidRDefault="002A0710" w:rsidP="002A0710">
      <w:pPr>
        <w:spacing w:before="120" w:after="0"/>
        <w:rPr>
          <w:b/>
          <w:bCs/>
        </w:rPr>
      </w:pPr>
      <w:r w:rsidRPr="002A0710">
        <w:rPr>
          <w:noProof/>
        </w:rPr>
        <w:drawing>
          <wp:inline distT="0" distB="0" distL="0" distR="0" wp14:anchorId="632A5E16" wp14:editId="76F3EFC2">
            <wp:extent cx="5850890" cy="2814762"/>
            <wp:effectExtent l="0" t="0" r="16510" b="5080"/>
            <wp:docPr id="56" name="Graf 5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FEF889D" w14:textId="15C8B377" w:rsidR="002A0710" w:rsidRDefault="002A0710" w:rsidP="002A0710">
      <w:pPr>
        <w:spacing w:before="120" w:after="120"/>
        <w:ind w:hanging="6"/>
        <w:rPr>
          <w:szCs w:val="22"/>
        </w:rPr>
      </w:pPr>
      <w:r w:rsidRPr="002A0710">
        <w:rPr>
          <w:szCs w:val="22"/>
        </w:rPr>
        <w:t>Žiadostí zamestnávateľov bolo v roku 2023 schválených 1 472. Z nich, podľa právnej formy, tvorili najvyšší počet - 1 057 (71,61 %) obce a mestá. Nasledovali rozpočtové organizácie, ktorých bolo 216 (14,67 %), združenia - 54 (3,67 %), príspevkové organizácie - 45 (3,06 %) a mimovládne organizácie v počte 29 (1,97 % ). Cirkevných organizácií bolo 22 (1,49 %), v počte 7 (0,48 %) boli spoločnosti s. r.</w:t>
      </w:r>
      <w:r w:rsidR="00696336">
        <w:rPr>
          <w:szCs w:val="22"/>
        </w:rPr>
        <w:t xml:space="preserve"> </w:t>
      </w:r>
      <w:r w:rsidRPr="002A0710">
        <w:rPr>
          <w:szCs w:val="22"/>
        </w:rPr>
        <w:t>o. a najmenej - 4 (0,27 %) mali charakter záujmového združenia. Inú právnu formu malo 38 subjektov (2,58 %), v štruktúre podľa grafu</w:t>
      </w:r>
      <w:r>
        <w:rPr>
          <w:szCs w:val="22"/>
        </w:rPr>
        <w:t>.</w:t>
      </w:r>
    </w:p>
    <w:p w14:paraId="7AFFF1FA" w14:textId="5F171A50" w:rsidR="002A0710" w:rsidRPr="002A0710" w:rsidRDefault="002A0710" w:rsidP="002A0710">
      <w:pPr>
        <w:rPr>
          <w:szCs w:val="22"/>
        </w:rPr>
      </w:pPr>
      <w:r w:rsidRPr="002A0710">
        <w:rPr>
          <w:noProof/>
        </w:rPr>
        <w:drawing>
          <wp:inline distT="0" distB="0" distL="0" distR="0" wp14:anchorId="1E1A7A8F" wp14:editId="1C9074DB">
            <wp:extent cx="5850890" cy="2926080"/>
            <wp:effectExtent l="0" t="0" r="16510" b="7620"/>
            <wp:docPr id="458" name="Graf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8C0AE87" w14:textId="587BB130" w:rsidR="0089154E" w:rsidRPr="00C35CA8" w:rsidRDefault="0089154E" w:rsidP="0089154E">
      <w:pPr>
        <w:spacing w:before="120" w:after="0"/>
        <w:rPr>
          <w:b/>
          <w:bCs/>
        </w:rPr>
      </w:pPr>
      <w:r w:rsidRPr="00C35CA8">
        <w:rPr>
          <w:b/>
          <w:bCs/>
        </w:rPr>
        <w:t>Opatrenie č. 3</w:t>
      </w:r>
      <w:r w:rsidR="00177848" w:rsidRPr="00C35CA8">
        <w:rPr>
          <w:b/>
          <w:bCs/>
        </w:rPr>
        <w:t xml:space="preserve"> </w:t>
      </w:r>
      <w:r w:rsidR="008E28B8">
        <w:rPr>
          <w:b/>
          <w:bCs/>
        </w:rPr>
        <w:t xml:space="preserve"> </w:t>
      </w:r>
      <w:r w:rsidR="00177848" w:rsidRPr="00C35CA8">
        <w:rPr>
          <w:b/>
          <w:bCs/>
        </w:rPr>
        <w:t>Podpora vytvorenia PM pre ZUoZ</w:t>
      </w:r>
    </w:p>
    <w:p w14:paraId="1AA22F08" w14:textId="69EDDBE5" w:rsidR="008E28B8" w:rsidRPr="00EE79BF" w:rsidRDefault="008E28B8" w:rsidP="006E39CE">
      <w:pPr>
        <w:pStyle w:val="Textkomentra"/>
        <w:spacing w:before="120" w:after="0"/>
        <w:ind w:hanging="6"/>
        <w:rPr>
          <w:sz w:val="24"/>
          <w:szCs w:val="24"/>
        </w:rPr>
      </w:pPr>
      <w:r w:rsidRPr="00EE79BF">
        <w:rPr>
          <w:sz w:val="24"/>
          <w:szCs w:val="24"/>
        </w:rPr>
        <w:t>Poskytovanie finančného príspevku zamestnávateľovi na podporu zamestnávania ZUoZ, ktorý na vytvorené PM prijme do pracovného pomeru ZUoZ podľa § 8 ods.1 zákona o službách zamestnanosti, ak pracovný pomer je dohodnutý na dobu určitú/neurčitú a najmenej v rozsahu polovice ustanoveného týždenného pracovného času. Jednou z podmienok poskytnutia príspevku je predchádzajúca účasť ZUoZ</w:t>
      </w:r>
      <w:r w:rsidR="00696336">
        <w:rPr>
          <w:sz w:val="24"/>
          <w:szCs w:val="24"/>
        </w:rPr>
        <w:t xml:space="preserve"> na o</w:t>
      </w:r>
      <w:r w:rsidRPr="00EE79BF">
        <w:rPr>
          <w:sz w:val="24"/>
          <w:szCs w:val="24"/>
        </w:rPr>
        <w:t xml:space="preserve">patrení č. 1. PM sa podporuje počas obdobia 6 mesiacov, pričom zamestnávateľ je povinný udržať PM ďalšie 3 mesiace.  </w:t>
      </w:r>
    </w:p>
    <w:p w14:paraId="5AF318ED" w14:textId="77777777" w:rsidR="008E28B8" w:rsidRPr="00EE79BF" w:rsidRDefault="008E28B8" w:rsidP="008E28B8">
      <w:pPr>
        <w:spacing w:after="0"/>
      </w:pPr>
      <w:r w:rsidRPr="00EE79BF">
        <w:lastRenderedPageBreak/>
        <w:t xml:space="preserve">Finančný príspevok sa poskytuje mesačne vo výške 80 % minimálnej CCP pri plnom pracovnom úväzku zamestnanca. PM je podporované počas 6 mesiacov. </w:t>
      </w:r>
    </w:p>
    <w:p w14:paraId="3B101FD4" w14:textId="77777777" w:rsidR="008E28B8" w:rsidRPr="00EE79BF" w:rsidRDefault="008E28B8" w:rsidP="00696336">
      <w:pPr>
        <w:spacing w:before="120" w:after="0"/>
      </w:pPr>
      <w:r w:rsidRPr="00EE79BF">
        <w:t xml:space="preserve">Po 6 mesiacoch podporovania PM je zamestnávateľ povinný udržať PM ďalšie 3 mesiace a bude mu (vopred) vyplatený jednorazový príspevok vo výške </w:t>
      </w:r>
      <w:r w:rsidRPr="00EE79BF">
        <w:rPr>
          <w:b/>
        </w:rPr>
        <w:t xml:space="preserve">20 % </w:t>
      </w:r>
      <w:r w:rsidRPr="00EE79BF">
        <w:t xml:space="preserve">minimálnej CCP pri plnom pracovnom úväzku zamestnanca. </w:t>
      </w:r>
    </w:p>
    <w:p w14:paraId="74A1D8C9" w14:textId="77777777" w:rsidR="008E28B8" w:rsidRPr="00EE79BF" w:rsidRDefault="008E28B8" w:rsidP="00696336">
      <w:pPr>
        <w:spacing w:before="120" w:after="0"/>
        <w:rPr>
          <w:rFonts w:eastAsia="Batang"/>
        </w:rPr>
      </w:pPr>
      <w:r w:rsidRPr="00EE79BF">
        <w:rPr>
          <w:bCs/>
        </w:rPr>
        <w:t xml:space="preserve">V roku 2023 bolo zaradených 1059 ZUoZ (z toho 582 mužov a 477 žien) a finančné prostriedky boli čerpané vo výške 6 066 020 </w:t>
      </w:r>
      <w:r w:rsidRPr="00EE79BF">
        <w:rPr>
          <w:rFonts w:eastAsia="Batang"/>
        </w:rPr>
        <w:t>eur.</w:t>
      </w:r>
    </w:p>
    <w:p w14:paraId="6584162D" w14:textId="0C42F1B6" w:rsidR="0089154E" w:rsidRPr="00C35CA8" w:rsidRDefault="008E28B8" w:rsidP="00696336">
      <w:pPr>
        <w:spacing w:before="120" w:after="0"/>
        <w:ind w:hanging="6"/>
        <w:rPr>
          <w:lang w:eastAsia="en-US"/>
        </w:rPr>
      </w:pPr>
      <w:r w:rsidRPr="00EE79BF">
        <w:rPr>
          <w:noProof/>
        </w:rPr>
        <w:drawing>
          <wp:anchor distT="0" distB="0" distL="114300" distR="114300" simplePos="0" relativeHeight="252563968" behindDoc="0" locked="0" layoutInCell="1" allowOverlap="1" wp14:anchorId="53CF60D2" wp14:editId="081CE6CE">
            <wp:simplePos x="0" y="0"/>
            <wp:positionH relativeFrom="margin">
              <wp:posOffset>-2540</wp:posOffset>
            </wp:positionH>
            <wp:positionV relativeFrom="paragraph">
              <wp:posOffset>837565</wp:posOffset>
            </wp:positionV>
            <wp:extent cx="5862955" cy="2822575"/>
            <wp:effectExtent l="0" t="0" r="4445" b="15875"/>
            <wp:wrapTopAndBottom/>
            <wp:docPr id="252" name="Graf 25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EE79BF">
        <w:t>Z celkového počtu 1</w:t>
      </w:r>
      <w:r>
        <w:t xml:space="preserve"> </w:t>
      </w:r>
      <w:r w:rsidRPr="00EE79BF">
        <w:t xml:space="preserve">059 zaradených ZUoZ, najvyšší podiel mali ZUoZ vo veku 50 a viac rokov, čo predstavuje 517 osôb. Ďalej nasledujú ZUoZ od 30 do 49 rokov v počte 401, vo veku do 24 rokov bolo umiestnených 75 ZUoZ a vo vekovom rozmedzí od 25 do 29 </w:t>
      </w:r>
      <w:r>
        <w:t xml:space="preserve">rokov bolo zaradených 66 ZUoZ, </w:t>
      </w:r>
      <w:r w:rsidRPr="00EE79BF">
        <w:t>v štruktúre podľa grafu</w:t>
      </w:r>
      <w:r>
        <w:t>.</w:t>
      </w:r>
    </w:p>
    <w:p w14:paraId="5726D199" w14:textId="58AC1C13" w:rsidR="008E28B8" w:rsidRPr="00EE79BF" w:rsidRDefault="002A0710" w:rsidP="008E28B8">
      <w:pPr>
        <w:tabs>
          <w:tab w:val="left" w:pos="385"/>
        </w:tabs>
        <w:spacing w:after="0"/>
        <w:ind w:right="-22"/>
      </w:pPr>
      <w:r w:rsidRPr="00EE79BF">
        <w:rPr>
          <w:noProof/>
        </w:rPr>
        <w:drawing>
          <wp:anchor distT="0" distB="0" distL="114300" distR="114300" simplePos="0" relativeHeight="252566016" behindDoc="0" locked="0" layoutInCell="1" allowOverlap="1" wp14:anchorId="1EA3B6E3" wp14:editId="37DAB03C">
            <wp:simplePos x="0" y="0"/>
            <wp:positionH relativeFrom="margin">
              <wp:posOffset>-2181</wp:posOffset>
            </wp:positionH>
            <wp:positionV relativeFrom="paragraph">
              <wp:posOffset>3369421</wp:posOffset>
            </wp:positionV>
            <wp:extent cx="5862955" cy="3037205"/>
            <wp:effectExtent l="0" t="0" r="4445" b="10795"/>
            <wp:wrapTopAndBottom/>
            <wp:docPr id="4" name="Graf 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8E28B8" w:rsidRPr="00EE79BF">
        <w:t>Podľa dosiahnutého vzdelania sa v najvyššom počte na TP umiestnili ZUoZ so stredným odborným vzdelaním, ďalej nasledovali občania so základným vzdelaním</w:t>
      </w:r>
      <w:r w:rsidR="00696336">
        <w:t>, viď graf</w:t>
      </w:r>
      <w:r w:rsidR="008E28B8" w:rsidRPr="00EE79BF">
        <w:t>.</w:t>
      </w:r>
    </w:p>
    <w:p w14:paraId="4CCC1521" w14:textId="0EE59305" w:rsidR="008E28B8" w:rsidRPr="00EE79BF" w:rsidRDefault="008E28B8" w:rsidP="004726CF">
      <w:pPr>
        <w:spacing w:before="120" w:after="0"/>
        <w:ind w:hanging="6"/>
      </w:pPr>
      <w:r>
        <w:t>Z hľadiska</w:t>
      </w:r>
      <w:r w:rsidRPr="00EE79BF">
        <w:t xml:space="preserve"> znevýhodnenia UoZ, na ktorých umiestnenie sa na TP bol poskytnutý príspevok, najvyšší podiel tvorili občania, starší ako 50 rokov veku. Druhú skupinu tvorili občania, ktorí </w:t>
      </w:r>
      <w:r w:rsidRPr="00EE79BF">
        <w:lastRenderedPageBreak/>
        <w:t>najmenej 12 po sebe nasledujúcich kalendárnych mesiacov pred zaradením do evidencie UoZ nemali pravidelne platené zamestnanie</w:t>
      </w:r>
      <w:r w:rsidR="002A0710">
        <w:t xml:space="preserve">, </w:t>
      </w:r>
      <w:r w:rsidRPr="00EE79BF">
        <w:t>v štruktúre podľa grafu.</w:t>
      </w:r>
    </w:p>
    <w:p w14:paraId="15355D3A" w14:textId="1845E802" w:rsidR="000F1583" w:rsidRDefault="000F1583" w:rsidP="00696336">
      <w:pPr>
        <w:tabs>
          <w:tab w:val="left" w:pos="385"/>
        </w:tabs>
        <w:spacing w:before="120" w:after="0"/>
        <w:ind w:right="-23" w:hanging="6"/>
        <w:rPr>
          <w:rFonts w:eastAsia="Calibri"/>
        </w:rPr>
      </w:pPr>
      <w:r w:rsidRPr="00EE79BF">
        <w:rPr>
          <w:noProof/>
        </w:rPr>
        <w:drawing>
          <wp:anchor distT="0" distB="0" distL="114300" distR="114300" simplePos="0" relativeHeight="252567040" behindDoc="1" locked="0" layoutInCell="1" allowOverlap="1" wp14:anchorId="5DAD2F93" wp14:editId="7C01E8A7">
            <wp:simplePos x="0" y="0"/>
            <wp:positionH relativeFrom="margin">
              <wp:posOffset>5908</wp:posOffset>
            </wp:positionH>
            <wp:positionV relativeFrom="paragraph">
              <wp:posOffset>60519</wp:posOffset>
            </wp:positionV>
            <wp:extent cx="5862320" cy="3204210"/>
            <wp:effectExtent l="0" t="0" r="5080" b="15240"/>
            <wp:wrapNone/>
            <wp:docPr id="255" name="Graf 25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p w14:paraId="6CE83568" w14:textId="77777777" w:rsidR="000F1583" w:rsidRDefault="000F1583" w:rsidP="00696336">
      <w:pPr>
        <w:tabs>
          <w:tab w:val="left" w:pos="385"/>
        </w:tabs>
        <w:spacing w:before="120" w:after="0"/>
        <w:ind w:right="-23" w:hanging="6"/>
        <w:rPr>
          <w:rFonts w:eastAsia="Calibri"/>
        </w:rPr>
      </w:pPr>
    </w:p>
    <w:p w14:paraId="5622C671" w14:textId="77777777" w:rsidR="000F1583" w:rsidRDefault="000F1583" w:rsidP="00696336">
      <w:pPr>
        <w:tabs>
          <w:tab w:val="left" w:pos="385"/>
        </w:tabs>
        <w:spacing w:before="120" w:after="0"/>
        <w:ind w:right="-23" w:hanging="6"/>
        <w:rPr>
          <w:rFonts w:eastAsia="Calibri"/>
        </w:rPr>
      </w:pPr>
    </w:p>
    <w:p w14:paraId="733FFE32" w14:textId="77777777" w:rsidR="000F1583" w:rsidRDefault="000F1583" w:rsidP="00696336">
      <w:pPr>
        <w:tabs>
          <w:tab w:val="left" w:pos="385"/>
        </w:tabs>
        <w:spacing w:before="120" w:after="0"/>
        <w:ind w:right="-23" w:hanging="6"/>
        <w:rPr>
          <w:rFonts w:eastAsia="Calibri"/>
        </w:rPr>
      </w:pPr>
    </w:p>
    <w:p w14:paraId="7BDFE8C8" w14:textId="77777777" w:rsidR="000F1583" w:rsidRDefault="000F1583" w:rsidP="00696336">
      <w:pPr>
        <w:tabs>
          <w:tab w:val="left" w:pos="385"/>
        </w:tabs>
        <w:spacing w:before="120" w:after="0"/>
        <w:ind w:right="-23" w:hanging="6"/>
        <w:rPr>
          <w:rFonts w:eastAsia="Calibri"/>
        </w:rPr>
      </w:pPr>
    </w:p>
    <w:p w14:paraId="1DF2D64B" w14:textId="77777777" w:rsidR="000F1583" w:rsidRDefault="000F1583" w:rsidP="00696336">
      <w:pPr>
        <w:tabs>
          <w:tab w:val="left" w:pos="385"/>
        </w:tabs>
        <w:spacing w:before="120" w:after="0"/>
        <w:ind w:right="-23" w:hanging="6"/>
        <w:rPr>
          <w:rFonts w:eastAsia="Calibri"/>
        </w:rPr>
      </w:pPr>
    </w:p>
    <w:p w14:paraId="4B2E2222" w14:textId="77777777" w:rsidR="000F1583" w:rsidRDefault="000F1583" w:rsidP="00696336">
      <w:pPr>
        <w:tabs>
          <w:tab w:val="left" w:pos="385"/>
        </w:tabs>
        <w:spacing w:before="120" w:after="0"/>
        <w:ind w:right="-23" w:hanging="6"/>
        <w:rPr>
          <w:rFonts w:eastAsia="Calibri"/>
        </w:rPr>
      </w:pPr>
    </w:p>
    <w:p w14:paraId="53A65137" w14:textId="77777777" w:rsidR="000F1583" w:rsidRDefault="000F1583" w:rsidP="00696336">
      <w:pPr>
        <w:tabs>
          <w:tab w:val="left" w:pos="385"/>
        </w:tabs>
        <w:spacing w:before="120" w:after="0"/>
        <w:ind w:right="-23" w:hanging="6"/>
        <w:rPr>
          <w:rFonts w:eastAsia="Calibri"/>
        </w:rPr>
      </w:pPr>
    </w:p>
    <w:p w14:paraId="02E9C627" w14:textId="77777777" w:rsidR="000F1583" w:rsidRDefault="000F1583" w:rsidP="00696336">
      <w:pPr>
        <w:tabs>
          <w:tab w:val="left" w:pos="385"/>
        </w:tabs>
        <w:spacing w:before="120" w:after="0"/>
        <w:ind w:right="-23" w:hanging="6"/>
        <w:rPr>
          <w:rFonts w:eastAsia="Calibri"/>
        </w:rPr>
      </w:pPr>
    </w:p>
    <w:p w14:paraId="00ED0969" w14:textId="77777777" w:rsidR="000F1583" w:rsidRDefault="000F1583" w:rsidP="00696336">
      <w:pPr>
        <w:tabs>
          <w:tab w:val="left" w:pos="385"/>
        </w:tabs>
        <w:spacing w:before="120" w:after="0"/>
        <w:ind w:right="-23" w:hanging="6"/>
        <w:rPr>
          <w:rFonts w:eastAsia="Calibri"/>
        </w:rPr>
      </w:pPr>
    </w:p>
    <w:p w14:paraId="56D2D910" w14:textId="77777777" w:rsidR="000F1583" w:rsidRDefault="000F1583" w:rsidP="00696336">
      <w:pPr>
        <w:tabs>
          <w:tab w:val="left" w:pos="385"/>
        </w:tabs>
        <w:spacing w:before="120" w:after="0"/>
        <w:ind w:right="-23" w:hanging="6"/>
        <w:rPr>
          <w:rFonts w:eastAsia="Calibri"/>
        </w:rPr>
      </w:pPr>
    </w:p>
    <w:p w14:paraId="41DB49D5" w14:textId="77777777" w:rsidR="000F1583" w:rsidRDefault="000F1583" w:rsidP="00696336">
      <w:pPr>
        <w:tabs>
          <w:tab w:val="left" w:pos="385"/>
        </w:tabs>
        <w:spacing w:before="120" w:after="0"/>
        <w:ind w:right="-23" w:hanging="6"/>
        <w:rPr>
          <w:rFonts w:eastAsia="Calibri"/>
        </w:rPr>
      </w:pPr>
    </w:p>
    <w:p w14:paraId="11C98F76" w14:textId="77777777" w:rsidR="000F1583" w:rsidRDefault="000F1583" w:rsidP="00696336">
      <w:pPr>
        <w:tabs>
          <w:tab w:val="left" w:pos="385"/>
        </w:tabs>
        <w:spacing w:before="120" w:after="0"/>
        <w:ind w:right="-23" w:hanging="6"/>
        <w:rPr>
          <w:rFonts w:eastAsia="Calibri"/>
        </w:rPr>
      </w:pPr>
    </w:p>
    <w:p w14:paraId="5858B1E3" w14:textId="4BF1AEBE" w:rsidR="008E28B8" w:rsidRDefault="008E28B8" w:rsidP="00696336">
      <w:pPr>
        <w:tabs>
          <w:tab w:val="left" w:pos="385"/>
        </w:tabs>
        <w:spacing w:before="120" w:after="0"/>
        <w:ind w:right="-23" w:hanging="6"/>
        <w:rPr>
          <w:rFonts w:eastAsia="Calibri"/>
        </w:rPr>
      </w:pPr>
      <w:r w:rsidRPr="00EE79BF">
        <w:rPr>
          <w:rFonts w:eastAsia="Calibri"/>
        </w:rPr>
        <w:t>Z hľadiska štruktúry vytvorených PM u zamestnávateľov podľa SK NACE Rev 2, bol</w:t>
      </w:r>
      <w:r w:rsidR="00696336">
        <w:rPr>
          <w:rFonts w:eastAsia="Calibri"/>
        </w:rPr>
        <w:t xml:space="preserve"> finančný príspevok poskytnutý</w:t>
      </w:r>
      <w:r w:rsidRPr="00EE79BF">
        <w:rPr>
          <w:rFonts w:eastAsia="Calibri"/>
        </w:rPr>
        <w:t xml:space="preserve"> v oblasti verejnej správy</w:t>
      </w:r>
      <w:r w:rsidR="00696336">
        <w:rPr>
          <w:rFonts w:eastAsia="Calibri"/>
        </w:rPr>
        <w:t xml:space="preserve"> na </w:t>
      </w:r>
      <w:r w:rsidR="00696336" w:rsidRPr="00EE79BF">
        <w:rPr>
          <w:rFonts w:eastAsia="Calibri"/>
        </w:rPr>
        <w:t>774 PM</w:t>
      </w:r>
      <w:r w:rsidRPr="00EE79BF">
        <w:rPr>
          <w:rFonts w:eastAsia="Calibri"/>
        </w:rPr>
        <w:t xml:space="preserve">, 93 PM bolo vytvorených v oblasti zdravotníctva a sociálnej pomoci a 60 PM </w:t>
      </w:r>
      <w:r w:rsidR="00696336">
        <w:rPr>
          <w:rFonts w:eastAsia="Calibri"/>
        </w:rPr>
        <w:t xml:space="preserve">bolo podporených </w:t>
      </w:r>
      <w:r w:rsidRPr="00EE79BF">
        <w:rPr>
          <w:rFonts w:eastAsia="Calibri"/>
        </w:rPr>
        <w:t>v ostatných činnostiach.</w:t>
      </w:r>
    </w:p>
    <w:p w14:paraId="3D9F1A52" w14:textId="2E1CB3F0" w:rsidR="0089154E" w:rsidRDefault="0089154E" w:rsidP="00AE2255">
      <w:pPr>
        <w:ind w:firstLine="0"/>
        <w:rPr>
          <w:rFonts w:eastAsia="Calibri"/>
        </w:rPr>
      </w:pPr>
    </w:p>
    <w:p w14:paraId="6B8D9F0E" w14:textId="5FB90608" w:rsidR="00BB3230" w:rsidRPr="000F1583" w:rsidRDefault="001E7906" w:rsidP="005E5D25">
      <w:pPr>
        <w:pStyle w:val="Nadpis20"/>
        <w:ind w:left="567" w:hanging="567"/>
        <w:jc w:val="both"/>
        <w:rPr>
          <w:lang w:eastAsia="en-US"/>
        </w:rPr>
      </w:pPr>
      <w:bookmarkStart w:id="190" w:name="_Toc173741581"/>
      <w:r w:rsidRPr="00C35CA8">
        <w:rPr>
          <w:lang w:eastAsia="en-US"/>
        </w:rPr>
        <w:t xml:space="preserve">6.3 </w:t>
      </w:r>
      <w:r w:rsidR="00AC29D1" w:rsidRPr="00C35CA8">
        <w:rPr>
          <w:lang w:eastAsia="en-US"/>
        </w:rPr>
        <w:t xml:space="preserve">  </w:t>
      </w:r>
      <w:r w:rsidRPr="000F1583">
        <w:rPr>
          <w:lang w:eastAsia="en-US"/>
        </w:rPr>
        <w:t>Národné projekty realizované podľa § 54 zákona v rámci Operačného programu</w:t>
      </w:r>
      <w:r w:rsidR="00324FBD" w:rsidRPr="000F1583">
        <w:rPr>
          <w:lang w:eastAsia="en-US"/>
        </w:rPr>
        <w:t xml:space="preserve"> </w:t>
      </w:r>
      <w:r w:rsidRPr="000F1583">
        <w:rPr>
          <w:lang w:eastAsia="en-US"/>
        </w:rPr>
        <w:t>Ľudské zdroje</w:t>
      </w:r>
      <w:r w:rsidR="005E5D25">
        <w:rPr>
          <w:lang w:eastAsia="en-US"/>
        </w:rPr>
        <w:t xml:space="preserve"> </w:t>
      </w:r>
      <w:r w:rsidR="00324FBD" w:rsidRPr="000F1583">
        <w:rPr>
          <w:lang w:eastAsia="en-US"/>
        </w:rPr>
        <w:t xml:space="preserve">– Prioritná </w:t>
      </w:r>
      <w:r w:rsidR="00A906DF" w:rsidRPr="000F1583">
        <w:rPr>
          <w:lang w:eastAsia="en-US"/>
        </w:rPr>
        <w:t xml:space="preserve">os 8: REACT </w:t>
      </w:r>
      <w:r w:rsidR="00DF6A9F" w:rsidRPr="000F1583">
        <w:rPr>
          <w:lang w:eastAsia="en-US"/>
        </w:rPr>
        <w:t>–</w:t>
      </w:r>
      <w:r w:rsidR="00A906DF" w:rsidRPr="000F1583">
        <w:rPr>
          <w:lang w:eastAsia="en-US"/>
        </w:rPr>
        <w:t xml:space="preserve"> EÚ</w:t>
      </w:r>
      <w:bookmarkStart w:id="191" w:name="_Toc104730027"/>
      <w:bookmarkStart w:id="192" w:name="_Hlk103530346"/>
      <w:bookmarkEnd w:id="190"/>
    </w:p>
    <w:p w14:paraId="4E211D2A" w14:textId="77777777" w:rsidR="001E7906" w:rsidRPr="00C35CA8" w:rsidRDefault="001E7906" w:rsidP="00FF6295">
      <w:pPr>
        <w:pStyle w:val="Nadpis30"/>
        <w:tabs>
          <w:tab w:val="left" w:pos="567"/>
        </w:tabs>
        <w:spacing w:before="240" w:after="120"/>
        <w:ind w:hanging="6"/>
      </w:pPr>
      <w:bookmarkStart w:id="193" w:name="_Toc173741582"/>
      <w:r w:rsidRPr="000F1583">
        <w:t>6.3.1</w:t>
      </w:r>
      <w:r w:rsidRPr="000F1583">
        <w:tab/>
        <w:t>Národný projekt „Chyť sa svojej šance“</w:t>
      </w:r>
      <w:bookmarkEnd w:id="191"/>
      <w:bookmarkEnd w:id="193"/>
    </w:p>
    <w:p w14:paraId="199AA55D" w14:textId="77777777" w:rsidR="000F1583" w:rsidRPr="000F1583" w:rsidRDefault="000F1583" w:rsidP="000F1583">
      <w:pPr>
        <w:ind w:firstLine="0"/>
        <w:textAlignment w:val="baseline"/>
      </w:pPr>
      <w:r w:rsidRPr="000F1583">
        <w:t>NP  „Chyť sa svojej šance“ sa začal realizovať 1. 10. 2021 a skončil v decembri 2023. Bol zameraný na zvýšenie možností uplatnenia ZUoZ a mladých UoZ – NEET na trhu práce. </w:t>
      </w:r>
    </w:p>
    <w:p w14:paraId="5CC6947C" w14:textId="77777777" w:rsidR="000F1583" w:rsidRPr="000F1583" w:rsidRDefault="000F1583" w:rsidP="000F1583">
      <w:pPr>
        <w:ind w:firstLine="0"/>
        <w:textAlignment w:val="baseline"/>
      </w:pPr>
      <w:r w:rsidRPr="000F1583">
        <w:t>Cieľom projektu bolo zmiernenie dopadov vyhlásenej mimoriadnej situácie alebo núdzového stavu v súvislosti s pandémiou COVID-19 na zamestnanosť na území SR, zvýšením zamestnanosti a znížením nezamestnanosti znevýhodnených UoZ a mladých UoZ – NEET. Splnenie stanoveného cieľa sa zabezpečovalo poskytovaním finančných príspevkov na  podporu SZČ ZUoZ, na podporu mentorovaného zapracovania ZUoZ  mladých UoZ – NEET       s následným pokračovaním formou praxe a na podporu  vytvárania pracovných miest pre ZUoZ. </w:t>
      </w:r>
    </w:p>
    <w:p w14:paraId="493B3FA0" w14:textId="77777777" w:rsidR="000F1583" w:rsidRPr="000F1583" w:rsidRDefault="000F1583" w:rsidP="000F1583">
      <w:pPr>
        <w:spacing w:before="120" w:after="0"/>
        <w:ind w:firstLine="0"/>
        <w:textAlignment w:val="baseline"/>
      </w:pPr>
      <w:r w:rsidRPr="000F1583">
        <w:t>Hlavnou aktivitou projektu bolo vytváranie udržateľných pracovných miest, s dôrazom na digitálne a zelené pracovné miesta, pre ZUoZ a mladých UoZ - NEET. </w:t>
      </w:r>
    </w:p>
    <w:p w14:paraId="0104AA28" w14:textId="77777777" w:rsidR="000F1583" w:rsidRPr="000F1583" w:rsidRDefault="000F1583" w:rsidP="000F1583">
      <w:pPr>
        <w:textAlignment w:val="baseline"/>
      </w:pPr>
      <w:r w:rsidRPr="000F1583">
        <w:t xml:space="preserve">Finančné príspevky poskytoval žiadateľovi úrad, v ktorého územnom obvode zamestnávateľ vytvoril pracovné miesto.  </w:t>
      </w:r>
    </w:p>
    <w:p w14:paraId="2B006985" w14:textId="77777777" w:rsidR="000F1583" w:rsidRPr="000F1583" w:rsidRDefault="000F1583" w:rsidP="000F1583">
      <w:pPr>
        <w:tabs>
          <w:tab w:val="left" w:pos="0"/>
        </w:tabs>
        <w:overflowPunct w:val="0"/>
        <w:autoSpaceDE w:val="0"/>
        <w:autoSpaceDN w:val="0"/>
        <w:adjustRightInd w:val="0"/>
        <w:spacing w:after="0"/>
        <w:ind w:firstLine="0"/>
        <w:textAlignment w:val="baseline"/>
        <w:rPr>
          <w:lang w:eastAsia="cs-CZ"/>
        </w:rPr>
      </w:pPr>
      <w:r w:rsidRPr="000F1583">
        <w:rPr>
          <w:lang w:eastAsia="cs-CZ"/>
        </w:rPr>
        <w:t>V rámci hlavnej aktivity boli realizované tri opatrenia:</w:t>
      </w:r>
    </w:p>
    <w:p w14:paraId="49DCD481" w14:textId="77777777" w:rsidR="000F1583" w:rsidRPr="000F1583" w:rsidRDefault="000F1583" w:rsidP="000F1583">
      <w:pPr>
        <w:overflowPunct w:val="0"/>
        <w:autoSpaceDE w:val="0"/>
        <w:autoSpaceDN w:val="0"/>
        <w:adjustRightInd w:val="0"/>
        <w:spacing w:after="0"/>
        <w:ind w:firstLine="0"/>
        <w:textAlignment w:val="baseline"/>
        <w:rPr>
          <w:lang w:eastAsia="cs-CZ"/>
        </w:rPr>
      </w:pPr>
      <w:r w:rsidRPr="000F1583">
        <w:rPr>
          <w:lang w:eastAsia="cs-CZ"/>
        </w:rPr>
        <w:t>Opatrenie č. 1: Podpora SZČO,</w:t>
      </w:r>
    </w:p>
    <w:p w14:paraId="37D13F41" w14:textId="77777777" w:rsidR="000F1583" w:rsidRPr="000F1583" w:rsidRDefault="000F1583" w:rsidP="000F1583">
      <w:pPr>
        <w:overflowPunct w:val="0"/>
        <w:autoSpaceDE w:val="0"/>
        <w:autoSpaceDN w:val="0"/>
        <w:adjustRightInd w:val="0"/>
        <w:spacing w:after="0"/>
        <w:ind w:firstLine="0"/>
        <w:textAlignment w:val="baseline"/>
        <w:rPr>
          <w:lang w:eastAsia="cs-CZ"/>
        </w:rPr>
      </w:pPr>
      <w:r w:rsidRPr="000F1583">
        <w:rPr>
          <w:lang w:eastAsia="cs-CZ"/>
        </w:rPr>
        <w:t>Opatrenie č.2: Podpora mentorovaného zapracovania ako súčasti pracovného pomeru ZUoZ,</w:t>
      </w:r>
      <w:r w:rsidRPr="000F1583">
        <w:rPr>
          <w:lang w:eastAsia="cs-CZ"/>
        </w:rPr>
        <w:br/>
        <w:t xml:space="preserve">                         a mladého UoZ – NEET s následným pokračovaním formou praxe,</w:t>
      </w:r>
    </w:p>
    <w:p w14:paraId="71746F6F" w14:textId="77777777" w:rsidR="000F1583" w:rsidRPr="000F1583" w:rsidRDefault="000F1583" w:rsidP="000F1583">
      <w:pPr>
        <w:overflowPunct w:val="0"/>
        <w:autoSpaceDE w:val="0"/>
        <w:autoSpaceDN w:val="0"/>
        <w:adjustRightInd w:val="0"/>
        <w:spacing w:after="0"/>
        <w:ind w:firstLine="0"/>
        <w:textAlignment w:val="baseline"/>
      </w:pPr>
      <w:r w:rsidRPr="000F1583">
        <w:t>Opatrenie č. 3: Podpora zamestnávania ZUoZ.</w:t>
      </w:r>
    </w:p>
    <w:p w14:paraId="20BCD817" w14:textId="3BDE3891" w:rsidR="00BF33C9" w:rsidRDefault="00BF33C9" w:rsidP="00F74A58">
      <w:pPr>
        <w:overflowPunct w:val="0"/>
        <w:autoSpaceDE w:val="0"/>
        <w:autoSpaceDN w:val="0"/>
        <w:adjustRightInd w:val="0"/>
        <w:spacing w:before="240" w:after="120"/>
        <w:ind w:firstLine="0"/>
        <w:textAlignment w:val="baseline"/>
        <w:rPr>
          <w:b/>
          <w:lang w:eastAsia="cs-CZ"/>
        </w:rPr>
      </w:pPr>
    </w:p>
    <w:p w14:paraId="572CF235" w14:textId="77777777" w:rsidR="005E5D25" w:rsidRDefault="005E5D25" w:rsidP="00F74A58">
      <w:pPr>
        <w:overflowPunct w:val="0"/>
        <w:autoSpaceDE w:val="0"/>
        <w:autoSpaceDN w:val="0"/>
        <w:adjustRightInd w:val="0"/>
        <w:spacing w:before="240" w:after="120"/>
        <w:ind w:firstLine="0"/>
        <w:textAlignment w:val="baseline"/>
        <w:rPr>
          <w:b/>
          <w:lang w:eastAsia="cs-CZ"/>
        </w:rPr>
      </w:pPr>
    </w:p>
    <w:p w14:paraId="557FC07F" w14:textId="7A260C90" w:rsidR="00F74A58" w:rsidRPr="00F74A58" w:rsidRDefault="00F74A58" w:rsidP="00F74A58">
      <w:pPr>
        <w:overflowPunct w:val="0"/>
        <w:autoSpaceDE w:val="0"/>
        <w:autoSpaceDN w:val="0"/>
        <w:adjustRightInd w:val="0"/>
        <w:spacing w:before="240" w:after="120"/>
        <w:ind w:firstLine="0"/>
        <w:textAlignment w:val="baseline"/>
        <w:rPr>
          <w:b/>
          <w:lang w:eastAsia="cs-CZ"/>
        </w:rPr>
      </w:pPr>
      <w:r w:rsidRPr="00F74A58">
        <w:rPr>
          <w:b/>
          <w:lang w:eastAsia="cs-CZ"/>
        </w:rPr>
        <w:lastRenderedPageBreak/>
        <w:t>Opatrenie č. 1 Podpora SZČO</w:t>
      </w:r>
    </w:p>
    <w:p w14:paraId="2108ACEB" w14:textId="6255EC60" w:rsidR="00F74A58" w:rsidRPr="00F74A58" w:rsidRDefault="00F74A58" w:rsidP="00F74A58">
      <w:pPr>
        <w:overflowPunct w:val="0"/>
        <w:autoSpaceDE w:val="0"/>
        <w:autoSpaceDN w:val="0"/>
        <w:adjustRightInd w:val="0"/>
        <w:spacing w:after="0"/>
        <w:textAlignment w:val="baseline"/>
        <w:rPr>
          <w:lang w:eastAsia="cs-CZ"/>
        </w:rPr>
      </w:pPr>
      <w:r>
        <w:rPr>
          <w:lang w:eastAsia="cs-CZ"/>
        </w:rPr>
        <w:t>V roku 2023 sa v rámci o</w:t>
      </w:r>
      <w:r w:rsidRPr="00F74A58">
        <w:rPr>
          <w:lang w:eastAsia="cs-CZ"/>
        </w:rPr>
        <w:t xml:space="preserve">patrenia č. 1 poskytoval finančný príspevok na samozamestnanie ZUoZ a mladým UoZ - NEET, ktorí ako SZČO začali prevádzkovať SZČ v rôznych odvetviach, napr. v zmysle zákona č. 455/1991 Z. z. o živnostenskom podnikaní (živnostníci) alebo v zmysle osobitných predpisov (zdravotnícki pracovníci, finanční agenti, advokáti  a pod). PM na samozamestnanie mohol ZUoZ vytvoriť aj v odvetví poľnohospodárskej prvovýroby ako samostatne hospodáriaci roľník. </w:t>
      </w:r>
      <w:r w:rsidRPr="00F74A58">
        <w:rPr>
          <w:rFonts w:cs="Calibri"/>
        </w:rPr>
        <w:t>Prijímanie žiadostí o poskytnutie finančného príspevku na SZČ bolo možné najneskôr do 30. 06. 2023 v rámci opatrenia č.1 – „Podpora SZČO“.</w:t>
      </w:r>
    </w:p>
    <w:p w14:paraId="64DE729C" w14:textId="77777777" w:rsidR="00F74A58" w:rsidRPr="00F74A58" w:rsidRDefault="00F74A58" w:rsidP="00F74A58">
      <w:pPr>
        <w:overflowPunct w:val="0"/>
        <w:autoSpaceDE w:val="0"/>
        <w:autoSpaceDN w:val="0"/>
        <w:adjustRightInd w:val="0"/>
        <w:spacing w:before="120" w:after="0"/>
        <w:ind w:firstLine="0"/>
        <w:textAlignment w:val="baseline"/>
        <w:rPr>
          <w:lang w:eastAsia="cs-CZ"/>
        </w:rPr>
      </w:pPr>
      <w:r w:rsidRPr="00F74A58">
        <w:rPr>
          <w:bCs/>
          <w:lang w:eastAsia="cs-CZ"/>
        </w:rPr>
        <w:t>Za vytvorenie PM sa považuje začatie vykonávania SZČ a jej nepretržité prevádzkovanie najmenej dva roky Z</w:t>
      </w:r>
      <w:r w:rsidRPr="00F74A58">
        <w:rPr>
          <w:rFonts w:eastAsia="Calibri"/>
          <w:bCs/>
        </w:rPr>
        <w:t xml:space="preserve">UoZ, mladým UoZ – NEET, ktorému bol poskytnutý príspevok. </w:t>
      </w:r>
      <w:r w:rsidRPr="00F74A58">
        <w:rPr>
          <w:bCs/>
          <w:lang w:eastAsia="cs-CZ"/>
        </w:rPr>
        <w:t>V prípade, ak by občan prestal prevádzkovať SZČ pred uplynutím dvoch rokov, je povinný vrátiť úradu pomernú časť poskytnutého príspevku zodpovedajúcu obdobiu, počas ktorého neprevádzkoval SZČ. Uvedené sa nevzťahuje na občana, ktorý by prestal prevádzkovať SZČ zo zdravotných dôvodov na základe posúdenia</w:t>
      </w:r>
      <w:r w:rsidRPr="00F74A58">
        <w:rPr>
          <w:lang w:eastAsia="cs-CZ"/>
        </w:rPr>
        <w:t xml:space="preserve"> podľa § 19 ods. 1 písm. c) zákona o službách zamestnanosti, alebo z dôvodu úmrtia. Občan, ktorý prestal prevádzkovať SZČ zo zdravotných dôvodov, je povinný preukázať úradu použitie finančného príspevku a vrátiť úradu nevyčerpanú časť poskytnutého finančného príspevku.</w:t>
      </w:r>
    </w:p>
    <w:p w14:paraId="44DFB033" w14:textId="77777777" w:rsidR="00F74A58" w:rsidRPr="00F74A58" w:rsidRDefault="00F74A58" w:rsidP="00F74A58">
      <w:pPr>
        <w:overflowPunct w:val="0"/>
        <w:autoSpaceDE w:val="0"/>
        <w:autoSpaceDN w:val="0"/>
        <w:adjustRightInd w:val="0"/>
        <w:spacing w:before="120" w:after="0"/>
        <w:ind w:firstLine="0"/>
        <w:textAlignment w:val="baseline"/>
        <w:rPr>
          <w:lang w:eastAsia="cs-CZ"/>
        </w:rPr>
      </w:pPr>
      <w:r w:rsidRPr="00F74A58">
        <w:rPr>
          <w:rFonts w:cs="Calibri"/>
        </w:rPr>
        <w:t xml:space="preserve">V roku 2023 boli cieľovou  skupinou a oprávnenými žiadateľmi ZUoZ, vedení v evidencii UoZ úradu najmenej 1 mesiac, ZUoZ s vysokoškolským vzdelaním vedení  v evidencii UoZ úradu najmenej 3 mesiace, mladí UoZ-NEET do 30 rokov vedení v evidencii UoZ najmenej 1 mesiac (od mesiaca 12/2022), </w:t>
      </w:r>
      <w:r w:rsidRPr="00F74A58">
        <w:rPr>
          <w:rFonts w:eastAsia="Calibri"/>
          <w:bCs/>
        </w:rPr>
        <w:t xml:space="preserve">ktorí následne ako SZČO začali:  </w:t>
      </w:r>
    </w:p>
    <w:p w14:paraId="54777316" w14:textId="77777777" w:rsidR="00F74A58" w:rsidRPr="00F74A58" w:rsidRDefault="00F74A58" w:rsidP="00F74A58">
      <w:pPr>
        <w:numPr>
          <w:ilvl w:val="0"/>
          <w:numId w:val="12"/>
        </w:numPr>
        <w:overflowPunct w:val="0"/>
        <w:autoSpaceDE w:val="0"/>
        <w:autoSpaceDN w:val="0"/>
        <w:adjustRightInd w:val="0"/>
        <w:spacing w:after="0"/>
        <w:ind w:left="284" w:hanging="284"/>
        <w:textAlignment w:val="baseline"/>
        <w:rPr>
          <w:rFonts w:eastAsia="Calibri"/>
        </w:rPr>
      </w:pPr>
      <w:r w:rsidRPr="00F74A58">
        <w:rPr>
          <w:rFonts w:eastAsia="Calibri"/>
        </w:rPr>
        <w:t xml:space="preserve">prevádzkovať živnosť podľa zákona č. 455/1991 Zb. o živnostenskom podnikaní (živnostenský zákon) v znení neskorších predpisov; </w:t>
      </w:r>
    </w:p>
    <w:p w14:paraId="0586F5AD" w14:textId="77777777" w:rsidR="00F74A58" w:rsidRPr="00F74A58" w:rsidRDefault="00F74A58" w:rsidP="00F74A58">
      <w:pPr>
        <w:numPr>
          <w:ilvl w:val="0"/>
          <w:numId w:val="12"/>
        </w:numPr>
        <w:overflowPunct w:val="0"/>
        <w:autoSpaceDE w:val="0"/>
        <w:autoSpaceDN w:val="0"/>
        <w:adjustRightInd w:val="0"/>
        <w:spacing w:after="0"/>
        <w:ind w:left="284" w:hanging="284"/>
        <w:textAlignment w:val="baseline"/>
        <w:rPr>
          <w:rFonts w:eastAsia="Calibri"/>
        </w:rPr>
      </w:pPr>
      <w:r w:rsidRPr="00F74A58">
        <w:rPr>
          <w:rFonts w:eastAsia="Calibri"/>
        </w:rPr>
        <w:t xml:space="preserve">vykonávať činnosť podľa osobitných predpisov (napr. zákon č. 78/1992 Zb. o daňových poradcoch a Slovenskej komore daňových poradcov, zákon č. 323/1992 Zb. o notároch                                a notárskej činnosti (Notársky poriadok), zákon č. 586/2003 Z. z. o advokácii, zákon                               č. 540/2007 Z. z. o audítoroch, audite a dohľade nad výkonom auditu, zákon č. 185/2015                      Z. z. autorský zákon, zákon č. 103/2014 Z. z. o divadelnej činnosti a hudobnej činnosti, zákon č. 40/2015 Z. z o audiovízii a pod.), vykonávať slobodné povolania, ktoré nie sú upravené osobitnými predpismi, a nie sú ani podnikaním podľa § 2 Obchodného zákonníka, t.j. sú činnosťou, na ktorej vykonávanie zákon nevyžaduje žiadne oprávnenie; </w:t>
      </w:r>
    </w:p>
    <w:p w14:paraId="258BA9CB" w14:textId="77777777" w:rsidR="00F74A58" w:rsidRPr="00F74A58" w:rsidRDefault="00F74A58" w:rsidP="00F74A58">
      <w:pPr>
        <w:numPr>
          <w:ilvl w:val="0"/>
          <w:numId w:val="12"/>
        </w:numPr>
        <w:overflowPunct w:val="0"/>
        <w:autoSpaceDE w:val="0"/>
        <w:autoSpaceDN w:val="0"/>
        <w:adjustRightInd w:val="0"/>
        <w:spacing w:after="0"/>
        <w:ind w:left="284" w:hanging="284"/>
        <w:textAlignment w:val="baseline"/>
        <w:rPr>
          <w:rFonts w:eastAsia="Calibri"/>
        </w:rPr>
      </w:pPr>
      <w:r w:rsidRPr="00F74A58">
        <w:rPr>
          <w:rFonts w:eastAsia="Calibri"/>
        </w:rPr>
        <w:t>vykonávať poľnohospodársku výrobu vrátane hospodárenia v lesoch podľa zákona                                 č. 105/1990 Zb. o súkromnom podnikaní občanov (súkromne hospodáriaci roľník – ďalej len „SHR“). Pre potreby tohto opatrenia sa vypúšťajú SHR, ktorí by svoju činnosť vykonávali na vodných plochách.</w:t>
      </w:r>
    </w:p>
    <w:p w14:paraId="79FD9035" w14:textId="77777777" w:rsidR="00F74A58" w:rsidRPr="00F74A58" w:rsidRDefault="00F74A58" w:rsidP="00F74A58">
      <w:pPr>
        <w:overflowPunct w:val="0"/>
        <w:autoSpaceDE w:val="0"/>
        <w:autoSpaceDN w:val="0"/>
        <w:adjustRightInd w:val="0"/>
        <w:spacing w:before="120" w:after="0"/>
        <w:ind w:firstLine="0"/>
        <w:textAlignment w:val="baseline"/>
        <w:rPr>
          <w:rFonts w:eastAsia="Calibri"/>
        </w:rPr>
      </w:pPr>
      <w:r w:rsidRPr="00F74A58">
        <w:rPr>
          <w:rFonts w:eastAsia="Calibri"/>
        </w:rPr>
        <w:t>Príspevok nebolo možné poskytnúť:</w:t>
      </w:r>
    </w:p>
    <w:p w14:paraId="0F923BB1" w14:textId="77777777" w:rsidR="00F74A58" w:rsidRPr="00F74A58" w:rsidRDefault="00F74A58" w:rsidP="00F74A58">
      <w:pPr>
        <w:numPr>
          <w:ilvl w:val="0"/>
          <w:numId w:val="12"/>
        </w:numPr>
        <w:overflowPunct w:val="0"/>
        <w:autoSpaceDE w:val="0"/>
        <w:autoSpaceDN w:val="0"/>
        <w:adjustRightInd w:val="0"/>
        <w:spacing w:after="0"/>
        <w:ind w:left="284" w:hanging="284"/>
        <w:contextualSpacing/>
        <w:textAlignment w:val="baseline"/>
      </w:pPr>
      <w:r w:rsidRPr="00F74A58">
        <w:t>ZUoZ</w:t>
      </w:r>
      <w:r w:rsidRPr="00F74A58">
        <w:rPr>
          <w:b/>
        </w:rPr>
        <w:t>,</w:t>
      </w:r>
      <w:r w:rsidRPr="00F74A58">
        <w:t xml:space="preserve"> mladému UoZ – NEET, ktorému mu bol v minulosti poskytnutý príspevok na SZČ v rámci iného opatrenia APTP (napr. v zmysle § 49, §57 zákona o službách zamestnanosti, NP „Úspešne na trhu práce“ - aktivita č. 2; NP „Cesta na trh práce“, aktivita č. 4; NP „Cesta na trh práce 2“, Opatrenie č. 3, ), pred menej ako 3 rokmi odo dňa začatia prevádzkovania SZČ;  </w:t>
      </w:r>
    </w:p>
    <w:p w14:paraId="7808A148" w14:textId="77777777" w:rsidR="00F74A58" w:rsidRPr="00F74A58" w:rsidRDefault="00F74A58" w:rsidP="00F74A58">
      <w:pPr>
        <w:numPr>
          <w:ilvl w:val="0"/>
          <w:numId w:val="12"/>
        </w:numPr>
        <w:overflowPunct w:val="0"/>
        <w:autoSpaceDE w:val="0"/>
        <w:autoSpaceDN w:val="0"/>
        <w:adjustRightInd w:val="0"/>
        <w:spacing w:after="0"/>
        <w:ind w:left="284" w:hanging="142"/>
        <w:contextualSpacing/>
        <w:textAlignment w:val="baseline"/>
      </w:pPr>
      <w:r w:rsidRPr="00F74A58">
        <w:t xml:space="preserve">opätovne tomu istému ZUoZ, mladému UoZ - NEET v rámci Opatrenia č. 1, </w:t>
      </w:r>
    </w:p>
    <w:p w14:paraId="7E2038E5" w14:textId="77777777" w:rsidR="00F74A58" w:rsidRPr="00F74A58" w:rsidRDefault="00F74A58" w:rsidP="00F74A58">
      <w:pPr>
        <w:numPr>
          <w:ilvl w:val="0"/>
          <w:numId w:val="12"/>
        </w:numPr>
        <w:overflowPunct w:val="0"/>
        <w:autoSpaceDE w:val="0"/>
        <w:autoSpaceDN w:val="0"/>
        <w:adjustRightInd w:val="0"/>
        <w:spacing w:after="0"/>
        <w:ind w:left="284" w:hanging="142"/>
        <w:contextualSpacing/>
        <w:textAlignment w:val="baseline"/>
      </w:pPr>
      <w:r w:rsidRPr="00F74A58">
        <w:t>ZUoZ, mladému UoZ – NEET, ak mu bol poskytnutý finančný príspevok v rámci opatrenia č. 1  projektu „Pracuj, zmeň svoj život“.</w:t>
      </w:r>
    </w:p>
    <w:p w14:paraId="41F6DF91" w14:textId="77777777" w:rsidR="00F74A58" w:rsidRDefault="00F74A58" w:rsidP="00F74A58">
      <w:pPr>
        <w:tabs>
          <w:tab w:val="left" w:pos="3428"/>
        </w:tabs>
        <w:overflowPunct w:val="0"/>
        <w:autoSpaceDE w:val="0"/>
        <w:autoSpaceDN w:val="0"/>
        <w:adjustRightInd w:val="0"/>
        <w:spacing w:before="120" w:after="0"/>
        <w:ind w:firstLine="0"/>
        <w:textAlignment w:val="baseline"/>
        <w:rPr>
          <w:lang w:eastAsia="cs-CZ"/>
        </w:rPr>
      </w:pPr>
      <w:r w:rsidRPr="00F74A58">
        <w:rPr>
          <w:lang w:eastAsia="cs-CZ"/>
        </w:rPr>
        <w:t xml:space="preserve">Finančný príspevok na SZČ bol poskytovaný prostredníctvom jednorazovej platby vo výške </w:t>
      </w:r>
      <w:r w:rsidRPr="00F74A58">
        <w:rPr>
          <w:bCs/>
          <w:lang w:eastAsia="cs-CZ"/>
        </w:rPr>
        <w:t>5 600 Eur</w:t>
      </w:r>
      <w:r w:rsidRPr="00F74A58">
        <w:rPr>
          <w:lang w:eastAsia="cs-CZ"/>
        </w:rPr>
        <w:t>.</w:t>
      </w:r>
    </w:p>
    <w:p w14:paraId="54943C28" w14:textId="284BFE81" w:rsidR="000F1583" w:rsidRPr="00F74A58" w:rsidRDefault="00F74A58" w:rsidP="00F74A58">
      <w:pPr>
        <w:tabs>
          <w:tab w:val="left" w:pos="3428"/>
        </w:tabs>
        <w:overflowPunct w:val="0"/>
        <w:autoSpaceDE w:val="0"/>
        <w:autoSpaceDN w:val="0"/>
        <w:adjustRightInd w:val="0"/>
        <w:spacing w:before="120" w:after="0"/>
        <w:ind w:firstLine="0"/>
        <w:textAlignment w:val="baseline"/>
        <w:rPr>
          <w:b/>
          <w:lang w:eastAsia="cs-CZ"/>
        </w:rPr>
      </w:pPr>
      <w:r w:rsidRPr="00F74A58">
        <w:t xml:space="preserve">V roku 2023 bolo </w:t>
      </w:r>
      <w:r w:rsidR="00737E8B">
        <w:rPr>
          <w:rFonts w:cs="Calibri"/>
        </w:rPr>
        <w:t>do o</w:t>
      </w:r>
      <w:r w:rsidRPr="00F74A58">
        <w:rPr>
          <w:rFonts w:cs="Calibri"/>
        </w:rPr>
        <w:t>patrenia č. 1 zaradených 1534 UoZ, čo je o 621 UoZ  menej ako v roku 2022, s čerpanou sumou finančných príspevkov vo výške 8 573 600 €, čo je o 3 44</w:t>
      </w:r>
      <w:r>
        <w:rPr>
          <w:rFonts w:cs="Calibri"/>
        </w:rPr>
        <w:t xml:space="preserve">9 600 € menej ako v roku 2022, </w:t>
      </w:r>
      <w:r w:rsidRPr="00F74A58">
        <w:rPr>
          <w:rFonts w:eastAsia="Calibri"/>
        </w:rPr>
        <w:t xml:space="preserve">v štruktúre podľa </w:t>
      </w:r>
      <w:r>
        <w:rPr>
          <w:rFonts w:eastAsia="Calibri"/>
        </w:rPr>
        <w:t xml:space="preserve">nasledujúcej </w:t>
      </w:r>
      <w:r w:rsidRPr="00F74A58">
        <w:rPr>
          <w:rFonts w:eastAsia="Calibri"/>
        </w:rPr>
        <w:t>tabuľky</w:t>
      </w:r>
      <w:r>
        <w:rPr>
          <w:rFonts w:eastAsia="Calibri"/>
        </w:rPr>
        <w:t>.</w:t>
      </w:r>
    </w:p>
    <w:p w14:paraId="2CA38483" w14:textId="356FE6B2" w:rsidR="00F74A58" w:rsidRPr="00A64147" w:rsidRDefault="00F74A58" w:rsidP="00F74A58">
      <w:pPr>
        <w:spacing w:before="120" w:after="0"/>
        <w:ind w:firstLine="0"/>
        <w:rPr>
          <w:rFonts w:eastAsia="Calibri"/>
          <w:sz w:val="20"/>
          <w:szCs w:val="20"/>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591"/>
        <w:gridCol w:w="2919"/>
        <w:gridCol w:w="2914"/>
      </w:tblGrid>
      <w:tr w:rsidR="00F74A58" w:rsidRPr="00A64147" w14:paraId="79E7349A" w14:textId="77777777" w:rsidTr="00671BE6">
        <w:trPr>
          <w:trHeight w:val="595"/>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81F6936" w14:textId="77777777" w:rsidR="00F74A58" w:rsidRPr="00A64147" w:rsidRDefault="00F74A58" w:rsidP="00671BE6">
            <w:pPr>
              <w:spacing w:after="0"/>
              <w:ind w:firstLine="0"/>
              <w:jc w:val="center"/>
              <w:rPr>
                <w:rFonts w:ascii="Calibri" w:eastAsia="Calibri" w:hAnsi="Calibri" w:cs="Calibri"/>
                <w:b/>
                <w:bCs/>
                <w:sz w:val="18"/>
                <w:szCs w:val="18"/>
              </w:rPr>
            </w:pPr>
            <w:r w:rsidRPr="00A64147">
              <w:rPr>
                <w:rFonts w:ascii="Calibri" w:eastAsia="Calibri" w:hAnsi="Calibri" w:cs="Calibri"/>
                <w:b/>
                <w:bCs/>
                <w:sz w:val="18"/>
                <w:szCs w:val="18"/>
              </w:rPr>
              <w:lastRenderedPageBreak/>
              <w:t>Rok</w:t>
            </w:r>
          </w:p>
        </w:tc>
        <w:tc>
          <w:tcPr>
            <w:tcW w:w="141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8140B5F" w14:textId="77777777" w:rsidR="00F74A58" w:rsidRPr="00A64147" w:rsidRDefault="00F74A58" w:rsidP="00671BE6">
            <w:pPr>
              <w:spacing w:after="0"/>
              <w:ind w:left="53" w:firstLine="0"/>
              <w:jc w:val="center"/>
              <w:rPr>
                <w:rFonts w:ascii="Calibri" w:eastAsia="Calibri" w:hAnsi="Calibri" w:cs="Calibri"/>
                <w:b/>
                <w:bCs/>
                <w:sz w:val="18"/>
                <w:szCs w:val="18"/>
              </w:rPr>
            </w:pPr>
            <w:r w:rsidRPr="00A64147">
              <w:rPr>
                <w:rFonts w:ascii="Calibri" w:eastAsia="Calibri" w:hAnsi="Calibri" w:cs="Calibri"/>
                <w:b/>
                <w:bCs/>
                <w:sz w:val="18"/>
                <w:szCs w:val="18"/>
              </w:rPr>
              <w:t>Počet vytvorených PM</w:t>
            </w:r>
          </w:p>
        </w:tc>
        <w:tc>
          <w:tcPr>
            <w:tcW w:w="159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404EB52" w14:textId="77777777" w:rsidR="00F74A58" w:rsidRPr="00A64147" w:rsidRDefault="00F74A58" w:rsidP="00671BE6">
            <w:pPr>
              <w:spacing w:after="0"/>
              <w:ind w:left="246" w:firstLine="283"/>
              <w:jc w:val="center"/>
              <w:rPr>
                <w:rFonts w:ascii="Calibri" w:eastAsia="Calibri" w:hAnsi="Calibri" w:cs="Calibri"/>
                <w:b/>
                <w:bCs/>
                <w:sz w:val="18"/>
                <w:szCs w:val="18"/>
              </w:rPr>
            </w:pPr>
            <w:r w:rsidRPr="00A64147">
              <w:rPr>
                <w:rFonts w:ascii="Calibri" w:eastAsia="Calibri" w:hAnsi="Calibri" w:cs="Calibri"/>
                <w:b/>
                <w:bCs/>
                <w:sz w:val="18"/>
                <w:szCs w:val="18"/>
              </w:rPr>
              <w:t>Z toho počet žien</w:t>
            </w:r>
          </w:p>
        </w:tc>
        <w:tc>
          <w:tcPr>
            <w:tcW w:w="158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BC457EB" w14:textId="77777777" w:rsidR="00F74A58" w:rsidRPr="00A64147" w:rsidRDefault="00F74A58" w:rsidP="00671BE6">
            <w:pPr>
              <w:spacing w:after="0"/>
              <w:ind w:firstLine="0"/>
              <w:jc w:val="center"/>
              <w:rPr>
                <w:rFonts w:ascii="Calibri" w:eastAsia="Calibri" w:hAnsi="Calibri" w:cs="Calibri"/>
                <w:b/>
                <w:bCs/>
                <w:sz w:val="18"/>
                <w:szCs w:val="18"/>
              </w:rPr>
            </w:pPr>
            <w:r w:rsidRPr="00A64147">
              <w:rPr>
                <w:rFonts w:ascii="Calibri" w:eastAsia="Calibri" w:hAnsi="Calibri" w:cs="Calibri"/>
                <w:b/>
                <w:bCs/>
                <w:sz w:val="18"/>
                <w:szCs w:val="18"/>
              </w:rPr>
              <w:t>Čerpanie finančných</w:t>
            </w:r>
          </w:p>
          <w:p w14:paraId="466DB5E0" w14:textId="77777777" w:rsidR="00F74A58" w:rsidRPr="00A64147" w:rsidRDefault="00F74A58" w:rsidP="00671BE6">
            <w:pPr>
              <w:spacing w:after="0"/>
              <w:ind w:left="15" w:firstLine="0"/>
              <w:jc w:val="center"/>
              <w:rPr>
                <w:rFonts w:ascii="Calibri" w:eastAsia="Calibri" w:hAnsi="Calibri" w:cs="Calibri"/>
                <w:b/>
                <w:bCs/>
                <w:sz w:val="18"/>
                <w:szCs w:val="18"/>
              </w:rPr>
            </w:pPr>
            <w:r w:rsidRPr="00A64147">
              <w:rPr>
                <w:rFonts w:ascii="Calibri" w:eastAsia="Calibri" w:hAnsi="Calibri" w:cs="Calibri"/>
                <w:b/>
                <w:bCs/>
                <w:sz w:val="18"/>
                <w:szCs w:val="18"/>
              </w:rPr>
              <w:t xml:space="preserve">prostriedkov </w:t>
            </w:r>
            <w:r w:rsidRPr="00A64147">
              <w:rPr>
                <w:rFonts w:ascii="Calibri" w:eastAsia="Calibri" w:hAnsi="Calibri" w:cs="Calibri"/>
                <w:sz w:val="18"/>
                <w:szCs w:val="18"/>
              </w:rPr>
              <w:t>(v €)</w:t>
            </w:r>
          </w:p>
        </w:tc>
      </w:tr>
      <w:tr w:rsidR="00F74A58" w:rsidRPr="00A64147" w14:paraId="34902DDA" w14:textId="77777777" w:rsidTr="00671BE6">
        <w:trPr>
          <w:trHeight w:hRule="exact" w:val="342"/>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tcPr>
          <w:p w14:paraId="35D9FD2B" w14:textId="77777777" w:rsidR="00F74A58" w:rsidRPr="00A64147" w:rsidRDefault="00F74A58" w:rsidP="00671BE6">
            <w:pPr>
              <w:spacing w:after="0"/>
              <w:ind w:firstLine="0"/>
              <w:jc w:val="center"/>
              <w:rPr>
                <w:rFonts w:ascii="Calibri" w:eastAsia="Calibri" w:hAnsi="Calibri" w:cs="Calibri"/>
                <w:b/>
                <w:bCs/>
                <w:sz w:val="18"/>
                <w:szCs w:val="18"/>
              </w:rPr>
            </w:pPr>
            <w:r>
              <w:rPr>
                <w:rFonts w:ascii="Calibri" w:eastAsia="Calibri" w:hAnsi="Calibri" w:cs="Calibri"/>
                <w:b/>
                <w:bCs/>
                <w:sz w:val="18"/>
                <w:szCs w:val="18"/>
              </w:rPr>
              <w:t>2022</w:t>
            </w:r>
          </w:p>
        </w:tc>
        <w:tc>
          <w:tcPr>
            <w:tcW w:w="1413" w:type="pct"/>
            <w:tcBorders>
              <w:top w:val="single" w:sz="4" w:space="0" w:color="auto"/>
              <w:left w:val="single" w:sz="4" w:space="0" w:color="auto"/>
              <w:bottom w:val="single" w:sz="4" w:space="0" w:color="auto"/>
              <w:right w:val="single" w:sz="4" w:space="0" w:color="auto"/>
            </w:tcBorders>
            <w:vAlign w:val="center"/>
          </w:tcPr>
          <w:p w14:paraId="06D232F7" w14:textId="77777777" w:rsidR="00F74A58" w:rsidRPr="00A64147" w:rsidRDefault="00F74A58" w:rsidP="00671BE6">
            <w:pPr>
              <w:spacing w:after="0"/>
              <w:ind w:firstLine="0"/>
              <w:jc w:val="center"/>
              <w:rPr>
                <w:rFonts w:ascii="Calibri" w:eastAsia="Calibri" w:hAnsi="Calibri" w:cs="Calibri"/>
                <w:sz w:val="18"/>
                <w:szCs w:val="18"/>
              </w:rPr>
            </w:pPr>
            <w:r w:rsidRPr="00A64147">
              <w:rPr>
                <w:rFonts w:ascii="Calibri" w:eastAsia="Calibri" w:hAnsi="Calibri" w:cs="Calibri"/>
                <w:sz w:val="18"/>
                <w:szCs w:val="18"/>
              </w:rPr>
              <w:t>2 155</w:t>
            </w:r>
          </w:p>
        </w:tc>
        <w:tc>
          <w:tcPr>
            <w:tcW w:w="1592" w:type="pct"/>
            <w:tcBorders>
              <w:top w:val="single" w:sz="4" w:space="0" w:color="auto"/>
              <w:left w:val="single" w:sz="4" w:space="0" w:color="auto"/>
              <w:bottom w:val="single" w:sz="4" w:space="0" w:color="auto"/>
              <w:right w:val="single" w:sz="4" w:space="0" w:color="auto"/>
            </w:tcBorders>
            <w:vAlign w:val="center"/>
          </w:tcPr>
          <w:p w14:paraId="48F9E720" w14:textId="77777777" w:rsidR="00F74A58" w:rsidRPr="00A64147" w:rsidRDefault="00F74A58" w:rsidP="00671BE6">
            <w:pPr>
              <w:spacing w:after="0"/>
              <w:ind w:firstLine="0"/>
              <w:jc w:val="center"/>
              <w:rPr>
                <w:rFonts w:ascii="Calibri" w:eastAsia="Calibri" w:hAnsi="Calibri" w:cs="Calibri"/>
                <w:sz w:val="18"/>
                <w:szCs w:val="18"/>
              </w:rPr>
            </w:pPr>
            <w:r w:rsidRPr="00A64147">
              <w:rPr>
                <w:rFonts w:ascii="Calibri" w:eastAsia="Calibri" w:hAnsi="Calibri" w:cs="Calibri"/>
                <w:sz w:val="18"/>
                <w:szCs w:val="18"/>
              </w:rPr>
              <w:t>1 028</w:t>
            </w:r>
          </w:p>
        </w:tc>
        <w:tc>
          <w:tcPr>
            <w:tcW w:w="1589" w:type="pct"/>
            <w:tcBorders>
              <w:top w:val="single" w:sz="4" w:space="0" w:color="auto"/>
              <w:left w:val="single" w:sz="4" w:space="0" w:color="auto"/>
              <w:bottom w:val="single" w:sz="4" w:space="0" w:color="auto"/>
              <w:right w:val="single" w:sz="4" w:space="0" w:color="auto"/>
            </w:tcBorders>
            <w:vAlign w:val="center"/>
          </w:tcPr>
          <w:p w14:paraId="362495B6" w14:textId="77777777" w:rsidR="00F74A58" w:rsidRPr="00A64147" w:rsidRDefault="00F74A58" w:rsidP="00671BE6">
            <w:pPr>
              <w:spacing w:after="0"/>
              <w:ind w:firstLine="0"/>
              <w:jc w:val="center"/>
              <w:rPr>
                <w:rFonts w:ascii="Calibri" w:eastAsia="Calibri" w:hAnsi="Calibri" w:cs="Calibri"/>
                <w:sz w:val="18"/>
                <w:szCs w:val="18"/>
              </w:rPr>
            </w:pPr>
            <w:r w:rsidRPr="00A64147">
              <w:rPr>
                <w:rFonts w:ascii="Calibri" w:eastAsia="Calibri" w:hAnsi="Calibri" w:cs="Calibri"/>
                <w:sz w:val="18"/>
                <w:szCs w:val="18"/>
              </w:rPr>
              <w:t>12 023 200</w:t>
            </w:r>
          </w:p>
        </w:tc>
      </w:tr>
      <w:tr w:rsidR="00F74A58" w:rsidRPr="00A64147" w14:paraId="344575AF" w14:textId="77777777" w:rsidTr="00671BE6">
        <w:trPr>
          <w:trHeight w:hRule="exact" w:val="342"/>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A3BC9A8" w14:textId="77777777" w:rsidR="00F74A58" w:rsidRPr="00A64147" w:rsidRDefault="00F74A58" w:rsidP="00671BE6">
            <w:pPr>
              <w:spacing w:after="0"/>
              <w:ind w:firstLine="0"/>
              <w:jc w:val="center"/>
              <w:rPr>
                <w:rFonts w:ascii="Calibri" w:eastAsia="Calibri" w:hAnsi="Calibri" w:cs="Calibri"/>
                <w:b/>
                <w:bCs/>
                <w:sz w:val="18"/>
                <w:szCs w:val="18"/>
              </w:rPr>
            </w:pPr>
            <w:r>
              <w:rPr>
                <w:rFonts w:ascii="Calibri" w:eastAsia="Calibri" w:hAnsi="Calibri" w:cs="Calibri"/>
                <w:b/>
                <w:bCs/>
                <w:sz w:val="18"/>
                <w:szCs w:val="18"/>
              </w:rPr>
              <w:t>2023</w:t>
            </w:r>
          </w:p>
        </w:tc>
        <w:tc>
          <w:tcPr>
            <w:tcW w:w="1413" w:type="pct"/>
            <w:tcBorders>
              <w:top w:val="single" w:sz="4" w:space="0" w:color="auto"/>
              <w:left w:val="single" w:sz="4" w:space="0" w:color="auto"/>
              <w:bottom w:val="single" w:sz="4" w:space="0" w:color="auto"/>
              <w:right w:val="single" w:sz="4" w:space="0" w:color="auto"/>
            </w:tcBorders>
            <w:vAlign w:val="center"/>
            <w:hideMark/>
          </w:tcPr>
          <w:p w14:paraId="02B3F41F" w14:textId="77777777" w:rsidR="00F74A58" w:rsidRPr="00A64147" w:rsidRDefault="00F74A58" w:rsidP="00671BE6">
            <w:pPr>
              <w:spacing w:after="0"/>
              <w:ind w:firstLine="0"/>
              <w:jc w:val="center"/>
              <w:rPr>
                <w:rFonts w:ascii="Calibri" w:eastAsia="Calibri" w:hAnsi="Calibri" w:cs="Calibri"/>
                <w:sz w:val="18"/>
                <w:szCs w:val="18"/>
              </w:rPr>
            </w:pPr>
            <w:r>
              <w:rPr>
                <w:rFonts w:ascii="Calibri" w:eastAsia="Calibri" w:hAnsi="Calibri" w:cs="Calibri"/>
                <w:sz w:val="18"/>
                <w:szCs w:val="18"/>
              </w:rPr>
              <w:t>1 534</w:t>
            </w:r>
          </w:p>
        </w:tc>
        <w:tc>
          <w:tcPr>
            <w:tcW w:w="1592" w:type="pct"/>
            <w:tcBorders>
              <w:top w:val="single" w:sz="4" w:space="0" w:color="auto"/>
              <w:left w:val="single" w:sz="4" w:space="0" w:color="auto"/>
              <w:bottom w:val="single" w:sz="4" w:space="0" w:color="auto"/>
              <w:right w:val="single" w:sz="4" w:space="0" w:color="auto"/>
            </w:tcBorders>
            <w:vAlign w:val="center"/>
            <w:hideMark/>
          </w:tcPr>
          <w:p w14:paraId="4CA904AE" w14:textId="77777777" w:rsidR="00F74A58" w:rsidRPr="00A64147" w:rsidRDefault="00F74A58" w:rsidP="00671BE6">
            <w:pPr>
              <w:spacing w:after="0"/>
              <w:ind w:firstLine="0"/>
              <w:jc w:val="center"/>
              <w:rPr>
                <w:rFonts w:ascii="Calibri" w:eastAsia="Calibri" w:hAnsi="Calibri" w:cs="Calibri"/>
                <w:sz w:val="18"/>
                <w:szCs w:val="18"/>
              </w:rPr>
            </w:pPr>
            <w:r>
              <w:rPr>
                <w:rFonts w:ascii="Calibri" w:eastAsia="Calibri" w:hAnsi="Calibri" w:cs="Calibri"/>
                <w:sz w:val="18"/>
                <w:szCs w:val="18"/>
              </w:rPr>
              <w:t>733</w:t>
            </w:r>
          </w:p>
        </w:tc>
        <w:tc>
          <w:tcPr>
            <w:tcW w:w="1589" w:type="pct"/>
            <w:tcBorders>
              <w:top w:val="single" w:sz="4" w:space="0" w:color="auto"/>
              <w:left w:val="single" w:sz="4" w:space="0" w:color="auto"/>
              <w:bottom w:val="single" w:sz="4" w:space="0" w:color="auto"/>
              <w:right w:val="single" w:sz="4" w:space="0" w:color="auto"/>
            </w:tcBorders>
            <w:vAlign w:val="center"/>
            <w:hideMark/>
          </w:tcPr>
          <w:p w14:paraId="0B2562A1" w14:textId="77777777" w:rsidR="00F74A58" w:rsidRPr="00A64147" w:rsidRDefault="00F74A58" w:rsidP="00671BE6">
            <w:pPr>
              <w:spacing w:after="0"/>
              <w:ind w:firstLine="0"/>
              <w:jc w:val="center"/>
              <w:rPr>
                <w:rFonts w:ascii="Calibri" w:eastAsia="Calibri" w:hAnsi="Calibri" w:cs="Calibri"/>
                <w:sz w:val="18"/>
                <w:szCs w:val="18"/>
              </w:rPr>
            </w:pPr>
            <w:r>
              <w:rPr>
                <w:rFonts w:ascii="Calibri" w:eastAsia="Calibri" w:hAnsi="Calibri" w:cs="Calibri"/>
                <w:sz w:val="18"/>
                <w:szCs w:val="18"/>
              </w:rPr>
              <w:t>8 573 600</w:t>
            </w:r>
          </w:p>
        </w:tc>
      </w:tr>
    </w:tbl>
    <w:p w14:paraId="67C08114" w14:textId="77777777" w:rsidR="00F74A58" w:rsidRPr="00F74A58" w:rsidRDefault="00F74A58" w:rsidP="00F74A58">
      <w:pPr>
        <w:spacing w:before="120" w:after="0"/>
        <w:ind w:firstLine="0"/>
        <w:rPr>
          <w:rFonts w:eastAsia="Calibri"/>
        </w:rPr>
      </w:pPr>
      <w:r w:rsidRPr="00F74A58">
        <w:rPr>
          <w:rFonts w:eastAsia="Calibri"/>
        </w:rPr>
        <w:t xml:space="preserve">PM na prevádzkovanie alebo vykonávanie SZČ vytvorilo spolu 1 534 UoZ, z toho 801 mužov a 733 žien, t. j. 47,78 % žien z celkového počtu príjemcov príspevku. </w:t>
      </w:r>
    </w:p>
    <w:p w14:paraId="5F24D98B" w14:textId="08EABF92" w:rsidR="00F74A58" w:rsidRPr="00F74A58" w:rsidRDefault="00F74A58" w:rsidP="00F74A58">
      <w:pPr>
        <w:spacing w:before="120" w:after="0"/>
        <w:ind w:firstLine="0"/>
        <w:rPr>
          <w:rFonts w:eastAsia="Calibri"/>
        </w:rPr>
      </w:pPr>
      <w:r w:rsidRPr="00084604">
        <w:rPr>
          <w:noProof/>
          <w:sz w:val="20"/>
          <w:szCs w:val="20"/>
        </w:rPr>
        <w:drawing>
          <wp:anchor distT="0" distB="0" distL="114300" distR="114300" simplePos="0" relativeHeight="252571136" behindDoc="0" locked="0" layoutInCell="1" allowOverlap="1" wp14:anchorId="065A2B00" wp14:editId="27B98FDD">
            <wp:simplePos x="0" y="0"/>
            <wp:positionH relativeFrom="margin">
              <wp:posOffset>-2540</wp:posOffset>
            </wp:positionH>
            <wp:positionV relativeFrom="paragraph">
              <wp:posOffset>996315</wp:posOffset>
            </wp:positionV>
            <wp:extent cx="5862955" cy="2552065"/>
            <wp:effectExtent l="0" t="0" r="4445" b="635"/>
            <wp:wrapTopAndBottom/>
            <wp:docPr id="248" name="Graf 24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F74A58">
        <w:rPr>
          <w:rFonts w:eastAsia="Calibri"/>
        </w:rPr>
        <w:t xml:space="preserve">Z hľadiska vekových charakteristík, z celkového počtu 1 534 UoZ, bolo 779 UoZ príjemcov príspevku vo veku od 30 do 49 rokov (50,78 %), 544 UoZ (35,47 %) vo veku do 30 rokov mínus 1 deň, z toho 244 UoZ vo veku do 24 rokov (15,91%), 300 UoZ vo veku od 25 do 29 rokov (19,56 %), 211 UoZ (13,75 %) z celkového </w:t>
      </w:r>
      <w:r>
        <w:rPr>
          <w:rFonts w:eastAsia="Calibri"/>
        </w:rPr>
        <w:t>počtu tvorili UoZ vo veku 50+, v štruktúre podľa grafu nižšie.</w:t>
      </w:r>
    </w:p>
    <w:p w14:paraId="546B1209" w14:textId="1A2733A6" w:rsidR="00F74A58" w:rsidRPr="00F74A58" w:rsidRDefault="00F74A58" w:rsidP="00F74A58">
      <w:pPr>
        <w:spacing w:before="120" w:after="0"/>
        <w:ind w:firstLine="0"/>
        <w:rPr>
          <w:rFonts w:eastAsia="Calibri"/>
        </w:rPr>
      </w:pPr>
      <w:r w:rsidRPr="00084604">
        <w:rPr>
          <w:noProof/>
          <w:sz w:val="20"/>
          <w:szCs w:val="20"/>
        </w:rPr>
        <w:drawing>
          <wp:anchor distT="0" distB="0" distL="114300" distR="114300" simplePos="0" relativeHeight="252572160" behindDoc="0" locked="0" layoutInCell="1" allowOverlap="1" wp14:anchorId="762654FD" wp14:editId="7CE1D156">
            <wp:simplePos x="0" y="0"/>
            <wp:positionH relativeFrom="margin">
              <wp:posOffset>-2540</wp:posOffset>
            </wp:positionH>
            <wp:positionV relativeFrom="paragraph">
              <wp:posOffset>3987800</wp:posOffset>
            </wp:positionV>
            <wp:extent cx="5862955" cy="3037205"/>
            <wp:effectExtent l="0" t="0" r="4445" b="10795"/>
            <wp:wrapTopAndBottom/>
            <wp:docPr id="15" name="Graf 1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F74A58">
        <w:rPr>
          <w:rFonts w:eastAsia="Calibri"/>
        </w:rPr>
        <w:t>Z hľadiska vzdelania, podporené PM na SZČ obsadilo 680 UoZ (44,33%) s úplným stredným odborným vzdelaním, s  VŠ II. stupňa vytvorilo PM na samozamestnanie 330 UoZ (21,51 %),  so stredným odborným vzdelaním 248 UoZ (16,17 %), s úplným stredným všeobecným vzdelaním 112 UoZ (7,30 %); s VŠ I. stupňa 85 UoZ (5,54 %), 52 UoZ so základným vzdelaním (3,39 %),  s VŠ III. stupňa 10 UoZ (0,65 %),  vyššie odborné vzdelanie  malo 14 UoZ (0,91 %),  nižšie stredné odborné vzdelanie mal 1 UoZ ( 0,07 %) a neukončené  základné vzdelanie mali 2 UoZ (0,13%)</w:t>
      </w:r>
      <w:r>
        <w:rPr>
          <w:rFonts w:eastAsia="Calibri"/>
        </w:rPr>
        <w:t>, v štruktúre podľa grafu</w:t>
      </w:r>
      <w:r w:rsidRPr="00F74A58">
        <w:rPr>
          <w:rFonts w:eastAsia="Calibri"/>
        </w:rPr>
        <w:t>.</w:t>
      </w:r>
    </w:p>
    <w:p w14:paraId="53BCC9F1" w14:textId="495EF7C6" w:rsidR="00F74A58" w:rsidRPr="0048583A" w:rsidRDefault="00F74A58" w:rsidP="0048583A">
      <w:pPr>
        <w:spacing w:before="120"/>
        <w:ind w:firstLine="0"/>
        <w:rPr>
          <w:rFonts w:eastAsia="Calibri"/>
        </w:rPr>
      </w:pPr>
      <w:r w:rsidRPr="0048583A">
        <w:rPr>
          <w:rFonts w:eastAsia="Calibri"/>
        </w:rPr>
        <w:lastRenderedPageBreak/>
        <w:t>Z celkového počtu 1 534 UoZ, najviac UoZ, t. j. 453 UoZ  (29,53%) príjemcov príspevku na SZČ, ktorí v roku 2023 vytvorili PM na samozamestnanie, boli v evidencii úradu 13</w:t>
      </w:r>
      <w:r w:rsidR="0048583A" w:rsidRPr="0048583A">
        <w:rPr>
          <w:rFonts w:eastAsia="Calibri"/>
        </w:rPr>
        <w:t xml:space="preserve"> </w:t>
      </w:r>
      <w:r w:rsidRPr="0048583A">
        <w:rPr>
          <w:rFonts w:eastAsia="Calibri"/>
        </w:rPr>
        <w:t>-</w:t>
      </w:r>
      <w:r w:rsidR="0048583A" w:rsidRPr="0048583A">
        <w:rPr>
          <w:rFonts w:eastAsia="Calibri"/>
        </w:rPr>
        <w:t xml:space="preserve"> </w:t>
      </w:r>
      <w:r w:rsidRPr="0048583A">
        <w:rPr>
          <w:rFonts w:eastAsia="Calibri"/>
        </w:rPr>
        <w:t>24 mesiacov, 7</w:t>
      </w:r>
      <w:r w:rsidR="0048583A" w:rsidRPr="0048583A">
        <w:rPr>
          <w:rFonts w:eastAsia="Calibri"/>
        </w:rPr>
        <w:t xml:space="preserve"> </w:t>
      </w:r>
      <w:r w:rsidRPr="0048583A">
        <w:rPr>
          <w:rFonts w:eastAsia="Calibri"/>
        </w:rPr>
        <w:t>-</w:t>
      </w:r>
      <w:r w:rsidR="0048583A" w:rsidRPr="0048583A">
        <w:rPr>
          <w:rFonts w:eastAsia="Calibri"/>
        </w:rPr>
        <w:t xml:space="preserve"> </w:t>
      </w:r>
      <w:r w:rsidRPr="0048583A">
        <w:rPr>
          <w:rFonts w:eastAsia="Calibri"/>
        </w:rPr>
        <w:t>12 mesiacov bolo evidovaných 403 UoZ (26,27 %), viac ako 24 mesiacov bolo v evidencii 229 UoZ (14,93 %), 4</w:t>
      </w:r>
      <w:r w:rsidR="0048583A" w:rsidRPr="0048583A">
        <w:rPr>
          <w:rFonts w:eastAsia="Calibri"/>
        </w:rPr>
        <w:t xml:space="preserve"> </w:t>
      </w:r>
      <w:r w:rsidRPr="0048583A">
        <w:rPr>
          <w:rFonts w:eastAsia="Calibri"/>
        </w:rPr>
        <w:t>-</w:t>
      </w:r>
      <w:r w:rsidR="0048583A" w:rsidRPr="0048583A">
        <w:rPr>
          <w:rFonts w:eastAsia="Calibri"/>
        </w:rPr>
        <w:t xml:space="preserve"> </w:t>
      </w:r>
      <w:r w:rsidRPr="0048583A">
        <w:rPr>
          <w:rFonts w:eastAsia="Calibri"/>
        </w:rPr>
        <w:t xml:space="preserve">6 mesiacov bolo evidovaných 319 UoZ (20,80 %), do 3 mes. bolo v evidencii UoZ 130 UoZ (8,47 </w:t>
      </w:r>
      <w:r w:rsidR="0048583A" w:rsidRPr="0048583A">
        <w:rPr>
          <w:rFonts w:eastAsia="Calibri"/>
        </w:rPr>
        <w:t>%)</w:t>
      </w:r>
      <w:r w:rsidR="00BF33C9">
        <w:rPr>
          <w:rFonts w:eastAsia="Calibri"/>
        </w:rPr>
        <w:t xml:space="preserve"> -</w:t>
      </w:r>
      <w:r w:rsidR="0048583A" w:rsidRPr="0048583A">
        <w:rPr>
          <w:rFonts w:eastAsia="Calibri"/>
        </w:rPr>
        <w:t xml:space="preserve"> </w:t>
      </w:r>
      <w:r w:rsidRPr="0048583A">
        <w:rPr>
          <w:rFonts w:eastAsia="Calibri"/>
        </w:rPr>
        <w:t>v</w:t>
      </w:r>
      <w:r w:rsidR="0048583A" w:rsidRPr="0048583A">
        <w:rPr>
          <w:rFonts w:eastAsia="Calibri"/>
        </w:rPr>
        <w:t>iď nasledujúci graf</w:t>
      </w:r>
      <w:r w:rsidRPr="0048583A">
        <w:rPr>
          <w:rFonts w:eastAsia="Calibri"/>
        </w:rPr>
        <w:t xml:space="preserve">. </w:t>
      </w:r>
    </w:p>
    <w:p w14:paraId="007E1A70" w14:textId="0CEBF265" w:rsidR="0048583A" w:rsidRPr="0048583A" w:rsidRDefault="0048583A" w:rsidP="0048583A">
      <w:pPr>
        <w:spacing w:before="120"/>
        <w:ind w:firstLine="0"/>
        <w:rPr>
          <w:rFonts w:eastAsia="Calibri"/>
        </w:rPr>
      </w:pPr>
      <w:r w:rsidRPr="0048583A">
        <w:rPr>
          <w:noProof/>
          <w:sz w:val="20"/>
          <w:szCs w:val="20"/>
        </w:rPr>
        <w:drawing>
          <wp:anchor distT="0" distB="0" distL="114300" distR="114300" simplePos="0" relativeHeight="252573184" behindDoc="1" locked="0" layoutInCell="1" allowOverlap="1" wp14:anchorId="44B07F94" wp14:editId="44EF718D">
            <wp:simplePos x="0" y="0"/>
            <wp:positionH relativeFrom="margin">
              <wp:posOffset>13970</wp:posOffset>
            </wp:positionH>
            <wp:positionV relativeFrom="paragraph">
              <wp:posOffset>50689</wp:posOffset>
            </wp:positionV>
            <wp:extent cx="5862955" cy="3156667"/>
            <wp:effectExtent l="0" t="0" r="4445" b="5715"/>
            <wp:wrapNone/>
            <wp:docPr id="448" name="Graf 44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p>
    <w:p w14:paraId="02AFA1EB" w14:textId="46B281AB" w:rsidR="0048583A" w:rsidRPr="0048583A" w:rsidRDefault="0048583A" w:rsidP="0048583A">
      <w:pPr>
        <w:spacing w:before="120"/>
        <w:ind w:firstLine="0"/>
        <w:rPr>
          <w:rFonts w:eastAsia="Calibri"/>
        </w:rPr>
      </w:pPr>
    </w:p>
    <w:p w14:paraId="492546B3" w14:textId="208CA546" w:rsidR="0048583A" w:rsidRPr="0048583A" w:rsidRDefault="0048583A" w:rsidP="0048583A">
      <w:pPr>
        <w:spacing w:before="120"/>
        <w:ind w:firstLine="0"/>
        <w:rPr>
          <w:rFonts w:eastAsia="Calibri"/>
        </w:rPr>
      </w:pPr>
    </w:p>
    <w:p w14:paraId="4EAD3B01" w14:textId="47F251B0" w:rsidR="0048583A" w:rsidRPr="0048583A" w:rsidRDefault="0048583A" w:rsidP="0048583A">
      <w:pPr>
        <w:spacing w:before="120"/>
        <w:ind w:firstLine="0"/>
        <w:rPr>
          <w:rFonts w:eastAsia="Calibri"/>
        </w:rPr>
      </w:pPr>
    </w:p>
    <w:p w14:paraId="36349744" w14:textId="6B189FC9" w:rsidR="0048583A" w:rsidRPr="0048583A" w:rsidRDefault="0048583A" w:rsidP="0048583A">
      <w:pPr>
        <w:spacing w:before="120"/>
        <w:ind w:firstLine="0"/>
        <w:rPr>
          <w:rFonts w:eastAsia="Calibri"/>
        </w:rPr>
      </w:pPr>
    </w:p>
    <w:p w14:paraId="2AB6C11B" w14:textId="77777777" w:rsidR="0048583A" w:rsidRPr="0048583A" w:rsidRDefault="0048583A" w:rsidP="0048583A">
      <w:pPr>
        <w:spacing w:before="120"/>
        <w:ind w:firstLine="0"/>
        <w:rPr>
          <w:rFonts w:eastAsia="Calibri"/>
        </w:rPr>
      </w:pPr>
    </w:p>
    <w:p w14:paraId="0C9BF341" w14:textId="5E7A99A6" w:rsidR="00F74A58" w:rsidRPr="0048583A" w:rsidRDefault="00F74A58" w:rsidP="00F74A58">
      <w:pPr>
        <w:spacing w:before="120" w:after="0"/>
        <w:ind w:firstLine="0"/>
        <w:jc w:val="left"/>
        <w:rPr>
          <w:rFonts w:eastAsia="Calibri"/>
          <w:sz w:val="20"/>
          <w:szCs w:val="20"/>
        </w:rPr>
      </w:pPr>
    </w:p>
    <w:p w14:paraId="47914212" w14:textId="52634E75" w:rsidR="0048583A" w:rsidRPr="0048583A" w:rsidRDefault="0048583A" w:rsidP="00F74A58">
      <w:pPr>
        <w:spacing w:before="120"/>
        <w:ind w:firstLine="0"/>
        <w:rPr>
          <w:rFonts w:eastAsia="Calibri"/>
        </w:rPr>
      </w:pPr>
    </w:p>
    <w:p w14:paraId="7A87B780" w14:textId="54FEE7EE" w:rsidR="0048583A" w:rsidRPr="0048583A" w:rsidRDefault="0048583A" w:rsidP="00F74A58">
      <w:pPr>
        <w:spacing w:before="120"/>
        <w:ind w:firstLine="0"/>
        <w:rPr>
          <w:rFonts w:eastAsia="Calibri"/>
        </w:rPr>
      </w:pPr>
    </w:p>
    <w:p w14:paraId="401A3B3B" w14:textId="6F9CFD9C" w:rsidR="0048583A" w:rsidRPr="0048583A" w:rsidRDefault="0048583A" w:rsidP="00F74A58">
      <w:pPr>
        <w:spacing w:before="120"/>
        <w:ind w:firstLine="0"/>
        <w:rPr>
          <w:rFonts w:eastAsia="Calibri"/>
        </w:rPr>
      </w:pPr>
    </w:p>
    <w:p w14:paraId="655347EA" w14:textId="14718D6B" w:rsidR="0048583A" w:rsidRPr="0048583A" w:rsidRDefault="0048583A" w:rsidP="00F74A58">
      <w:pPr>
        <w:spacing w:before="120"/>
        <w:ind w:firstLine="0"/>
        <w:rPr>
          <w:rFonts w:eastAsia="Calibri"/>
        </w:rPr>
      </w:pPr>
    </w:p>
    <w:p w14:paraId="49145109" w14:textId="77777777" w:rsidR="0048583A" w:rsidRPr="0048583A" w:rsidRDefault="0048583A" w:rsidP="0048583A">
      <w:pPr>
        <w:spacing w:before="120" w:after="0"/>
        <w:ind w:firstLine="0"/>
        <w:rPr>
          <w:rFonts w:eastAsia="Calibri"/>
        </w:rPr>
      </w:pPr>
    </w:p>
    <w:p w14:paraId="4EAED18F" w14:textId="77777777" w:rsidR="0048583A" w:rsidRDefault="0048583A" w:rsidP="0048583A">
      <w:pPr>
        <w:spacing w:before="120" w:after="0"/>
        <w:ind w:firstLine="0"/>
        <w:rPr>
          <w:rFonts w:eastAsia="Calibri"/>
        </w:rPr>
      </w:pPr>
    </w:p>
    <w:p w14:paraId="55CFA9C7" w14:textId="2E6408B5" w:rsidR="00F74A58" w:rsidRDefault="00F74A58" w:rsidP="0048583A">
      <w:pPr>
        <w:spacing w:before="120" w:after="0"/>
        <w:ind w:firstLine="0"/>
        <w:rPr>
          <w:rFonts w:eastAsia="Calibri"/>
        </w:rPr>
      </w:pPr>
      <w:r w:rsidRPr="0048583A">
        <w:rPr>
          <w:rFonts w:eastAsia="Calibri"/>
        </w:rPr>
        <w:t xml:space="preserve">V rámci štruktúry ZUoZ zaradených na tento nástroj AOTP, z celkového počtu 1 534 UoZ, ktorí v rámci NP CHSŠ v roku 2023 vytvorili PM na samozamestnanie, bolo 690 DN UoZ, t. j. </w:t>
      </w:r>
      <w:r w:rsidRPr="0048583A">
        <w:rPr>
          <w:rFonts w:eastAsia="Calibri"/>
        </w:rPr>
        <w:br/>
        <w:t xml:space="preserve">(34,19 % ) a 744 UoZ (36,87 %), ktorí najmenej 12 po sebe nasledujúcich kalendárnych mesiacov pred zaradením do evidencie UoZ nemali pravidelne platené zamestnanie, 211 občanov nad 50 rokov (10,46 %)  a 161 absolventov (7,98 %), 79 UoZ občanov so ZP (3,91 %), 55 občanov so vzdelaním nižším ako stredným odborným (2,73 %), 40 osamelých občanov - starostlivosť o odkázanú osobu/starajúci sa o dieťa (1,98 %), 38 občanov, ktorí ukončili poberanie materskej dávky/rodičovského príspevku (1,88%). UoZ môže zároveň spĺňať viac znevýhodnení naraz </w:t>
      </w:r>
      <w:r w:rsidR="0048583A">
        <w:rPr>
          <w:rFonts w:eastAsia="Calibri"/>
        </w:rPr>
        <w:t>- v štruktúre podľa nasledujúceho grafu</w:t>
      </w:r>
      <w:r w:rsidRPr="0048583A">
        <w:rPr>
          <w:rFonts w:eastAsia="Calibri"/>
        </w:rPr>
        <w:t xml:space="preserve">. </w:t>
      </w:r>
    </w:p>
    <w:p w14:paraId="47DCE20F" w14:textId="59B11E33" w:rsidR="0048583A" w:rsidRDefault="0048583A" w:rsidP="0048583A">
      <w:pPr>
        <w:spacing w:before="120" w:after="0"/>
        <w:ind w:firstLine="0"/>
        <w:rPr>
          <w:rFonts w:eastAsia="Calibri"/>
        </w:rPr>
      </w:pPr>
      <w:r w:rsidRPr="00F20D3E">
        <w:rPr>
          <w:noProof/>
          <w:color w:val="FF0000"/>
          <w:sz w:val="20"/>
          <w:szCs w:val="20"/>
        </w:rPr>
        <w:drawing>
          <wp:anchor distT="0" distB="0" distL="114300" distR="114300" simplePos="0" relativeHeight="252574208" behindDoc="1" locked="0" layoutInCell="1" allowOverlap="1" wp14:anchorId="2832A2FD" wp14:editId="755292E6">
            <wp:simplePos x="0" y="0"/>
            <wp:positionH relativeFrom="margin">
              <wp:posOffset>13970</wp:posOffset>
            </wp:positionH>
            <wp:positionV relativeFrom="paragraph">
              <wp:posOffset>97321</wp:posOffset>
            </wp:positionV>
            <wp:extent cx="5838825" cy="3156667"/>
            <wp:effectExtent l="0" t="0" r="9525" b="5715"/>
            <wp:wrapNone/>
            <wp:docPr id="449" name="Graf 44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14:paraId="6AE4C58E" w14:textId="2D43D7E7" w:rsidR="0048583A" w:rsidRDefault="0048583A" w:rsidP="0048583A">
      <w:pPr>
        <w:spacing w:before="120" w:after="0"/>
        <w:ind w:firstLine="0"/>
        <w:rPr>
          <w:rFonts w:eastAsia="Calibri"/>
        </w:rPr>
      </w:pPr>
    </w:p>
    <w:p w14:paraId="53337931" w14:textId="7E189B6C" w:rsidR="0048583A" w:rsidRDefault="0048583A" w:rsidP="0048583A">
      <w:pPr>
        <w:spacing w:before="120" w:after="0"/>
        <w:ind w:firstLine="0"/>
        <w:rPr>
          <w:rFonts w:eastAsia="Calibri"/>
        </w:rPr>
      </w:pPr>
    </w:p>
    <w:p w14:paraId="00395A8C" w14:textId="14D62B96" w:rsidR="0048583A" w:rsidRDefault="0048583A" w:rsidP="0048583A">
      <w:pPr>
        <w:spacing w:before="120" w:after="0"/>
        <w:ind w:firstLine="0"/>
        <w:rPr>
          <w:rFonts w:eastAsia="Calibri"/>
        </w:rPr>
      </w:pPr>
    </w:p>
    <w:p w14:paraId="7C180498" w14:textId="4A77BD56" w:rsidR="0048583A" w:rsidRDefault="0048583A" w:rsidP="0048583A">
      <w:pPr>
        <w:spacing w:before="120" w:after="0"/>
        <w:ind w:firstLine="0"/>
        <w:rPr>
          <w:rFonts w:eastAsia="Calibri"/>
        </w:rPr>
      </w:pPr>
    </w:p>
    <w:p w14:paraId="695DCEF0" w14:textId="7503B031" w:rsidR="0048583A" w:rsidRDefault="0048583A" w:rsidP="0048583A">
      <w:pPr>
        <w:spacing w:before="120" w:after="0"/>
        <w:ind w:firstLine="0"/>
        <w:rPr>
          <w:rFonts w:eastAsia="Calibri"/>
        </w:rPr>
      </w:pPr>
    </w:p>
    <w:p w14:paraId="129AF760" w14:textId="5885EF7E" w:rsidR="0048583A" w:rsidRPr="0048583A" w:rsidRDefault="0048583A" w:rsidP="0048583A">
      <w:pPr>
        <w:spacing w:before="120" w:after="0"/>
        <w:ind w:firstLine="0"/>
        <w:rPr>
          <w:rFonts w:eastAsia="Calibri"/>
        </w:rPr>
      </w:pPr>
    </w:p>
    <w:p w14:paraId="2412F553" w14:textId="4D088068" w:rsidR="00F74A58" w:rsidRDefault="00F74A58" w:rsidP="00F74A58">
      <w:pPr>
        <w:spacing w:before="120"/>
        <w:ind w:firstLine="0"/>
        <w:rPr>
          <w:noProof/>
          <w:sz w:val="20"/>
          <w:szCs w:val="20"/>
        </w:rPr>
      </w:pPr>
    </w:p>
    <w:p w14:paraId="60D3B0FC" w14:textId="77777777" w:rsidR="000F1583" w:rsidRDefault="000F1583" w:rsidP="00C63E26">
      <w:pPr>
        <w:overflowPunct w:val="0"/>
        <w:autoSpaceDE w:val="0"/>
        <w:autoSpaceDN w:val="0"/>
        <w:adjustRightInd w:val="0"/>
        <w:spacing w:before="240" w:after="120"/>
        <w:ind w:firstLine="0"/>
        <w:textAlignment w:val="baseline"/>
        <w:rPr>
          <w:b/>
          <w:lang w:eastAsia="cs-CZ"/>
        </w:rPr>
      </w:pPr>
    </w:p>
    <w:p w14:paraId="7A8898D4" w14:textId="77777777" w:rsidR="000F1583" w:rsidRDefault="000F1583" w:rsidP="00C63E26">
      <w:pPr>
        <w:overflowPunct w:val="0"/>
        <w:autoSpaceDE w:val="0"/>
        <w:autoSpaceDN w:val="0"/>
        <w:adjustRightInd w:val="0"/>
        <w:spacing w:before="240" w:after="120"/>
        <w:ind w:firstLine="0"/>
        <w:textAlignment w:val="baseline"/>
        <w:rPr>
          <w:b/>
          <w:lang w:eastAsia="cs-CZ"/>
        </w:rPr>
      </w:pPr>
    </w:p>
    <w:p w14:paraId="065A94A2" w14:textId="0B7A5BB8" w:rsidR="00805F40" w:rsidRPr="00C35CA8" w:rsidRDefault="00805F40" w:rsidP="00C63E26">
      <w:pPr>
        <w:overflowPunct w:val="0"/>
        <w:autoSpaceDE w:val="0"/>
        <w:autoSpaceDN w:val="0"/>
        <w:adjustRightInd w:val="0"/>
        <w:spacing w:before="240" w:after="120"/>
        <w:ind w:firstLine="0"/>
        <w:textAlignment w:val="baseline"/>
        <w:rPr>
          <w:b/>
          <w:lang w:eastAsia="cs-CZ"/>
        </w:rPr>
      </w:pPr>
    </w:p>
    <w:bookmarkEnd w:id="192"/>
    <w:p w14:paraId="32F06616" w14:textId="77777777" w:rsidR="0048583A" w:rsidRDefault="0048583A" w:rsidP="00240DD0">
      <w:pPr>
        <w:overflowPunct w:val="0"/>
        <w:autoSpaceDE w:val="0"/>
        <w:autoSpaceDN w:val="0"/>
        <w:adjustRightInd w:val="0"/>
        <w:spacing w:before="240" w:after="0"/>
        <w:ind w:firstLine="0"/>
        <w:textAlignment w:val="baseline"/>
        <w:rPr>
          <w:b/>
          <w:lang w:eastAsia="cs-CZ"/>
        </w:rPr>
      </w:pPr>
    </w:p>
    <w:p w14:paraId="02DEBBD9" w14:textId="786535E1" w:rsidR="0048583A" w:rsidRPr="0048583A" w:rsidRDefault="0048583A" w:rsidP="0048583A">
      <w:pPr>
        <w:spacing w:before="120"/>
        <w:ind w:firstLine="0"/>
        <w:rPr>
          <w:rFonts w:eastAsia="Calibri"/>
        </w:rPr>
      </w:pPr>
      <w:r w:rsidRPr="0048583A">
        <w:rPr>
          <w:rFonts w:eastAsia="Calibri"/>
        </w:rPr>
        <w:lastRenderedPageBreak/>
        <w:t>Z hľadiska štruktúry vytvorených PM - príjemcov príspevku na SZČ, podľa SK NACE Rev 2, najviac, t.</w:t>
      </w:r>
      <w:r w:rsidR="00BE1C45">
        <w:rPr>
          <w:rFonts w:eastAsia="Calibri"/>
        </w:rPr>
        <w:t xml:space="preserve"> </w:t>
      </w:r>
      <w:r w:rsidRPr="0048583A">
        <w:rPr>
          <w:rFonts w:eastAsia="Calibri"/>
        </w:rPr>
        <w:t xml:space="preserve">j. 340 PM (22,40 %) bolo v oblasti stavebníctva, 226 PM (14,89 %) bolo vytvorených v oblasti vedeckých, odborných a technických činností, v ostatných činnostiach 291 PM (19,17 %), 203 PM (13,37 %) v priemyselnej výrobe, 138 PM (9,09 %) bolo vytvorených v oblasti veľkoobchodu a maloobchodu,  v oblasti administratívnych služieb 79 PM (5,20 %), 47 PM (3,10 %) v oblasti pôdohospodárstva, v oblasti informácií a komunikácie 55 PM </w:t>
      </w:r>
      <w:r w:rsidRPr="0048583A">
        <w:rPr>
          <w:rFonts w:eastAsia="Calibri"/>
        </w:rPr>
        <w:br/>
        <w:t xml:space="preserve">(19,17 %), v rámci ďalších činností bolo vytvorených v ubytovacích a stravovacích službách </w:t>
      </w:r>
      <w:r w:rsidRPr="0048583A">
        <w:rPr>
          <w:rFonts w:eastAsia="Calibri"/>
        </w:rPr>
        <w:br/>
        <w:t xml:space="preserve">59 PM ( 3,89%), 24 PM (2,31%) v oblasti vzdelávania, v oblasti umenia, zábavy, rekreácie, 3 PM (0,20%) vo finančných a poisťovacích činnostiach, 2 PM (0,13%) v zdravotníctve a sociálnych veciach, 7 PM (0,46%) v činnostiach v oblasti nehnuteľností, rovnako ako v doprave a skladovaní 5 PM a v iných činnostiach </w:t>
      </w:r>
      <w:r w:rsidR="00BE1C45">
        <w:rPr>
          <w:rFonts w:eastAsia="Calibri"/>
        </w:rPr>
        <w:t>(0,33%), v štruktúre podľa nasledujúceho grafu</w:t>
      </w:r>
      <w:r w:rsidRPr="0048583A">
        <w:rPr>
          <w:rFonts w:eastAsia="Calibri"/>
        </w:rPr>
        <w:t>.</w:t>
      </w:r>
    </w:p>
    <w:p w14:paraId="35D92609" w14:textId="1C19B1C1" w:rsidR="0048583A" w:rsidRDefault="00BE1C45" w:rsidP="0048583A">
      <w:pPr>
        <w:spacing w:before="120" w:after="0"/>
        <w:ind w:firstLine="0"/>
        <w:jc w:val="left"/>
        <w:rPr>
          <w:noProof/>
        </w:rPr>
      </w:pPr>
      <w:r w:rsidRPr="00084604">
        <w:rPr>
          <w:noProof/>
          <w:sz w:val="20"/>
          <w:szCs w:val="20"/>
        </w:rPr>
        <w:drawing>
          <wp:anchor distT="0" distB="0" distL="114300" distR="114300" simplePos="0" relativeHeight="252576256" behindDoc="1" locked="0" layoutInCell="1" allowOverlap="1" wp14:anchorId="6F9EDCFE" wp14:editId="133A506E">
            <wp:simplePos x="0" y="0"/>
            <wp:positionH relativeFrom="margin">
              <wp:posOffset>-1933</wp:posOffset>
            </wp:positionH>
            <wp:positionV relativeFrom="paragraph">
              <wp:posOffset>48370</wp:posOffset>
            </wp:positionV>
            <wp:extent cx="5934517" cy="3347085"/>
            <wp:effectExtent l="0" t="0" r="9525" b="5715"/>
            <wp:wrapNone/>
            <wp:docPr id="54" name="Graf 5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3172E3DF" w14:textId="77777777" w:rsidR="00BE1C45" w:rsidRDefault="00BE1C45" w:rsidP="0048583A">
      <w:pPr>
        <w:spacing w:before="120" w:after="120"/>
        <w:ind w:firstLine="0"/>
        <w:rPr>
          <w:rFonts w:eastAsia="Calibri"/>
          <w:color w:val="FF0000"/>
        </w:rPr>
      </w:pPr>
    </w:p>
    <w:p w14:paraId="03378A25" w14:textId="77777777" w:rsidR="00BE1C45" w:rsidRDefault="00BE1C45" w:rsidP="0048583A">
      <w:pPr>
        <w:spacing w:before="120" w:after="120"/>
        <w:ind w:firstLine="0"/>
        <w:rPr>
          <w:rFonts w:eastAsia="Calibri"/>
          <w:color w:val="FF0000"/>
        </w:rPr>
      </w:pPr>
    </w:p>
    <w:p w14:paraId="7595878D" w14:textId="77777777" w:rsidR="00BE1C45" w:rsidRDefault="00BE1C45" w:rsidP="0048583A">
      <w:pPr>
        <w:spacing w:before="120" w:after="120"/>
        <w:ind w:firstLine="0"/>
        <w:rPr>
          <w:rFonts w:eastAsia="Calibri"/>
          <w:color w:val="FF0000"/>
        </w:rPr>
      </w:pPr>
    </w:p>
    <w:p w14:paraId="2BE24A6C" w14:textId="77777777" w:rsidR="00BE1C45" w:rsidRDefault="00BE1C45" w:rsidP="0048583A">
      <w:pPr>
        <w:spacing w:before="120" w:after="120"/>
        <w:ind w:firstLine="0"/>
        <w:rPr>
          <w:rFonts w:eastAsia="Calibri"/>
          <w:color w:val="FF0000"/>
        </w:rPr>
      </w:pPr>
    </w:p>
    <w:p w14:paraId="6075E73C" w14:textId="77777777" w:rsidR="00BE1C45" w:rsidRDefault="00BE1C45" w:rsidP="0048583A">
      <w:pPr>
        <w:spacing w:before="120" w:after="120"/>
        <w:ind w:firstLine="0"/>
        <w:rPr>
          <w:rFonts w:eastAsia="Calibri"/>
          <w:color w:val="FF0000"/>
        </w:rPr>
      </w:pPr>
    </w:p>
    <w:p w14:paraId="0E0B32C4" w14:textId="77777777" w:rsidR="00BE1C45" w:rsidRDefault="00BE1C45" w:rsidP="0048583A">
      <w:pPr>
        <w:spacing w:before="120" w:after="120"/>
        <w:ind w:firstLine="0"/>
        <w:rPr>
          <w:rFonts w:eastAsia="Calibri"/>
          <w:color w:val="FF0000"/>
        </w:rPr>
      </w:pPr>
    </w:p>
    <w:p w14:paraId="0F3C17C1" w14:textId="77777777" w:rsidR="00BE1C45" w:rsidRDefault="00BE1C45" w:rsidP="0048583A">
      <w:pPr>
        <w:spacing w:before="120" w:after="120"/>
        <w:ind w:firstLine="0"/>
        <w:rPr>
          <w:rFonts w:eastAsia="Calibri"/>
          <w:color w:val="FF0000"/>
        </w:rPr>
      </w:pPr>
    </w:p>
    <w:p w14:paraId="1978639B" w14:textId="77777777" w:rsidR="00BE1C45" w:rsidRDefault="00BE1C45" w:rsidP="0048583A">
      <w:pPr>
        <w:spacing w:before="120" w:after="120"/>
        <w:ind w:firstLine="0"/>
        <w:rPr>
          <w:rFonts w:eastAsia="Calibri"/>
          <w:color w:val="FF0000"/>
        </w:rPr>
      </w:pPr>
    </w:p>
    <w:p w14:paraId="5DAFFF9B" w14:textId="77777777" w:rsidR="00BE1C45" w:rsidRDefault="00BE1C45" w:rsidP="0048583A">
      <w:pPr>
        <w:spacing w:before="120" w:after="120"/>
        <w:ind w:firstLine="0"/>
        <w:rPr>
          <w:rFonts w:eastAsia="Calibri"/>
          <w:color w:val="FF0000"/>
        </w:rPr>
      </w:pPr>
    </w:p>
    <w:p w14:paraId="76F0008D" w14:textId="77777777" w:rsidR="00BE1C45" w:rsidRDefault="00BE1C45" w:rsidP="0048583A">
      <w:pPr>
        <w:spacing w:before="120" w:after="120"/>
        <w:ind w:firstLine="0"/>
        <w:rPr>
          <w:rFonts w:eastAsia="Calibri"/>
          <w:color w:val="FF0000"/>
        </w:rPr>
      </w:pPr>
    </w:p>
    <w:p w14:paraId="13084918" w14:textId="77777777" w:rsidR="00BE1C45" w:rsidRDefault="00BE1C45" w:rsidP="0048583A">
      <w:pPr>
        <w:spacing w:before="120" w:after="120"/>
        <w:ind w:firstLine="0"/>
        <w:rPr>
          <w:rFonts w:eastAsia="Calibri"/>
          <w:color w:val="FF0000"/>
        </w:rPr>
      </w:pPr>
    </w:p>
    <w:p w14:paraId="72DA265A" w14:textId="77777777" w:rsidR="00BE1C45" w:rsidRDefault="00BE1C45" w:rsidP="0048583A">
      <w:pPr>
        <w:spacing w:before="120" w:after="120"/>
        <w:ind w:firstLine="0"/>
        <w:rPr>
          <w:rFonts w:eastAsia="Calibri"/>
          <w:color w:val="FF0000"/>
        </w:rPr>
      </w:pPr>
    </w:p>
    <w:p w14:paraId="7E534E4A" w14:textId="77777777" w:rsidR="00BE1C45" w:rsidRDefault="00BE1C45" w:rsidP="0048583A">
      <w:pPr>
        <w:spacing w:before="120" w:after="120"/>
        <w:ind w:firstLine="0"/>
        <w:rPr>
          <w:rFonts w:eastAsia="Calibri"/>
        </w:rPr>
      </w:pPr>
    </w:p>
    <w:p w14:paraId="6694F592" w14:textId="45A182A8" w:rsidR="0048583A" w:rsidRPr="00BE1C45" w:rsidRDefault="0048583A" w:rsidP="0048583A">
      <w:pPr>
        <w:spacing w:before="120" w:after="120"/>
        <w:ind w:firstLine="0"/>
        <w:rPr>
          <w:rFonts w:eastAsia="Calibri"/>
        </w:rPr>
      </w:pPr>
      <w:r w:rsidRPr="00BE1C45">
        <w:rPr>
          <w:rFonts w:eastAsia="Calibri"/>
        </w:rPr>
        <w:t xml:space="preserve">O príspevok na prevádzkovanie alebo vykonávanie SZČ poskytovaný v rámci NP CHSŠ Opatrenie č. 1 bol zo strany UoZ veľký záujem. Príspevok bol všeobecne hodnotený ako opatrenie, ktoré do značnej miery prispievalo k zníženiu miery nezamestnanosti. Poskytnutie príspevku podporovalo UoZ k vytváraniu PM prostredníctvom SZČ, čím prispievalo k zníženiu miery nezamestnanosti. Takto vytvárané PM s viazanosťou po dobu 2 rokov zabezpečovali, že UoZ boli minimálne 2 roky mimo evidencie úradu a úrady potvrdzovali skúsenosť, že tieto PM zostávali v prevažnej miere zachované aj po uplynutí dohodnutej doby trvania. </w:t>
      </w:r>
    </w:p>
    <w:p w14:paraId="7B9DCBC2" w14:textId="77777777" w:rsidR="0048583A" w:rsidRPr="00BE1C45" w:rsidRDefault="0048583A" w:rsidP="0048583A">
      <w:pPr>
        <w:spacing w:before="120"/>
        <w:ind w:firstLine="0"/>
        <w:rPr>
          <w:rFonts w:eastAsia="Calibri"/>
        </w:rPr>
      </w:pPr>
      <w:r w:rsidRPr="00BE1C45">
        <w:rPr>
          <w:rFonts w:eastAsia="Calibri"/>
        </w:rPr>
        <w:t>Všeobecne, vychádzajúc zo skúsenosti úradov, efektívnosť tohto nástroja AOTP sa prejavovala        v znížení počtu evidovaných nezamestnaných, v podporení činností a profesií, ktoré boli žiadané na TP v príslušnom regióne a to finančným podporením žiadateľov, ktorí mali potenciál vytvoriť stabilné PM v regióne a vytvorené PM udržali najmenej po dobu 2 rokov.</w:t>
      </w:r>
    </w:p>
    <w:p w14:paraId="136E2C39" w14:textId="535C571C" w:rsidR="001E7906" w:rsidRPr="00C35CA8" w:rsidRDefault="001E7906" w:rsidP="00240DD0">
      <w:pPr>
        <w:overflowPunct w:val="0"/>
        <w:autoSpaceDE w:val="0"/>
        <w:autoSpaceDN w:val="0"/>
        <w:adjustRightInd w:val="0"/>
        <w:spacing w:before="240" w:after="0"/>
        <w:ind w:firstLine="0"/>
        <w:textAlignment w:val="baseline"/>
        <w:rPr>
          <w:b/>
          <w:lang w:eastAsia="cs-CZ"/>
        </w:rPr>
      </w:pPr>
      <w:r w:rsidRPr="00FA11AE">
        <w:rPr>
          <w:b/>
          <w:lang w:eastAsia="cs-CZ"/>
        </w:rPr>
        <w:t xml:space="preserve">Opatrenie č. 2 Podpora mentorovaného zapracovania ako súčasti pracovného pomeru </w:t>
      </w:r>
      <w:r w:rsidR="00F64614" w:rsidRPr="00FA11AE">
        <w:rPr>
          <w:b/>
          <w:lang w:eastAsia="cs-CZ"/>
        </w:rPr>
        <w:t>Z</w:t>
      </w:r>
      <w:r w:rsidRPr="00FA11AE">
        <w:rPr>
          <w:b/>
          <w:lang w:eastAsia="cs-CZ"/>
        </w:rPr>
        <w:t>UoZ a mladého UoZ – NEET s následným pokračovaním formou praxe</w:t>
      </w:r>
    </w:p>
    <w:p w14:paraId="26707E63" w14:textId="6C5136C1" w:rsidR="00FA11AE" w:rsidRPr="00FA11AE" w:rsidRDefault="00BF33C9" w:rsidP="00FA11AE">
      <w:pPr>
        <w:overflowPunct w:val="0"/>
        <w:autoSpaceDE w:val="0"/>
        <w:autoSpaceDN w:val="0"/>
        <w:adjustRightInd w:val="0"/>
        <w:spacing w:before="120" w:after="0"/>
        <w:ind w:firstLine="0"/>
        <w:textAlignment w:val="baseline"/>
      </w:pPr>
      <w:r>
        <w:rPr>
          <w:lang w:eastAsia="cs-CZ"/>
        </w:rPr>
        <w:t>V rámci o</w:t>
      </w:r>
      <w:r w:rsidR="00FA11AE" w:rsidRPr="00FA11AE">
        <w:rPr>
          <w:lang w:eastAsia="cs-CZ"/>
        </w:rPr>
        <w:t>patrenia č.2 úrad poskytoval</w:t>
      </w:r>
      <w:r>
        <w:rPr>
          <w:lang w:eastAsia="cs-CZ"/>
        </w:rPr>
        <w:t xml:space="preserve"> </w:t>
      </w:r>
      <w:r w:rsidR="00FA11AE" w:rsidRPr="00FA11AE">
        <w:rPr>
          <w:lang w:eastAsia="cs-CZ"/>
        </w:rPr>
        <w:t xml:space="preserve">finančné príspevky na mentorované zapracovanie zamestnávateľovi </w:t>
      </w:r>
      <w:r w:rsidR="00FA11AE" w:rsidRPr="00FA11AE">
        <w:rPr>
          <w:i/>
          <w:iCs/>
          <w:sz w:val="22"/>
          <w:szCs w:val="22"/>
          <w:lang w:eastAsia="cs-CZ"/>
        </w:rPr>
        <w:t>(úhrada časti CCP zamestnanca a príspevok na mentorovanie),</w:t>
      </w:r>
      <w:r w:rsidR="00FA11AE" w:rsidRPr="00FA11AE">
        <w:rPr>
          <w:lang w:eastAsia="cs-CZ"/>
        </w:rPr>
        <w:t xml:space="preserve"> ktorý na vytvorené PM prijal do pracovného pomeru ZUoZ a mladého UoZ - NEET z oprávnenej cieľovej skupiny </w:t>
      </w:r>
      <w:r w:rsidR="00FA11AE" w:rsidRPr="00FA11AE">
        <w:t xml:space="preserve">v rozsahu ustanoveného týždenného pracovného času </w:t>
      </w:r>
      <w:r w:rsidR="00FA11AE" w:rsidRPr="00FA11AE">
        <w:rPr>
          <w:u w:val="single"/>
        </w:rPr>
        <w:t>na dobu neurčitú</w:t>
      </w:r>
      <w:r w:rsidR="00FA11AE" w:rsidRPr="00FA11AE">
        <w:t xml:space="preserve">, pričom finančné príspevky sa poskytovali mesačne najviac počas 4 mesiacov mentorovaného zapracovania </w:t>
      </w:r>
      <w:r w:rsidR="00B335FC">
        <w:t xml:space="preserve">             </w:t>
      </w:r>
      <w:r w:rsidR="00FA11AE" w:rsidRPr="00FA11AE">
        <w:t xml:space="preserve">a 2 nasledujúce mesiace praxe neboli finančne podporované. </w:t>
      </w:r>
    </w:p>
    <w:p w14:paraId="44AD5642" w14:textId="77777777" w:rsidR="00FA11AE" w:rsidRPr="00FA11AE" w:rsidRDefault="00FA11AE" w:rsidP="00FA11AE">
      <w:pPr>
        <w:overflowPunct w:val="0"/>
        <w:autoSpaceDE w:val="0"/>
        <w:autoSpaceDN w:val="0"/>
        <w:adjustRightInd w:val="0"/>
        <w:spacing w:before="120" w:after="0"/>
        <w:ind w:firstLine="0"/>
        <w:textAlignment w:val="baseline"/>
      </w:pPr>
    </w:p>
    <w:p w14:paraId="48D307F4" w14:textId="77777777" w:rsidR="00FA11AE" w:rsidRPr="00FA11AE" w:rsidRDefault="00FA11AE" w:rsidP="00FA11AE">
      <w:pPr>
        <w:autoSpaceDE w:val="0"/>
        <w:autoSpaceDN w:val="0"/>
        <w:adjustRightInd w:val="0"/>
        <w:spacing w:after="0"/>
        <w:ind w:firstLine="0"/>
        <w:contextualSpacing/>
        <w:rPr>
          <w:lang w:eastAsia="en-US"/>
        </w:rPr>
      </w:pPr>
      <w:r w:rsidRPr="00FA11AE">
        <w:rPr>
          <w:bCs/>
        </w:rPr>
        <w:t>Cieľovou skupinou</w:t>
      </w:r>
      <w:r w:rsidRPr="00FA11AE">
        <w:t xml:space="preserve"> boli ZUoZ podľa § 8 zákona o službách zamestnanosti a mladí UoZ – NEET, vedení v evidencii UoZ najmenej 1 mesiac a </w:t>
      </w:r>
      <w:r w:rsidRPr="00FA11AE">
        <w:rPr>
          <w:lang w:eastAsia="en-US"/>
        </w:rPr>
        <w:t xml:space="preserve">s vysokoškolským vzdelaním vedení v evidencii UoZ najmenej 3 mesiace. </w:t>
      </w:r>
    </w:p>
    <w:p w14:paraId="05E39343" w14:textId="598C1E77" w:rsidR="00FA11AE" w:rsidRPr="00FA11AE" w:rsidRDefault="00FA11AE" w:rsidP="00FA11AE">
      <w:pPr>
        <w:spacing w:before="120" w:after="0"/>
        <w:rPr>
          <w:rFonts w:eastAsia="Batang"/>
        </w:rPr>
      </w:pPr>
      <w:r w:rsidRPr="00FA11AE">
        <w:rPr>
          <w:bCs/>
          <w:lang w:eastAsia="en-US"/>
        </w:rPr>
        <w:t>V roku 2023</w:t>
      </w:r>
      <w:r w:rsidRPr="00FA11AE">
        <w:rPr>
          <w:lang w:eastAsia="en-US"/>
        </w:rPr>
        <w:t xml:space="preserve"> bolo prijatých </w:t>
      </w:r>
      <w:r w:rsidRPr="00FA11AE">
        <w:rPr>
          <w:bCs/>
          <w:lang w:eastAsia="en-US"/>
        </w:rPr>
        <w:t>697</w:t>
      </w:r>
      <w:r w:rsidRPr="00FA11AE">
        <w:rPr>
          <w:lang w:eastAsia="en-US"/>
        </w:rPr>
        <w:t xml:space="preserve"> žiadostí zamestnávateľov o finančné príspevky na mentorované zapracovanie s následným pokračovaním formou praxe, ktorí na tento účel vytvoria nové PM, z toho bolo schválených </w:t>
      </w:r>
      <w:r w:rsidRPr="00FA11AE">
        <w:rPr>
          <w:bCs/>
          <w:lang w:eastAsia="en-US"/>
        </w:rPr>
        <w:t>630</w:t>
      </w:r>
      <w:r w:rsidRPr="00FA11AE">
        <w:rPr>
          <w:lang w:eastAsia="en-US"/>
        </w:rPr>
        <w:t xml:space="preserve"> žiadostí (90,52 %) na 821</w:t>
      </w:r>
      <w:r w:rsidRPr="00FA11AE">
        <w:rPr>
          <w:bCs/>
          <w:lang w:eastAsia="en-US"/>
        </w:rPr>
        <w:t xml:space="preserve"> </w:t>
      </w:r>
      <w:r w:rsidRPr="00FA11AE">
        <w:rPr>
          <w:lang w:eastAsia="en-US"/>
        </w:rPr>
        <w:t xml:space="preserve">PM, pričom k 31.12.2023 v rámci Opatrenia č. 2 bolo z nich vytvorených </w:t>
      </w:r>
      <w:r w:rsidRPr="00FA11AE">
        <w:rPr>
          <w:bCs/>
          <w:lang w:eastAsia="en-US"/>
        </w:rPr>
        <w:t>754</w:t>
      </w:r>
      <w:r w:rsidRPr="00FA11AE">
        <w:rPr>
          <w:lang w:eastAsia="en-US"/>
        </w:rPr>
        <w:t xml:space="preserve"> </w:t>
      </w:r>
      <w:r w:rsidRPr="00FA11AE">
        <w:rPr>
          <w:bCs/>
          <w:lang w:eastAsia="en-US"/>
        </w:rPr>
        <w:t>PM,</w:t>
      </w:r>
      <w:r w:rsidRPr="00FA11AE">
        <w:rPr>
          <w:lang w:eastAsia="en-US"/>
        </w:rPr>
        <w:t xml:space="preserve"> do ktorých bolo zaradených </w:t>
      </w:r>
      <w:r w:rsidRPr="00FA11AE">
        <w:rPr>
          <w:bCs/>
          <w:lang w:eastAsia="en-US"/>
        </w:rPr>
        <w:t>770 UoZ</w:t>
      </w:r>
      <w:r w:rsidRPr="00FA11AE">
        <w:rPr>
          <w:lang w:eastAsia="en-US"/>
        </w:rPr>
        <w:t xml:space="preserve">, </w:t>
      </w:r>
      <w:r w:rsidRPr="00FA11AE">
        <w:rPr>
          <w:rFonts w:eastAsia="Calibri"/>
          <w:lang w:eastAsia="en-US"/>
        </w:rPr>
        <w:t xml:space="preserve">s čerpaním finančných prostriedkov vo výške 4 523 192 </w:t>
      </w:r>
      <w:r w:rsidRPr="00FA11AE">
        <w:rPr>
          <w:rFonts w:eastAsia="Batang"/>
        </w:rPr>
        <w:t>eur</w:t>
      </w:r>
      <w:r w:rsidRPr="00FA11AE">
        <w:rPr>
          <w:rFonts w:eastAsia="Calibri"/>
          <w:lang w:eastAsia="en-US"/>
        </w:rPr>
        <w:t xml:space="preserve">, čo je v porovnaní s rokom 2022 pokles o 1 428 967 </w:t>
      </w:r>
      <w:r w:rsidRPr="00FA11AE">
        <w:rPr>
          <w:rFonts w:eastAsia="Batang"/>
        </w:rPr>
        <w:t>eur.</w:t>
      </w:r>
    </w:p>
    <w:p w14:paraId="4360E856" w14:textId="19240446" w:rsidR="00FA11AE" w:rsidRDefault="00FA11AE" w:rsidP="00FA11AE">
      <w:pPr>
        <w:kinsoku w:val="0"/>
        <w:overflowPunct w:val="0"/>
        <w:spacing w:before="120" w:after="0"/>
        <w:ind w:firstLine="0"/>
        <w:textAlignment w:val="baseline"/>
        <w:rPr>
          <w:rFonts w:eastAsia="Calibri"/>
        </w:rPr>
      </w:pPr>
      <w:r w:rsidRPr="00FA11AE">
        <w:t xml:space="preserve">Z hľadiska vekovej štruktúry, najväčšiu skupinu tvorili UoZ vo veku od 30 do 49 rokov – 251 UoZ, čo je 33 % zo všetkých zaradených UoZ na mentorované zapracovanie s následným pokračovaním formou praxe. Druhou skupinou boli UoZ vo veku do 24 rokov – 226 UoZ (29 %) a treťou skupinou bolo 171 UoZ 50 a viac rokov veku (22 %), pričom 348 UoZ spĺňalo vekovú skupinu do 30 rokov mínus jeden deň. </w:t>
      </w:r>
      <w:r w:rsidRPr="00FA11AE">
        <w:rPr>
          <w:rFonts w:eastAsia="Calibri"/>
        </w:rPr>
        <w:t xml:space="preserve">Počet zaradených UoZ na mentorované zapracovanie s následným pokračovaním formou praxe  podľa vekovej štruktúry je vyjadrený v nasledujúcom grafe </w:t>
      </w:r>
      <w:r>
        <w:rPr>
          <w:rFonts w:eastAsia="Calibri"/>
        </w:rPr>
        <w:t>nižšie.</w:t>
      </w:r>
    </w:p>
    <w:p w14:paraId="4EC64456" w14:textId="52518958" w:rsidR="00FA11AE" w:rsidRPr="00FA11AE" w:rsidRDefault="00FA11AE" w:rsidP="00FA11AE">
      <w:pPr>
        <w:kinsoku w:val="0"/>
        <w:overflowPunct w:val="0"/>
        <w:spacing w:before="120" w:after="0"/>
        <w:ind w:firstLine="0"/>
        <w:textAlignment w:val="baseline"/>
        <w:rPr>
          <w:rFonts w:eastAsia="Calibri"/>
          <w:sz w:val="20"/>
          <w:szCs w:val="20"/>
        </w:rPr>
      </w:pPr>
      <w:r w:rsidRPr="00CF5F01">
        <w:rPr>
          <w:rFonts w:asciiTheme="minorHAnsi" w:hAnsiTheme="minorHAnsi"/>
          <w:strike/>
          <w:noProof/>
          <w:color w:val="FF0000"/>
          <w:highlight w:val="yellow"/>
        </w:rPr>
        <w:drawing>
          <wp:inline distT="0" distB="0" distL="0" distR="0" wp14:anchorId="1D0ECD89" wp14:editId="2E7AAF16">
            <wp:extent cx="5867400" cy="2393315"/>
            <wp:effectExtent l="0" t="0" r="0" b="6985"/>
            <wp:docPr id="2" name="Graf 2">
              <a:extLst xmlns:a="http://schemas.openxmlformats.org/drawingml/2006/main">
                <a:ext uri="{FF2B5EF4-FFF2-40B4-BE49-F238E27FC236}">
                  <a16:creationId xmlns:a16="http://schemas.microsoft.com/office/drawing/2014/main" id="{5F6EC56F-15F6-2EF3-D8D6-ACDF90A54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8ADBF20" w14:textId="05807CF6" w:rsidR="00FA11AE" w:rsidRPr="00B335FC" w:rsidRDefault="00FA11AE" w:rsidP="00FA11AE">
      <w:pPr>
        <w:spacing w:before="120" w:after="0"/>
        <w:ind w:firstLine="0"/>
      </w:pPr>
      <w:r w:rsidRPr="00B335FC">
        <w:rPr>
          <w:bCs/>
        </w:rPr>
        <w:t>Z hľadiska doby evidencie</w:t>
      </w:r>
      <w:r w:rsidRPr="00B335FC">
        <w:t xml:space="preserve">, pred zaradením na mentorované zapracovanie s následným pokračovaním formou praxe, v roku 2023 bolo najviac – 195 UoZ ( 25 %) v evidencii UoZ od 7 do 12 mesiacov, od 4 do 6 mesiacov bolo v evidencii 175 UoZ (23%), do 3 mesiacov bolo v evidencii 143 UoZ (19 %), od 13 do 24 mesiacov bolo v evidencii 138 UoZ (18 %), nad 24 mesiacov bolo v evidencii 119 UoZ (15%), čo znázorňuje </w:t>
      </w:r>
      <w:r w:rsidR="00B335FC">
        <w:t xml:space="preserve">nasledujúci </w:t>
      </w:r>
      <w:r w:rsidRPr="00B335FC">
        <w:t>graf.</w:t>
      </w:r>
    </w:p>
    <w:p w14:paraId="671D2745" w14:textId="77777777" w:rsidR="00FA11AE" w:rsidRPr="00CF5F01" w:rsidRDefault="00FA11AE" w:rsidP="00FA11AE">
      <w:pPr>
        <w:spacing w:before="120" w:after="0"/>
        <w:ind w:hanging="6"/>
        <w:rPr>
          <w:rFonts w:ascii="Calibri" w:hAnsi="Calibri"/>
          <w:strike/>
          <w:color w:val="FF0000"/>
          <w:highlight w:val="yellow"/>
        </w:rPr>
      </w:pPr>
      <w:r w:rsidRPr="00CF5F01">
        <w:rPr>
          <w:rFonts w:asciiTheme="minorHAnsi" w:hAnsiTheme="minorHAnsi"/>
          <w:strike/>
          <w:noProof/>
          <w:color w:val="FF0000"/>
          <w:highlight w:val="yellow"/>
        </w:rPr>
        <w:drawing>
          <wp:inline distT="0" distB="0" distL="0" distR="0" wp14:anchorId="065F15BF" wp14:editId="26B91389">
            <wp:extent cx="5867400" cy="2504661"/>
            <wp:effectExtent l="0" t="0" r="0" b="10160"/>
            <wp:docPr id="460" name="Graf 460">
              <a:extLst xmlns:a="http://schemas.openxmlformats.org/drawingml/2006/main">
                <a:ext uri="{FF2B5EF4-FFF2-40B4-BE49-F238E27FC236}">
                  <a16:creationId xmlns:a16="http://schemas.microsoft.com/office/drawing/2014/main" id="{58C5429A-5207-8727-18E9-A6FDAAF02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7874DB" w14:textId="77777777" w:rsidR="00FA11AE" w:rsidRPr="00CF5F01" w:rsidRDefault="00FA11AE" w:rsidP="00FA11AE">
      <w:pPr>
        <w:spacing w:before="120" w:after="0"/>
        <w:ind w:hanging="6"/>
        <w:jc w:val="left"/>
        <w:rPr>
          <w:rFonts w:ascii="Calibri" w:hAnsi="Calibri"/>
          <w:b/>
          <w:i/>
          <w:strike/>
          <w:color w:val="FF0000"/>
          <w:sz w:val="20"/>
          <w:szCs w:val="20"/>
          <w:highlight w:val="yellow"/>
        </w:rPr>
      </w:pPr>
    </w:p>
    <w:p w14:paraId="1FDEBBA0" w14:textId="57803C55" w:rsidR="00FA11AE" w:rsidRPr="00B335FC" w:rsidRDefault="00FA11AE" w:rsidP="00B335FC">
      <w:pPr>
        <w:spacing w:after="120"/>
        <w:ind w:firstLine="0"/>
      </w:pPr>
      <w:r w:rsidRPr="00B335FC">
        <w:rPr>
          <w:bCs/>
        </w:rPr>
        <w:t>Z hľadiska profesie</w:t>
      </w:r>
      <w:r w:rsidRPr="00B335FC">
        <w:t xml:space="preserve"> (SK ISCO), ktorú v rámci mentorovaného zapracovania s následným pokračovaním formou praxe, najväčšiu skupinu tvorili UoZ, ktorí pracovali ako pracovníci v službách a obchode v počte 201 UoZ, čo je 26 % z celkového počtu 770 zaradených UoZ. Ďalšou väčšou skupinou boli pomocní a nekvalifikovaní pracovníci, ktorých bolo 174 UoZ (23 %), administratívni pracovníci - 170 UoZ (22 %) a kvalifikovaný pracovníci a remeselníci  v počte 79 UoZ (10</w:t>
      </w:r>
      <w:r w:rsidR="00B335FC">
        <w:t xml:space="preserve"> %), </w:t>
      </w:r>
      <w:r w:rsidRPr="00B335FC">
        <w:t>v štruktúre podľa grafu</w:t>
      </w:r>
      <w:r w:rsidR="00B335FC">
        <w:t xml:space="preserve"> dolu</w:t>
      </w:r>
      <w:r w:rsidRPr="00B335FC">
        <w:t>.</w:t>
      </w:r>
    </w:p>
    <w:p w14:paraId="63CF94B8" w14:textId="77777777" w:rsidR="00FA11AE" w:rsidRPr="00754112" w:rsidRDefault="00FA11AE" w:rsidP="00FA11AE">
      <w:pPr>
        <w:spacing w:after="0"/>
        <w:rPr>
          <w:rFonts w:ascii="Calibri" w:hAnsi="Calibri"/>
          <w:strike/>
          <w:color w:val="FF0000"/>
        </w:rPr>
      </w:pPr>
      <w:r w:rsidRPr="00754112">
        <w:rPr>
          <w:rFonts w:asciiTheme="minorHAnsi" w:hAnsiTheme="minorHAnsi"/>
          <w:strike/>
          <w:noProof/>
          <w:color w:val="FF0000"/>
        </w:rPr>
        <w:drawing>
          <wp:inline distT="0" distB="0" distL="0" distR="0" wp14:anchorId="7893C1D1" wp14:editId="2EFD72F8">
            <wp:extent cx="5828030" cy="3570136"/>
            <wp:effectExtent l="0" t="0" r="1270" b="11430"/>
            <wp:docPr id="461" name="Graf 461">
              <a:extLst xmlns:a="http://schemas.openxmlformats.org/drawingml/2006/main">
                <a:ext uri="{FF2B5EF4-FFF2-40B4-BE49-F238E27FC236}">
                  <a16:creationId xmlns:a16="http://schemas.microsoft.com/office/drawing/2014/main" id="{5B0AF754-7E6D-535A-9F78-6DA0D5620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B76148" w14:textId="52B3E3A0" w:rsidR="007E56A1" w:rsidRDefault="007E56A1" w:rsidP="007E56A1">
      <w:pPr>
        <w:overflowPunct w:val="0"/>
        <w:autoSpaceDE w:val="0"/>
        <w:autoSpaceDN w:val="0"/>
        <w:adjustRightInd w:val="0"/>
        <w:spacing w:before="240" w:after="0"/>
        <w:ind w:firstLine="0"/>
        <w:textAlignment w:val="baseline"/>
        <w:rPr>
          <w:b/>
          <w:lang w:eastAsia="cs-CZ"/>
        </w:rPr>
      </w:pPr>
      <w:r>
        <w:rPr>
          <w:b/>
          <w:lang w:eastAsia="cs-CZ"/>
        </w:rPr>
        <w:t>Opatrenie č. 3 Podpora zamestnávania ZUoZ</w:t>
      </w:r>
    </w:p>
    <w:p w14:paraId="581BD83A" w14:textId="77777777" w:rsidR="007E56A1" w:rsidRPr="007E56A1" w:rsidRDefault="007E56A1" w:rsidP="007E56A1">
      <w:pPr>
        <w:overflowPunct w:val="0"/>
        <w:autoSpaceDE w:val="0"/>
        <w:autoSpaceDN w:val="0"/>
        <w:adjustRightInd w:val="0"/>
        <w:spacing w:before="120" w:after="120"/>
        <w:ind w:firstLine="0"/>
        <w:textAlignment w:val="baseline"/>
      </w:pPr>
      <w:r w:rsidRPr="007E56A1">
        <w:t xml:space="preserve">V rámci opatrenia č. 3 išlo o poskytovanie finančného príspevku zamestnávateľovi, ktorý prijal do pracovného pomeru ZUoZ z oprávnenej cieľovej skupiny na dobu neurčitú, minimálne </w:t>
      </w:r>
      <w:r w:rsidRPr="007E56A1">
        <w:br/>
        <w:t xml:space="preserve">na 9  mesiacov. Finančný príspevok sa poskytoval mesačne na úhradu časti CCP zamestnanca, ktorý bol prijatý do pracovného pomeru na vytvorené PM vo výške 80 % CCP zamestnanca, najviac však vo výške 65 % minimálnej CCP ustanovenej na príslušný kalendárny rok, v ktorom sa príspevok poskytoval. Príspevok sa poskytoval najviac počas 6 mesiacov a ďalšie 3 mesiace                      bol zamestnávateľ povinný udržať PM bez finančného príspevku. Čerpanie finančných prostriedkov v rámci opatrenia bolo v roku 2023 vo výške 5 602 913,14 eur. </w:t>
      </w:r>
    </w:p>
    <w:p w14:paraId="0BE712E2" w14:textId="29DC9993" w:rsidR="007E56A1" w:rsidRPr="007E56A1" w:rsidRDefault="007E56A1" w:rsidP="007E56A1">
      <w:pPr>
        <w:overflowPunct w:val="0"/>
        <w:autoSpaceDE w:val="0"/>
        <w:autoSpaceDN w:val="0"/>
        <w:adjustRightInd w:val="0"/>
        <w:spacing w:before="120" w:after="120"/>
        <w:ind w:firstLine="0"/>
        <w:textAlignment w:val="baseline"/>
      </w:pPr>
      <w:r w:rsidRPr="007E56A1">
        <w:t xml:space="preserve">Do projektu sa v roku 2023 zapojilo 563 zamestnávateľov. Z hľadiska právnej formy zamestnávateľa, najväčší záujem o vytváranie PM prejavili spol. s. r. o. v počte 359 (63,77 </w:t>
      </w:r>
      <w:r w:rsidRPr="007E56A1">
        <w:rPr>
          <w:lang w:val="en-GB"/>
        </w:rPr>
        <w:t>%</w:t>
      </w:r>
      <w:r w:rsidRPr="007E56A1">
        <w:t xml:space="preserve">), za nimi nasledovali živnostníci, ktorých bolo 118 (20,96 </w:t>
      </w:r>
      <w:r w:rsidRPr="007E56A1">
        <w:rPr>
          <w:lang w:val="en-GB"/>
        </w:rPr>
        <w:t>%</w:t>
      </w:r>
      <w:r w:rsidRPr="007E56A1">
        <w:t xml:space="preserve">) a 35 (6,22 </w:t>
      </w:r>
      <w:r w:rsidRPr="007E56A1">
        <w:rPr>
          <w:lang w:val="en-GB"/>
        </w:rPr>
        <w:t>%</w:t>
      </w:r>
      <w:r w:rsidRPr="007E56A1">
        <w:t>) bolo obcí a miest. Ďalšie kategórie zamestnávateľov tvorili združenia – 9 (1,60 %), rozpočtové organizácie a akciové spoločnosti, v rovnakom počte 5 (0,89 %), mimovládne organizácie v počte 4 (0,71 %) a najmenšiu časť tvorili 3 príspevkové organizácie (0,53 %), jedna cirkevná organizácia a jedno záujmové združenie (0,18 %). Inú právnu formu malo 23 zamestnávateľov (4,0</w:t>
      </w:r>
      <w:r w:rsidR="00BF33C9">
        <w:t xml:space="preserve">9 %), </w:t>
      </w:r>
      <w:r>
        <w:t>v štruktúre podľa grafu</w:t>
      </w:r>
      <w:r w:rsidR="00BF33C9">
        <w:t xml:space="preserve"> nižšie</w:t>
      </w:r>
      <w:r w:rsidRPr="007E56A1">
        <w:t xml:space="preserve">. </w:t>
      </w:r>
    </w:p>
    <w:p w14:paraId="3ACC30DC" w14:textId="77777777" w:rsidR="007E56A1" w:rsidRDefault="007E56A1" w:rsidP="007E56A1">
      <w:r>
        <w:rPr>
          <w:noProof/>
        </w:rPr>
        <w:lastRenderedPageBreak/>
        <w:drawing>
          <wp:inline distT="0" distB="0" distL="0" distR="0" wp14:anchorId="54E51471" wp14:editId="616DAF5B">
            <wp:extent cx="5850890" cy="3427012"/>
            <wp:effectExtent l="0" t="0" r="16510" b="2540"/>
            <wp:docPr id="450" name="Graf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473B226" w14:textId="15E8BDDD" w:rsidR="007E56A1" w:rsidRDefault="007E56A1" w:rsidP="00BF33C9">
      <w:pPr>
        <w:spacing w:before="120" w:after="0"/>
        <w:ind w:firstLine="0"/>
        <w:rPr>
          <w:rFonts w:eastAsia="Calibri"/>
        </w:rPr>
      </w:pPr>
      <w:r w:rsidRPr="007E56A1">
        <w:rPr>
          <w:rFonts w:eastAsia="Calibri"/>
        </w:rPr>
        <w:t>V roku 2023 bolo do tohto opatrenia zaradených 982 UoZ, z toho 377 (38 %) mužov a</w:t>
      </w:r>
      <w:r>
        <w:rPr>
          <w:rFonts w:eastAsia="Calibri"/>
        </w:rPr>
        <w:t> </w:t>
      </w:r>
      <w:r w:rsidRPr="007E56A1">
        <w:rPr>
          <w:rFonts w:eastAsia="Calibri"/>
        </w:rPr>
        <w:t>605</w:t>
      </w:r>
      <w:r>
        <w:rPr>
          <w:rFonts w:eastAsia="Calibri"/>
        </w:rPr>
        <w:t xml:space="preserve">          </w:t>
      </w:r>
      <w:r w:rsidRPr="007E56A1">
        <w:rPr>
          <w:rFonts w:eastAsia="Calibri"/>
        </w:rPr>
        <w:t>(62 %) žien. Podporených bolo 842 PM.</w:t>
      </w:r>
    </w:p>
    <w:p w14:paraId="455A5F14" w14:textId="2527985F" w:rsidR="007E56A1" w:rsidRPr="007E56A1" w:rsidRDefault="007E56A1" w:rsidP="00BF33C9">
      <w:pPr>
        <w:spacing w:before="120" w:after="120"/>
        <w:ind w:firstLine="0"/>
      </w:pPr>
      <w:r w:rsidRPr="007E56A1">
        <w:rPr>
          <w:rFonts w:eastAsia="Calibri"/>
        </w:rPr>
        <w:t>Z hľadiska veku UoZ, najvyšší podiel zaradených do opatrenia tvorili ZUoZ vo veku 30 - 49 rokov v počte 424 (43,18 %). Za nimi nasledovali ZUoZ vo veku 50 a viac rokov, ktorých bolo 291 (29,63 %) a veková kategória do 24 rokov v počte 178 (18,13 %). Najmenej zastúpená kategória - 89 osôb (9,06 %) b</w:t>
      </w:r>
      <w:r>
        <w:rPr>
          <w:rFonts w:eastAsia="Calibri"/>
        </w:rPr>
        <w:t xml:space="preserve">oli ľudia vo veku 25 - 29 rokov  - viď </w:t>
      </w:r>
      <w:r>
        <w:t>graf</w:t>
      </w:r>
      <w:r w:rsidRPr="007E56A1">
        <w:t>.</w:t>
      </w:r>
    </w:p>
    <w:p w14:paraId="379B9AD9" w14:textId="2F73D934" w:rsidR="007E56A1" w:rsidRDefault="007E56A1" w:rsidP="007E56A1">
      <w:pPr>
        <w:spacing w:after="0"/>
        <w:ind w:firstLine="0"/>
        <w:rPr>
          <w:color w:val="FF0000"/>
        </w:rPr>
      </w:pPr>
      <w:r>
        <w:rPr>
          <w:noProof/>
        </w:rPr>
        <w:drawing>
          <wp:anchor distT="0" distB="0" distL="114300" distR="114300" simplePos="0" relativeHeight="252577280" behindDoc="1" locked="0" layoutInCell="1" allowOverlap="1" wp14:anchorId="4C339F95" wp14:editId="4520A88B">
            <wp:simplePos x="0" y="0"/>
            <wp:positionH relativeFrom="column">
              <wp:posOffset>-1657</wp:posOffset>
            </wp:positionH>
            <wp:positionV relativeFrom="paragraph">
              <wp:posOffset>12507</wp:posOffset>
            </wp:positionV>
            <wp:extent cx="5899150" cy="2695492"/>
            <wp:effectExtent l="0" t="0" r="6350" b="10160"/>
            <wp:wrapNone/>
            <wp:docPr id="451" name="Graf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p w14:paraId="4F85E87C" w14:textId="3449C08A" w:rsidR="007E56A1" w:rsidRDefault="007E56A1" w:rsidP="007E56A1">
      <w:pPr>
        <w:spacing w:after="0"/>
        <w:ind w:firstLine="0"/>
        <w:rPr>
          <w:color w:val="FF0000"/>
        </w:rPr>
      </w:pPr>
    </w:p>
    <w:p w14:paraId="5C78AB3C" w14:textId="215129F1" w:rsidR="007E56A1" w:rsidRDefault="007E56A1" w:rsidP="007E56A1">
      <w:pPr>
        <w:spacing w:after="0"/>
        <w:ind w:firstLine="0"/>
        <w:rPr>
          <w:color w:val="FF0000"/>
        </w:rPr>
      </w:pPr>
    </w:p>
    <w:p w14:paraId="43CFB33C" w14:textId="0EEC454F" w:rsidR="007E56A1" w:rsidRDefault="007E56A1" w:rsidP="007E56A1">
      <w:pPr>
        <w:spacing w:after="0"/>
        <w:ind w:firstLine="0"/>
        <w:rPr>
          <w:color w:val="FF0000"/>
        </w:rPr>
      </w:pPr>
    </w:p>
    <w:p w14:paraId="430B1D5A" w14:textId="0C170A04" w:rsidR="007E56A1" w:rsidRPr="007E56A1" w:rsidRDefault="007E56A1" w:rsidP="007E56A1">
      <w:pPr>
        <w:spacing w:after="0"/>
        <w:ind w:firstLine="0"/>
      </w:pPr>
    </w:p>
    <w:p w14:paraId="3972C3B8" w14:textId="77777777" w:rsidR="007E56A1" w:rsidRDefault="007E56A1" w:rsidP="007E56A1">
      <w:pPr>
        <w:spacing w:after="0"/>
        <w:ind w:firstLine="0"/>
        <w:rPr>
          <w:szCs w:val="22"/>
        </w:rPr>
      </w:pPr>
    </w:p>
    <w:p w14:paraId="6ED2A0D0" w14:textId="77777777" w:rsidR="007E56A1" w:rsidRDefault="007E56A1" w:rsidP="007E56A1">
      <w:pPr>
        <w:spacing w:after="0"/>
        <w:ind w:firstLine="0"/>
        <w:rPr>
          <w:szCs w:val="22"/>
        </w:rPr>
      </w:pPr>
    </w:p>
    <w:p w14:paraId="4AE8CFD6" w14:textId="77777777" w:rsidR="007E56A1" w:rsidRDefault="007E56A1" w:rsidP="007E56A1">
      <w:pPr>
        <w:spacing w:after="0"/>
        <w:ind w:firstLine="0"/>
        <w:rPr>
          <w:szCs w:val="22"/>
        </w:rPr>
      </w:pPr>
    </w:p>
    <w:p w14:paraId="2D0E802B" w14:textId="77777777" w:rsidR="007E56A1" w:rsidRDefault="007E56A1" w:rsidP="007E56A1">
      <w:pPr>
        <w:spacing w:after="0"/>
        <w:ind w:firstLine="0"/>
        <w:rPr>
          <w:szCs w:val="22"/>
        </w:rPr>
      </w:pPr>
    </w:p>
    <w:p w14:paraId="01FFFC99" w14:textId="77777777" w:rsidR="007E56A1" w:rsidRDefault="007E56A1" w:rsidP="007E56A1">
      <w:pPr>
        <w:spacing w:after="0"/>
        <w:ind w:firstLine="0"/>
        <w:rPr>
          <w:szCs w:val="22"/>
        </w:rPr>
      </w:pPr>
    </w:p>
    <w:p w14:paraId="215E190D" w14:textId="77777777" w:rsidR="007E56A1" w:rsidRDefault="007E56A1" w:rsidP="007E56A1">
      <w:pPr>
        <w:spacing w:after="0"/>
        <w:ind w:firstLine="0"/>
        <w:rPr>
          <w:szCs w:val="22"/>
        </w:rPr>
      </w:pPr>
    </w:p>
    <w:p w14:paraId="6CBFEF6D" w14:textId="77777777" w:rsidR="007E56A1" w:rsidRDefault="007E56A1" w:rsidP="007E56A1">
      <w:pPr>
        <w:spacing w:after="0"/>
        <w:ind w:firstLine="0"/>
        <w:rPr>
          <w:szCs w:val="22"/>
        </w:rPr>
      </w:pPr>
    </w:p>
    <w:p w14:paraId="69E19B94" w14:textId="77777777" w:rsidR="007E56A1" w:rsidRDefault="007E56A1" w:rsidP="007E56A1">
      <w:pPr>
        <w:spacing w:after="0"/>
        <w:ind w:firstLine="0"/>
        <w:rPr>
          <w:szCs w:val="22"/>
        </w:rPr>
      </w:pPr>
    </w:p>
    <w:p w14:paraId="59B34DE1" w14:textId="77777777" w:rsidR="007E56A1" w:rsidRDefault="007E56A1" w:rsidP="007E56A1">
      <w:pPr>
        <w:spacing w:after="0"/>
        <w:ind w:firstLine="0"/>
        <w:rPr>
          <w:szCs w:val="22"/>
        </w:rPr>
      </w:pPr>
    </w:p>
    <w:p w14:paraId="4EC681CE" w14:textId="77777777" w:rsidR="007E56A1" w:rsidRDefault="007E56A1" w:rsidP="007E56A1">
      <w:pPr>
        <w:spacing w:after="0"/>
        <w:ind w:firstLine="0"/>
        <w:rPr>
          <w:szCs w:val="22"/>
        </w:rPr>
      </w:pPr>
    </w:p>
    <w:p w14:paraId="686A58D6" w14:textId="77777777" w:rsidR="007E56A1" w:rsidRDefault="007E56A1" w:rsidP="007E56A1">
      <w:pPr>
        <w:spacing w:after="0"/>
        <w:ind w:firstLine="0"/>
        <w:rPr>
          <w:szCs w:val="22"/>
        </w:rPr>
      </w:pPr>
    </w:p>
    <w:p w14:paraId="0F132591" w14:textId="2F36E7E0" w:rsidR="007E56A1" w:rsidRDefault="007E56A1" w:rsidP="007E56A1">
      <w:pPr>
        <w:spacing w:after="0"/>
        <w:ind w:firstLine="0"/>
      </w:pPr>
      <w:r w:rsidRPr="007E56A1">
        <w:rPr>
          <w:szCs w:val="22"/>
        </w:rPr>
        <w:t xml:space="preserve">Medzi UoZ, ktorí boli zamestnaní v rámci opatrenia boli aj viacnásobne znevýhodnení. Z hľadiska typu znevýhodnenia, z celkového počtu 982 zaradených ZUoZ, najvyšší podiel  (54,99 </w:t>
      </w:r>
      <w:r w:rsidRPr="007E56A1">
        <w:rPr>
          <w:szCs w:val="22"/>
          <w:lang w:val="en-GB"/>
        </w:rPr>
        <w:t>%</w:t>
      </w:r>
      <w:r w:rsidRPr="007E56A1">
        <w:rPr>
          <w:szCs w:val="22"/>
        </w:rPr>
        <w:t xml:space="preserve">) v počte 540 tvorili UoZ, ktorí najmenej 12 po sebe nasledujúcich kalendárnych mesiacov pred zaradením do evidencie nemali pravidelne platené zamestnanie. Druhý najčastejší typ znevýhodnenia boli dlhodobo nezamestnaní v počte 373 (37,98 </w:t>
      </w:r>
      <w:r w:rsidRPr="007E56A1">
        <w:rPr>
          <w:szCs w:val="22"/>
          <w:lang w:val="en-GB"/>
        </w:rPr>
        <w:t>%</w:t>
      </w:r>
      <w:r w:rsidRPr="007E56A1">
        <w:rPr>
          <w:szCs w:val="22"/>
        </w:rPr>
        <w:t xml:space="preserve">). Nasledoval typ znevýhodnenia s nižším vzdelaním ako stredné odborné počtom 185 (18,84 </w:t>
      </w:r>
      <w:r w:rsidRPr="007E56A1">
        <w:rPr>
          <w:szCs w:val="22"/>
          <w:lang w:val="en-GB"/>
        </w:rPr>
        <w:t>%</w:t>
      </w:r>
      <w:r w:rsidRPr="007E56A1">
        <w:rPr>
          <w:szCs w:val="22"/>
        </w:rPr>
        <w:t xml:space="preserve">). UoZ starších ako 50 rokov veku bolo 291 (29,63 %) a absolventov škôl 107 (10,90 %) a so ZP 51 (5,19 %). UoZ so ZP bolo do projektu zaradených 51 (5,19 %), občanov, ktorí žijú ako osamelá osoba </w:t>
      </w:r>
      <w:r w:rsidRPr="007E56A1">
        <w:rPr>
          <w:szCs w:val="22"/>
        </w:rPr>
        <w:br/>
        <w:t>s osobami odkázanými na jeho starostlivosť alebo starajúca sa aspoň o jedno dieťa 16 (1,63</w:t>
      </w:r>
      <w:r w:rsidRPr="007E56A1">
        <w:rPr>
          <w:szCs w:val="22"/>
          <w:lang w:val="en-GB"/>
        </w:rPr>
        <w:t>%</w:t>
      </w:r>
      <w:r w:rsidRPr="007E56A1">
        <w:rPr>
          <w:szCs w:val="22"/>
        </w:rPr>
        <w:t xml:space="preserve">) </w:t>
      </w:r>
      <w:r w:rsidRPr="007E56A1">
        <w:rPr>
          <w:szCs w:val="22"/>
        </w:rPr>
        <w:lastRenderedPageBreak/>
        <w:t xml:space="preserve">a 13 osôb (1,32 </w:t>
      </w:r>
      <w:r w:rsidRPr="007E56A1">
        <w:rPr>
          <w:szCs w:val="22"/>
          <w:lang w:val="en-GB"/>
        </w:rPr>
        <w:t>%</w:t>
      </w:r>
      <w:r w:rsidRPr="007E56A1">
        <w:rPr>
          <w:szCs w:val="22"/>
        </w:rPr>
        <w:t>) ukončilo poberanie materské</w:t>
      </w:r>
      <w:r>
        <w:rPr>
          <w:szCs w:val="22"/>
        </w:rPr>
        <w:t xml:space="preserve">ho alebo rodičovského príspevku, </w:t>
      </w:r>
      <w:r>
        <w:t>v štruktúre podľa grafu.</w:t>
      </w:r>
    </w:p>
    <w:p w14:paraId="6C94F2B5" w14:textId="77777777" w:rsidR="007E56A1" w:rsidRDefault="007E56A1" w:rsidP="007E56A1">
      <w:pPr>
        <w:spacing w:before="120" w:after="0"/>
        <w:ind w:firstLine="0"/>
        <w:rPr>
          <w:szCs w:val="22"/>
        </w:rPr>
      </w:pPr>
      <w:r>
        <w:rPr>
          <w:noProof/>
        </w:rPr>
        <w:drawing>
          <wp:inline distT="0" distB="0" distL="0" distR="0" wp14:anchorId="747B7D44" wp14:editId="5B8ABAB9">
            <wp:extent cx="5850890" cy="3356610"/>
            <wp:effectExtent l="0" t="0" r="16510" b="15240"/>
            <wp:docPr id="453" name="Graf 45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161B427" w14:textId="6617091E" w:rsidR="007E56A1" w:rsidRPr="00D51572" w:rsidRDefault="007E56A1" w:rsidP="00D51572">
      <w:pPr>
        <w:spacing w:before="120" w:after="0"/>
        <w:ind w:firstLine="0"/>
        <w:rPr>
          <w:szCs w:val="22"/>
        </w:rPr>
      </w:pPr>
      <w:r w:rsidRPr="007E56A1">
        <w:rPr>
          <w:szCs w:val="22"/>
        </w:rPr>
        <w:t>Z hľadiska dosiahnutého stupňa vzdelania, najväčšiu skupinu tvorili ZUoZ s úplným stredným odborným vzdelaním, ktorých bolo 369 (37,58 %), so stredným odborným vzdelaním v počte 226 (23,01 %) a 156 (15,89</w:t>
      </w:r>
      <w:r w:rsidRPr="007E56A1">
        <w:rPr>
          <w:szCs w:val="22"/>
          <w:lang w:val="en-GB"/>
        </w:rPr>
        <w:t>%)</w:t>
      </w:r>
      <w:r w:rsidRPr="007E56A1">
        <w:rPr>
          <w:szCs w:val="22"/>
        </w:rPr>
        <w:t xml:space="preserve"> so základným vzdelaním. Nasledovali kategórie s vysokoškolským vzdelaním II. stupňa – 108 ZUoZ (11 %), s úplným stredným všeobecným vzdelaním v počte 61 (6,21 %) a s vysokoškolským vzdelaním I. stupňa, ktorých bolo 25</w:t>
      </w:r>
      <w:r w:rsidRPr="007E56A1">
        <w:rPr>
          <w:szCs w:val="22"/>
        </w:rPr>
        <w:br/>
        <w:t xml:space="preserve">(2,55 </w:t>
      </w:r>
      <w:r w:rsidRPr="007E56A1">
        <w:rPr>
          <w:szCs w:val="22"/>
          <w:lang w:val="en-GB"/>
        </w:rPr>
        <w:t>%</w:t>
      </w:r>
      <w:r w:rsidRPr="007E56A1">
        <w:rPr>
          <w:szCs w:val="22"/>
        </w:rPr>
        <w:t xml:space="preserve">). </w:t>
      </w:r>
      <w:r w:rsidR="00D51572">
        <w:rPr>
          <w:szCs w:val="22"/>
        </w:rPr>
        <w:t>Neukončené vzdelanie malo 22 ZU</w:t>
      </w:r>
      <w:r w:rsidRPr="007E56A1">
        <w:rPr>
          <w:szCs w:val="22"/>
        </w:rPr>
        <w:t xml:space="preserve">oZ (2,24 </w:t>
      </w:r>
      <w:r w:rsidRPr="007E56A1">
        <w:rPr>
          <w:szCs w:val="22"/>
          <w:lang w:val="en-GB"/>
        </w:rPr>
        <w:t>%</w:t>
      </w:r>
      <w:r w:rsidRPr="007E56A1">
        <w:rPr>
          <w:szCs w:val="22"/>
        </w:rPr>
        <w:t xml:space="preserve">), nižšie stredné odborné vzdelanie </w:t>
      </w:r>
      <w:r w:rsidR="00D51572">
        <w:rPr>
          <w:szCs w:val="22"/>
        </w:rPr>
        <w:t xml:space="preserve">             </w:t>
      </w:r>
      <w:r w:rsidRPr="007E56A1">
        <w:rPr>
          <w:szCs w:val="22"/>
        </w:rPr>
        <w:t xml:space="preserve">7 (0,71 %) a vyššie odborné vzdelanie 5 (0,51 </w:t>
      </w:r>
      <w:r w:rsidRPr="007E56A1">
        <w:rPr>
          <w:szCs w:val="22"/>
          <w:lang w:val="en-GB"/>
        </w:rPr>
        <w:t>%</w:t>
      </w:r>
      <w:r w:rsidRPr="007E56A1">
        <w:rPr>
          <w:szCs w:val="22"/>
        </w:rPr>
        <w:t>). Vysokoškolské vzdelanie III. stupňa dosiahli 2  (0,20 %) a 1 zaradený ZUoZ ne</w:t>
      </w:r>
      <w:r w:rsidR="00D51572">
        <w:rPr>
          <w:szCs w:val="22"/>
        </w:rPr>
        <w:t xml:space="preserve">mal dosiahnuté vzdelanie určené, </w:t>
      </w:r>
      <w:r w:rsidRPr="007E56A1">
        <w:t xml:space="preserve">v štruktúre podľa grafu </w:t>
      </w:r>
      <w:r w:rsidR="00D51572">
        <w:t>nižšie.</w:t>
      </w:r>
    </w:p>
    <w:p w14:paraId="602DA904" w14:textId="77777777" w:rsidR="00D51572" w:rsidRDefault="007E56A1" w:rsidP="007E56A1">
      <w:pPr>
        <w:spacing w:before="120" w:after="120"/>
        <w:ind w:firstLine="0"/>
        <w:rPr>
          <w:szCs w:val="22"/>
          <w:highlight w:val="yellow"/>
        </w:rPr>
      </w:pPr>
      <w:r>
        <w:rPr>
          <w:noProof/>
        </w:rPr>
        <w:drawing>
          <wp:inline distT="0" distB="0" distL="0" distR="0" wp14:anchorId="4772E599" wp14:editId="7E64D0B6">
            <wp:extent cx="5850890" cy="3331597"/>
            <wp:effectExtent l="0" t="0" r="16510" b="254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AE0AFF">
        <w:rPr>
          <w:szCs w:val="22"/>
          <w:highlight w:val="yellow"/>
        </w:rPr>
        <w:t xml:space="preserve"> </w:t>
      </w:r>
    </w:p>
    <w:p w14:paraId="1E1FB6E5" w14:textId="0FF0347E" w:rsidR="007E56A1" w:rsidRPr="00D51572" w:rsidRDefault="007E56A1" w:rsidP="00D51572">
      <w:pPr>
        <w:spacing w:before="120" w:after="120"/>
        <w:ind w:firstLine="0"/>
        <w:rPr>
          <w:szCs w:val="22"/>
        </w:rPr>
      </w:pPr>
      <w:r w:rsidRPr="00D51572">
        <w:rPr>
          <w:szCs w:val="22"/>
        </w:rPr>
        <w:t xml:space="preserve">Z hľadiska dĺžky evidencie bolo v roku 2023 najviac – 226 (23,01 %) zaradených ZUoZ, ktorí boli v evidencii UoZ od 4 do 6 mesiacov, druhú skupinu tvorili ZUoZ, ktorí boli vedení </w:t>
      </w:r>
      <w:r w:rsidRPr="00D51572">
        <w:rPr>
          <w:szCs w:val="22"/>
        </w:rPr>
        <w:lastRenderedPageBreak/>
        <w:t>v evidencii 7 - 12 mesiacov - 208 (21,18 %). Tretiu najpočetnejšiu skupinu tvorili ZUoZ vedení v evidencii UoZ od 13 do 24 mesiacov, ktorých bolo 195</w:t>
      </w:r>
      <w:r w:rsidR="00D51572">
        <w:rPr>
          <w:szCs w:val="22"/>
        </w:rPr>
        <w:t xml:space="preserve"> </w:t>
      </w:r>
      <w:r w:rsidRPr="00D51572">
        <w:rPr>
          <w:szCs w:val="22"/>
        </w:rPr>
        <w:t>(19,86 %). Najmenej zastúpenými kategóriami boli evidovaní dlhšie ako 24 mesiacov v počte 170 (17,31 %) a ZUoZ v evidencii do 3 mesiacov – 183 (18,64</w:t>
      </w:r>
      <w:r w:rsidRPr="00D51572">
        <w:rPr>
          <w:szCs w:val="22"/>
          <w:lang w:val="en-GB"/>
        </w:rPr>
        <w:t>%</w:t>
      </w:r>
      <w:r w:rsidRPr="00D51572">
        <w:rPr>
          <w:szCs w:val="22"/>
        </w:rPr>
        <w:t>).</w:t>
      </w:r>
    </w:p>
    <w:p w14:paraId="41B842BD" w14:textId="77777777" w:rsidR="007E56A1" w:rsidRDefault="007E56A1" w:rsidP="007E56A1">
      <w:pPr>
        <w:jc w:val="center"/>
      </w:pPr>
      <w:r>
        <w:rPr>
          <w:noProof/>
        </w:rPr>
        <w:drawing>
          <wp:inline distT="0" distB="0" distL="0" distR="0" wp14:anchorId="0BF60F8B" wp14:editId="4CB5B54A">
            <wp:extent cx="5850890" cy="2934031"/>
            <wp:effectExtent l="0" t="0" r="1651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9CBC5F0" w14:textId="277DE2CF" w:rsidR="00AD7E93" w:rsidRDefault="00AD7E93" w:rsidP="00AD7E93"/>
    <w:p w14:paraId="045319D8" w14:textId="4A095132" w:rsidR="00F86483" w:rsidRPr="00C35CA8" w:rsidRDefault="00F86483" w:rsidP="00785F0E">
      <w:pPr>
        <w:pStyle w:val="Nadpis20"/>
        <w:spacing w:before="120"/>
        <w:jc w:val="both"/>
        <w:rPr>
          <w:rFonts w:eastAsia="Calibri"/>
          <w:lang w:eastAsia="en-US"/>
        </w:rPr>
      </w:pPr>
      <w:bookmarkStart w:id="194" w:name="_Toc173741583"/>
      <w:bookmarkStart w:id="195" w:name="_Hlk103548319"/>
      <w:bookmarkStart w:id="196" w:name="_Toc515876462"/>
      <w:bookmarkStart w:id="197" w:name="_Toc37094656"/>
      <w:bookmarkEnd w:id="184"/>
      <w:bookmarkEnd w:id="185"/>
      <w:r w:rsidRPr="00C35CA8">
        <w:rPr>
          <w:rFonts w:eastAsia="Calibri"/>
          <w:lang w:eastAsia="en-US"/>
        </w:rPr>
        <w:t>6.</w:t>
      </w:r>
      <w:r w:rsidRPr="001B76D3">
        <w:rPr>
          <w:rFonts w:eastAsia="Calibri"/>
          <w:lang w:eastAsia="en-US"/>
        </w:rPr>
        <w:t>4  Projekty realizované podľa § 54 zákona o službách zamestnanosti, financované</w:t>
      </w:r>
      <w:r w:rsidR="00BB3230" w:rsidRPr="001B76D3">
        <w:rPr>
          <w:rFonts w:eastAsia="Calibri"/>
          <w:lang w:eastAsia="en-US"/>
        </w:rPr>
        <w:br/>
        <w:t xml:space="preserve">         </w:t>
      </w:r>
      <w:r w:rsidR="00785F0E" w:rsidRPr="001B76D3">
        <w:rPr>
          <w:rFonts w:eastAsia="Calibri"/>
          <w:lang w:eastAsia="en-US"/>
        </w:rPr>
        <w:t xml:space="preserve"> </w:t>
      </w:r>
      <w:r w:rsidRPr="001B76D3">
        <w:rPr>
          <w:rFonts w:eastAsia="Calibri"/>
          <w:lang w:eastAsia="en-US"/>
        </w:rPr>
        <w:t>zo štátneho rozpočtu Slovenskej republiky</w:t>
      </w:r>
      <w:bookmarkEnd w:id="194"/>
    </w:p>
    <w:p w14:paraId="10512905" w14:textId="1A933876" w:rsidR="00215F0B" w:rsidRDefault="00B15FBC" w:rsidP="00785F0E">
      <w:pPr>
        <w:pStyle w:val="Nadpis30"/>
        <w:spacing w:before="240"/>
        <w:ind w:hanging="6"/>
      </w:pPr>
      <w:bookmarkStart w:id="198" w:name="_Toc173741584"/>
      <w:r w:rsidRPr="00C35CA8">
        <w:t>6</w:t>
      </w:r>
      <w:r w:rsidR="00F86483" w:rsidRPr="00C35CA8">
        <w:t>.4</w:t>
      </w:r>
      <w:r w:rsidR="003E1BDC" w:rsidRPr="00C35CA8">
        <w:t>.</w:t>
      </w:r>
      <w:bookmarkStart w:id="199" w:name="_Hlk37973258"/>
      <w:r w:rsidR="00F86483" w:rsidRPr="00C35CA8">
        <w:t>1</w:t>
      </w:r>
      <w:r w:rsidR="007604C5" w:rsidRPr="00C35CA8">
        <w:tab/>
      </w:r>
      <w:r w:rsidR="003E1BDC" w:rsidRPr="00C35CA8">
        <w:t>Motivačný interný projekt  pre mladých do 29 rokov</w:t>
      </w:r>
      <w:r w:rsidR="006106CB" w:rsidRPr="00C35CA8">
        <w:t xml:space="preserve"> </w:t>
      </w:r>
      <w:r w:rsidR="007D39C0" w:rsidRPr="00C35CA8">
        <w:t>„</w:t>
      </w:r>
      <w:r w:rsidR="003E1BDC" w:rsidRPr="00C35CA8">
        <w:t>Buď aktívny</w:t>
      </w:r>
      <w:r w:rsidRPr="00C35CA8">
        <w:t>,</w:t>
      </w:r>
      <w:r w:rsidR="003E1BDC" w:rsidRPr="00C35CA8">
        <w:t xml:space="preserve"> zamestnaj sa“</w:t>
      </w:r>
      <w:bookmarkEnd w:id="195"/>
      <w:bookmarkEnd w:id="198"/>
      <w:bookmarkEnd w:id="199"/>
    </w:p>
    <w:p w14:paraId="63596188" w14:textId="5A380B60" w:rsidR="002A4740" w:rsidRPr="002A4740" w:rsidRDefault="002A4740" w:rsidP="002A4740">
      <w:pPr>
        <w:spacing w:before="120" w:after="0"/>
        <w:ind w:hanging="6"/>
      </w:pPr>
      <w:r w:rsidRPr="002A4740">
        <w:t>V roku 2023 pokračovala na úrade Bratislava, Pezinok a Malacky realizácia interného motivačného projektu „Buď aktívny, zamestnaj sa“, určeného pre mladých do 29 rokov. Tento projekt je  realizovaný v súlade s Národným plánom implementácie Záruky pre mladých ľudí     v SR, ktorý prerokovala a vzala na vedomie vlád</w:t>
      </w:r>
      <w:r w:rsidR="00737E8B">
        <w:t xml:space="preserve">a SR na svojom rokovaní dňa 5. </w:t>
      </w:r>
      <w:r w:rsidRPr="002A4740">
        <w:t>2.</w:t>
      </w:r>
      <w:r w:rsidR="00737E8B">
        <w:t xml:space="preserve"> </w:t>
      </w:r>
      <w:r w:rsidRPr="002A4740">
        <w:t>2014. Cieľom projektu je motivovať mladých UoZ do 29 rokov k zvyšovaniu zamestnanosti, zvýšením ich záujmu uplatniť získané zručnosti, znalosti a praktické skúsenosti v praxi na otvorenom TP,  ale aj ich zamestnateľnosti.</w:t>
      </w:r>
    </w:p>
    <w:p w14:paraId="76FF7997" w14:textId="2F89C43C" w:rsidR="002A4740" w:rsidRPr="002A4740" w:rsidRDefault="002A4740" w:rsidP="00737E8B">
      <w:pPr>
        <w:spacing w:before="120" w:after="0"/>
        <w:ind w:hanging="6"/>
      </w:pPr>
      <w:r w:rsidRPr="002A4740">
        <w:t xml:space="preserve">V rámci tohto projektu mali v priebehu roku 2023 UoZ možnosť využiť jednotlivé AOTP, OPS, účasť na VK, národných a regionálnych projektoch realizovaných úradom, samostatný informačno-poradenský nástroj - internetový portál na vyhľadávanie VPM </w:t>
      </w:r>
      <w:hyperlink r:id="rId102" w:history="1">
        <w:r w:rsidRPr="002A4740">
          <w:rPr>
            <w:rStyle w:val="Hypertextovprepojenie"/>
          </w:rPr>
          <w:t>http://www.sluzbyzamestnanosti.gov.sk</w:t>
        </w:r>
      </w:hyperlink>
      <w:r w:rsidRPr="002A4740">
        <w:t xml:space="preserve">, ktorý nahradil portál </w:t>
      </w:r>
      <w:hyperlink r:id="rId103" w:history="1">
        <w:r w:rsidRPr="002A4740">
          <w:rPr>
            <w:rStyle w:val="Hypertextovprepojenie"/>
          </w:rPr>
          <w:t>www.istp.sk</w:t>
        </w:r>
      </w:hyperlink>
      <w:r w:rsidRPr="002A4740">
        <w:t xml:space="preserve"> a bol spustený od      1. 2. 2022 a klientom pomáhal, okrem iného, aj šetriť si svoje finančné prostriedky, svoj čas (pri hľadaní si vhodného zamestnania na základe vlastných požiadaviek) a kontaktovať zamestnávateľa z pohodlia domova.</w:t>
      </w:r>
    </w:p>
    <w:p w14:paraId="41E8983B" w14:textId="77777777" w:rsidR="002A4740" w:rsidRPr="002A4740" w:rsidRDefault="002A4740" w:rsidP="001B76D3">
      <w:pPr>
        <w:spacing w:before="120" w:after="0"/>
        <w:ind w:hanging="6"/>
      </w:pPr>
      <w:r w:rsidRPr="002A4740">
        <w:t>Do projektu bolo od začiatku jeho realizácie k 31. 12. 2023 zaradených 97 159 UoZ/mladých                   do 29 rokov, čo predstavuje 93,10 % z celkového počtu UoZ do 29 rokov evidovaných                                na úradoch k začiatku realizácie projektu (104 349).  Intenzívnou individuálnou prácou sa nám podarilo umiestniť na trhu práce 47 756 UoZ, čo je 49,15 % z počtu zaradených mladých UoZ do interného motivačného projektu. Projekt je zabezpečovaný vlastnými zamestnancami úradov, bez finančných nárokov z AOTP.</w:t>
      </w:r>
    </w:p>
    <w:p w14:paraId="5F2D1DA4" w14:textId="1D7E8DC1" w:rsidR="008C2A39" w:rsidRDefault="00B15FBC" w:rsidP="002A4740">
      <w:pPr>
        <w:pStyle w:val="Nadpis30"/>
        <w:tabs>
          <w:tab w:val="left" w:pos="567"/>
        </w:tabs>
        <w:spacing w:before="240" w:after="0"/>
        <w:ind w:hanging="6"/>
      </w:pPr>
      <w:bookmarkStart w:id="200" w:name="_Toc173741585"/>
      <w:bookmarkStart w:id="201" w:name="_Hlk103548336"/>
      <w:r w:rsidRPr="00C35CA8">
        <w:t>6</w:t>
      </w:r>
      <w:r w:rsidR="003E1BDC" w:rsidRPr="00C35CA8">
        <w:t>.</w:t>
      </w:r>
      <w:r w:rsidR="004A3DE7" w:rsidRPr="00C35CA8">
        <w:t>4</w:t>
      </w:r>
      <w:r w:rsidR="003E1BDC" w:rsidRPr="00C35CA8">
        <w:t>.</w:t>
      </w:r>
      <w:bookmarkStart w:id="202" w:name="_Hlk37973274"/>
      <w:r w:rsidR="00F86483" w:rsidRPr="00C35CA8">
        <w:t>2</w:t>
      </w:r>
      <w:r w:rsidR="007604C5" w:rsidRPr="00C35CA8">
        <w:tab/>
      </w:r>
      <w:r w:rsidR="003E1BDC" w:rsidRPr="00C35CA8">
        <w:t>Motivačný interný p</w:t>
      </w:r>
      <w:r w:rsidR="004B0A45" w:rsidRPr="00C35CA8">
        <w:t>rojekt pre dlhodobo evidovaných</w:t>
      </w:r>
      <w:r w:rsidR="006106CB" w:rsidRPr="00C35CA8">
        <w:t xml:space="preserve"> </w:t>
      </w:r>
      <w:r w:rsidR="003E1BDC" w:rsidRPr="00C35CA8">
        <w:t>„Zvýšenou aktivi</w:t>
      </w:r>
      <w:r w:rsidR="006106CB" w:rsidRPr="00C35CA8">
        <w:t>tou</w:t>
      </w:r>
      <w:r w:rsidR="009E4D41" w:rsidRPr="00C35CA8">
        <w:br/>
        <w:t xml:space="preserve">         </w:t>
      </w:r>
      <w:r w:rsidR="003E1BDC" w:rsidRPr="00C35CA8">
        <w:t>k zamestnaniu“</w:t>
      </w:r>
      <w:bookmarkEnd w:id="200"/>
      <w:r w:rsidR="003E1BDC" w:rsidRPr="00C35CA8">
        <w:t xml:space="preserve"> </w:t>
      </w:r>
    </w:p>
    <w:p w14:paraId="4A05CA51" w14:textId="77777777" w:rsidR="002A4740" w:rsidRPr="002A4740" w:rsidRDefault="002A4740" w:rsidP="002A4740">
      <w:pPr>
        <w:spacing w:before="120" w:after="0"/>
        <w:ind w:hanging="6"/>
      </w:pPr>
      <w:r w:rsidRPr="002A4740">
        <w:t xml:space="preserve">V roku 2023 pokračovala na úrade Malacky a Pezinok realizácia interného projektu „Zvýšenou aktivitou k zamestnaniu“ (ďalej len „ZAZ“) ako jedno z opatrení Akčného plánu na ďalšie </w:t>
      </w:r>
      <w:r w:rsidRPr="002A4740">
        <w:lastRenderedPageBreak/>
        <w:t>posilnenie integrácie dlhodobo nezamestnaných (ďalej len „DEN“) na TP v SR  s výhľadom do roku 2030.</w:t>
      </w:r>
    </w:p>
    <w:p w14:paraId="5B2F505A" w14:textId="77777777" w:rsidR="002A4740" w:rsidRPr="002A4740" w:rsidRDefault="002A4740" w:rsidP="002A4740">
      <w:pPr>
        <w:spacing w:before="120" w:after="0"/>
        <w:ind w:hanging="6"/>
      </w:pPr>
      <w:r w:rsidRPr="002A4740">
        <w:t xml:space="preserve">Interný motivačný projekt ZAZ je realizovaný vlastnými personálnymi kapacitami od 1. 2. 2017. Cieľom realizácie tohto projektu je zvýšenie zamestnanosti a uplatniteľnosti DEN na TP prostredníctvom intenzívneho individuálneho prístupu zo strany zamestnancov úradu (poskytovanie informačno-poradenských služieb, vydávanie odporúčaní, zaraďovanie na VK, nástroje AOTP...), ale aj zo strany DEN. Intenzívnou prácou namotivovať DEN k aktivite pri hľadaní zamestnania, zlepšení svojho sociálneho statusu, ako aj statusu celej rodiny.  </w:t>
      </w:r>
    </w:p>
    <w:p w14:paraId="412A7F1C" w14:textId="77777777" w:rsidR="002A4740" w:rsidRPr="002A4740" w:rsidRDefault="002A4740" w:rsidP="002A4740">
      <w:pPr>
        <w:spacing w:before="120" w:after="0"/>
        <w:ind w:hanging="6"/>
      </w:pPr>
      <w:r w:rsidRPr="002A4740">
        <w:t>Do projektu bolo od začiatku jeho realizácie (1.2.2017) k 31. 12. 2023 zaradených 76 498 UoZ z radov DEN, čo predstavuje 56,85 % podiel z počtu DEN evidovaných na úradoch k začiatku realizácie projektu (134 555). Z uvedeného počtu boli mladí do 29 rokov v počte 9 147, čo je 11,96 % z počtu zaradených, od 29 do 50 rokov veku 42 747, t.j. 55,87 % podiel z počtu zaradených a 24 604 DEN nad 50 rokov veku, čo je 32,16 %.</w:t>
      </w:r>
    </w:p>
    <w:p w14:paraId="165B3D06" w14:textId="6BCD3E07" w:rsidR="002A4740" w:rsidRDefault="002A4740" w:rsidP="002A4740">
      <w:pPr>
        <w:spacing w:before="120" w:after="0"/>
        <w:ind w:hanging="6"/>
      </w:pPr>
      <w:r w:rsidRPr="002A4740">
        <w:t>Z uvedeného počtu sa intenzívnou prácou podarilo k 31.12.2023 umiestniť na TP celkom 14 743 DEN, čo je 19,27 % podiel z počtu zaradených UoZ DEN, s ktorými zamestnanci úradov intenzívne pracovali. Boli medzi nimi aj takí DEN, ktorí sa nakoniec rozhodli pre začatie vykonávania SZČ v počte 1 334, čo je z počtu umiestnených na TP 9,05 %. Ide o osoby z ktorých môžu byť do budúcna aj potenciálni zamestnávatelia.</w:t>
      </w:r>
    </w:p>
    <w:p w14:paraId="5044EA1F" w14:textId="77777777" w:rsidR="00EB6CB5" w:rsidRPr="00252BDF" w:rsidRDefault="00F86483" w:rsidP="00785F0E">
      <w:pPr>
        <w:pStyle w:val="Nadpis30"/>
        <w:spacing w:before="240" w:after="120"/>
        <w:ind w:hanging="6"/>
      </w:pPr>
      <w:bookmarkStart w:id="203" w:name="_Toc173741586"/>
      <w:bookmarkEnd w:id="201"/>
      <w:bookmarkEnd w:id="202"/>
      <w:r w:rsidRPr="00252BDF">
        <w:t>6.4.3</w:t>
      </w:r>
      <w:r w:rsidR="00667F59" w:rsidRPr="00252BDF">
        <w:t xml:space="preserve"> </w:t>
      </w:r>
      <w:r w:rsidR="00EB6CB5" w:rsidRPr="00252BDF">
        <w:t>Projekt „Pomáhame odídencom“</w:t>
      </w:r>
      <w:bookmarkEnd w:id="203"/>
    </w:p>
    <w:p w14:paraId="7ED690CB" w14:textId="191A0338" w:rsidR="00EB6CB5" w:rsidRPr="00C35CA8" w:rsidRDefault="00EB6CB5" w:rsidP="00074449">
      <w:pPr>
        <w:spacing w:before="120" w:after="120"/>
        <w:ind w:firstLine="0"/>
        <w:rPr>
          <w:lang w:eastAsia="cs-CZ"/>
        </w:rPr>
      </w:pPr>
      <w:r w:rsidRPr="00252BDF">
        <w:rPr>
          <w:lang w:eastAsia="cs-CZ"/>
        </w:rPr>
        <w:t xml:space="preserve">V nadväznosti na okolnosti na Ukrajine </w:t>
      </w:r>
      <w:r w:rsidR="00D51572">
        <w:rPr>
          <w:lang w:eastAsia="cs-CZ"/>
        </w:rPr>
        <w:t xml:space="preserve">vláda SR Uznesením č. 144 z 28. </w:t>
      </w:r>
      <w:r w:rsidRPr="00252BDF">
        <w:rPr>
          <w:lang w:eastAsia="cs-CZ"/>
        </w:rPr>
        <w:t>2.</w:t>
      </w:r>
      <w:r w:rsidR="00D51572">
        <w:rPr>
          <w:lang w:eastAsia="cs-CZ"/>
        </w:rPr>
        <w:t xml:space="preserve"> </w:t>
      </w:r>
      <w:r w:rsidRPr="00252BDF">
        <w:rPr>
          <w:lang w:eastAsia="cs-CZ"/>
        </w:rPr>
        <w:t xml:space="preserve">2022 schválila návrh na vyhlásenie poskytovania dočasného útočiska podľa § 29 ods. 2 zákona č. 480/2002 Z. z. </w:t>
      </w:r>
      <w:r w:rsidR="00074449" w:rsidRPr="00252BDF">
        <w:rPr>
          <w:lang w:eastAsia="cs-CZ"/>
        </w:rPr>
        <w:t xml:space="preserve">                       </w:t>
      </w:r>
      <w:r w:rsidRPr="00252BDF">
        <w:rPr>
          <w:lang w:eastAsia="cs-CZ"/>
        </w:rPr>
        <w:t>o azyle a o zmene a doplnení niektorých zákonov v znení neskorších predpisov štátnym občanom Ukrajiny a ich rodinným príslušníkom v súvislosti s ozbrojeným konfliktom na Ukrajine, ktorý spôsobil hromadný prílev cudzincov na územie Slovenskej republiky (ďalej len „SR“).</w:t>
      </w:r>
      <w:r w:rsidRPr="00C35CA8">
        <w:rPr>
          <w:lang w:eastAsia="cs-CZ"/>
        </w:rPr>
        <w:t xml:space="preserve"> </w:t>
      </w:r>
    </w:p>
    <w:p w14:paraId="087DC911" w14:textId="77777777" w:rsidR="00EB6CB5" w:rsidRPr="00C35CA8" w:rsidRDefault="00EB6CB5" w:rsidP="007F0601">
      <w:pPr>
        <w:spacing w:after="0"/>
        <w:ind w:firstLine="0"/>
        <w:rPr>
          <w:lang w:eastAsia="cs-CZ"/>
        </w:rPr>
      </w:pPr>
      <w:r w:rsidRPr="00C35CA8">
        <w:rPr>
          <w:lang w:eastAsia="cs-CZ"/>
        </w:rPr>
        <w:t xml:space="preserve">Cieľom projektu je uľahčiť osobám z cieľovej skupiny sociálne začlenenie a integráciu na trh práce v SR poskytovaním nástrojov a služieb podporujúcich zlepšenie ich  zamestnateľnosti </w:t>
      </w:r>
      <w:r w:rsidR="00074449" w:rsidRPr="00C35CA8">
        <w:rPr>
          <w:lang w:eastAsia="cs-CZ"/>
        </w:rPr>
        <w:t xml:space="preserve">                      </w:t>
      </w:r>
      <w:r w:rsidRPr="00C35CA8">
        <w:rPr>
          <w:lang w:eastAsia="cs-CZ"/>
        </w:rPr>
        <w:t xml:space="preserve">a uplatnenia sa na trhu práce. Projekt je realizovaný od apríla 2022. Cieľovou skupinou </w:t>
      </w:r>
      <w:r w:rsidR="007E05B2" w:rsidRPr="00C35CA8">
        <w:rPr>
          <w:lang w:eastAsia="cs-CZ"/>
        </w:rPr>
        <w:t xml:space="preserve">                             </w:t>
      </w:r>
      <w:r w:rsidRPr="00C35CA8">
        <w:rPr>
          <w:lang w:eastAsia="cs-CZ"/>
        </w:rPr>
        <w:t xml:space="preserve">sú odídenci, t. j. osoby, ktoré majú v SR udelené dočasné útočisko (vydaný doklad o tolerovanom pobyte na území Slovenskej republiky s označením „ODÍDENEC“) a ktoré prejavia záujem </w:t>
      </w:r>
      <w:r w:rsidR="007F0601" w:rsidRPr="00C35CA8">
        <w:rPr>
          <w:lang w:eastAsia="cs-CZ"/>
        </w:rPr>
        <w:t xml:space="preserve">                     </w:t>
      </w:r>
      <w:r w:rsidRPr="00C35CA8">
        <w:rPr>
          <w:lang w:eastAsia="cs-CZ"/>
        </w:rPr>
        <w:t xml:space="preserve">o poskytnutie podporných opatrení v rámci tohto projektu. V rámci hlavnej aktivity projektu  </w:t>
      </w:r>
      <w:r w:rsidR="007F0601" w:rsidRPr="00C35CA8">
        <w:rPr>
          <w:lang w:eastAsia="cs-CZ"/>
        </w:rPr>
        <w:t xml:space="preserve">                     </w:t>
      </w:r>
      <w:r w:rsidRPr="00C35CA8">
        <w:rPr>
          <w:lang w:eastAsia="cs-CZ"/>
        </w:rPr>
        <w:t>sú realizované štyri opatrenia:</w:t>
      </w:r>
    </w:p>
    <w:p w14:paraId="5C973477" w14:textId="5CCF6DBE" w:rsidR="007F0601" w:rsidRPr="00C35CA8" w:rsidRDefault="00240DD0" w:rsidP="007F0601">
      <w:pPr>
        <w:spacing w:after="0"/>
        <w:ind w:firstLine="0"/>
        <w:rPr>
          <w:lang w:eastAsia="cs-CZ"/>
        </w:rPr>
      </w:pPr>
      <w:r w:rsidRPr="00C35CA8">
        <w:rPr>
          <w:lang w:eastAsia="cs-CZ"/>
        </w:rPr>
        <w:t>Opatrenie č. 1</w:t>
      </w:r>
      <w:r w:rsidR="007F0601" w:rsidRPr="00C35CA8">
        <w:rPr>
          <w:lang w:eastAsia="cs-CZ"/>
        </w:rPr>
        <w:t xml:space="preserve"> Vzdelávanie odídencov</w:t>
      </w:r>
      <w:r w:rsidR="006D7F49" w:rsidRPr="00C35CA8">
        <w:rPr>
          <w:lang w:eastAsia="cs-CZ"/>
        </w:rPr>
        <w:t>,</w:t>
      </w:r>
    </w:p>
    <w:p w14:paraId="2FC4A847" w14:textId="24AF5429" w:rsidR="007F0601" w:rsidRPr="00C35CA8" w:rsidRDefault="00240DD0" w:rsidP="007F0601">
      <w:pPr>
        <w:spacing w:after="0"/>
        <w:ind w:firstLine="0"/>
        <w:rPr>
          <w:lang w:eastAsia="cs-CZ"/>
        </w:rPr>
      </w:pPr>
      <w:r w:rsidRPr="00C35CA8">
        <w:rPr>
          <w:lang w:eastAsia="cs-CZ"/>
        </w:rPr>
        <w:t>Opatrenie č. 2</w:t>
      </w:r>
      <w:r w:rsidR="007F0601" w:rsidRPr="00C35CA8">
        <w:rPr>
          <w:lang w:eastAsia="cs-CZ"/>
        </w:rPr>
        <w:t xml:space="preserve"> Podpora mobility</w:t>
      </w:r>
      <w:r w:rsidR="006D7F49" w:rsidRPr="00C35CA8">
        <w:rPr>
          <w:lang w:eastAsia="cs-CZ"/>
        </w:rPr>
        <w:t>,</w:t>
      </w:r>
    </w:p>
    <w:p w14:paraId="2678669D" w14:textId="29C80D88" w:rsidR="007F0601" w:rsidRPr="00C35CA8" w:rsidRDefault="007F0601" w:rsidP="007F0601">
      <w:pPr>
        <w:autoSpaceDE w:val="0"/>
        <w:autoSpaceDN w:val="0"/>
        <w:adjustRightInd w:val="0"/>
        <w:spacing w:after="0"/>
        <w:ind w:firstLine="0"/>
        <w:rPr>
          <w:rFonts w:eastAsia="Calibri"/>
          <w:lang w:eastAsia="en-US"/>
        </w:rPr>
      </w:pPr>
      <w:r w:rsidRPr="00C35CA8">
        <w:rPr>
          <w:rFonts w:eastAsia="Calibri"/>
          <w:lang w:eastAsia="en-US"/>
        </w:rPr>
        <w:t>Opatrenie č. 3 Dobrovoľnícke činnosti</w:t>
      </w:r>
      <w:r w:rsidR="006D7F49" w:rsidRPr="00C35CA8">
        <w:rPr>
          <w:rFonts w:eastAsia="Calibri"/>
          <w:lang w:eastAsia="en-US"/>
        </w:rPr>
        <w:t>,</w:t>
      </w:r>
    </w:p>
    <w:p w14:paraId="74055F10" w14:textId="4698EB9F" w:rsidR="007F0601" w:rsidRPr="00C35CA8" w:rsidRDefault="007F0601" w:rsidP="007F0601">
      <w:pPr>
        <w:autoSpaceDE w:val="0"/>
        <w:autoSpaceDN w:val="0"/>
        <w:adjustRightInd w:val="0"/>
        <w:spacing w:after="0"/>
        <w:ind w:firstLine="0"/>
        <w:rPr>
          <w:rFonts w:eastAsia="Calibri"/>
          <w:lang w:eastAsia="en-US"/>
        </w:rPr>
      </w:pPr>
      <w:r w:rsidRPr="00C35CA8">
        <w:rPr>
          <w:rFonts w:eastAsia="Calibri"/>
          <w:lang w:eastAsia="en-US"/>
        </w:rPr>
        <w:t>Opatrenie č. 4 Zapracovanie u</w:t>
      </w:r>
      <w:r w:rsidR="006D7F49" w:rsidRPr="00C35CA8">
        <w:rPr>
          <w:rFonts w:eastAsia="Calibri"/>
          <w:lang w:eastAsia="en-US"/>
        </w:rPr>
        <w:t> </w:t>
      </w:r>
      <w:r w:rsidRPr="00C35CA8">
        <w:rPr>
          <w:rFonts w:eastAsia="Calibri"/>
          <w:lang w:eastAsia="en-US"/>
        </w:rPr>
        <w:t>zamestnávateľa</w:t>
      </w:r>
      <w:r w:rsidR="006D7F49" w:rsidRPr="00C35CA8">
        <w:rPr>
          <w:rFonts w:eastAsia="Calibri"/>
          <w:lang w:eastAsia="en-US"/>
        </w:rPr>
        <w:t>.</w:t>
      </w:r>
    </w:p>
    <w:p w14:paraId="4A15F096" w14:textId="77777777" w:rsidR="005258C1" w:rsidRPr="00C35CA8" w:rsidRDefault="007F0601" w:rsidP="00240DD0">
      <w:pPr>
        <w:spacing w:before="240" w:after="0"/>
        <w:ind w:firstLine="0"/>
        <w:rPr>
          <w:b/>
          <w:lang w:eastAsia="cs-CZ"/>
        </w:rPr>
      </w:pPr>
      <w:r w:rsidRPr="00C35CA8">
        <w:rPr>
          <w:b/>
          <w:lang w:eastAsia="cs-CZ"/>
        </w:rPr>
        <w:t xml:space="preserve">Opatrenie č. 1 </w:t>
      </w:r>
      <w:r w:rsidR="00EB6CB5" w:rsidRPr="00C35CA8">
        <w:rPr>
          <w:b/>
          <w:lang w:eastAsia="cs-CZ"/>
        </w:rPr>
        <w:t>Vzdelávanie odídencov</w:t>
      </w:r>
    </w:p>
    <w:p w14:paraId="260AB3E5" w14:textId="74390230" w:rsidR="00A444C6" w:rsidRPr="00C35CA8" w:rsidRDefault="00A444C6" w:rsidP="005258C1">
      <w:pPr>
        <w:spacing w:before="120" w:after="0"/>
        <w:ind w:firstLine="0"/>
        <w:rPr>
          <w:rStyle w:val="normaltextrun"/>
          <w:b/>
          <w:lang w:eastAsia="cs-CZ"/>
        </w:rPr>
      </w:pPr>
      <w:r w:rsidRPr="00C35CA8">
        <w:rPr>
          <w:rStyle w:val="normaltextrun"/>
          <w:bCs/>
        </w:rPr>
        <w:t xml:space="preserve">V rámci tohto opatrenia sa podporuje vzdelávanie odídencov zamerané na získanie vedomostí, schopností a zručností potrebných pre ich sociálne začlenenie a integráciu na trh práce. </w:t>
      </w:r>
      <w:r w:rsidR="00DF6E9A" w:rsidRPr="00C35CA8">
        <w:rPr>
          <w:rStyle w:val="normaltextrun"/>
          <w:bCs/>
        </w:rPr>
        <w:t xml:space="preserve">                              </w:t>
      </w:r>
      <w:r w:rsidRPr="00C35CA8">
        <w:rPr>
          <w:rStyle w:val="normaltextrun"/>
          <w:bCs/>
        </w:rPr>
        <w:t xml:space="preserve">Po úspešnom ukončení vzdelávania úrady poskytujú príspevok na vzdelávací kurz pre odídenca, ktorý pozostáva z príspevku na vzdelávací kurz v hodnote kurzovného (príspevok na kurzovné) a paušálneho príspevku na pokrytie časti nevyhnutých osobných výdavkov súvisiacich s účasťou na vzdelávacom kurze. </w:t>
      </w:r>
    </w:p>
    <w:p w14:paraId="1C04531C" w14:textId="2AF271BB" w:rsidR="00D51572" w:rsidRPr="00D51572" w:rsidRDefault="00D51572" w:rsidP="00D51572">
      <w:pPr>
        <w:spacing w:before="40" w:after="120"/>
        <w:ind w:firstLine="0"/>
        <w:rPr>
          <w:rFonts w:eastAsiaTheme="minorHAnsi"/>
          <w:bCs/>
        </w:rPr>
      </w:pPr>
      <w:r w:rsidRPr="00D51572">
        <w:rPr>
          <w:rFonts w:eastAsiaTheme="minorHAnsi"/>
          <w:bCs/>
        </w:rPr>
        <w:t xml:space="preserve">V roku 2023 bolo na vzdelávanie zaradených 3 458 odídencov, z toho 686 mužov (19,84%) </w:t>
      </w:r>
      <w:r w:rsidR="00C541C0">
        <w:rPr>
          <w:rFonts w:eastAsiaTheme="minorHAnsi"/>
          <w:bCs/>
        </w:rPr>
        <w:t xml:space="preserve">      </w:t>
      </w:r>
      <w:r w:rsidRPr="00D51572">
        <w:rPr>
          <w:rFonts w:eastAsiaTheme="minorHAnsi"/>
          <w:bCs/>
        </w:rPr>
        <w:t xml:space="preserve">a 2 772 žien (80,16%). </w:t>
      </w:r>
    </w:p>
    <w:p w14:paraId="6CF50F1E" w14:textId="77777777" w:rsidR="00D51572" w:rsidRPr="00D51572" w:rsidRDefault="00D51572" w:rsidP="00D51572">
      <w:pPr>
        <w:spacing w:before="40" w:after="120"/>
        <w:ind w:hanging="6"/>
        <w:rPr>
          <w:rFonts w:eastAsia="Calibri"/>
        </w:rPr>
      </w:pPr>
      <w:r w:rsidRPr="00D51572">
        <w:rPr>
          <w:rFonts w:eastAsia="Calibri"/>
        </w:rPr>
        <w:t xml:space="preserve">Príspevok na vzdelávanie odídencov bol v roku 2023 poskytnutý v celkovej sume </w:t>
      </w:r>
      <w:r w:rsidRPr="00D51572">
        <w:rPr>
          <w:rFonts w:cstheme="minorHAnsi"/>
          <w:bCs/>
        </w:rPr>
        <w:t xml:space="preserve">3 097 166 </w:t>
      </w:r>
      <w:r w:rsidRPr="00D51572">
        <w:rPr>
          <w:rFonts w:eastAsiaTheme="minorHAnsi"/>
        </w:rPr>
        <w:t xml:space="preserve">eur,  </w:t>
      </w:r>
      <w:r w:rsidRPr="00D51572">
        <w:rPr>
          <w:rFonts w:eastAsia="Calibri"/>
        </w:rPr>
        <w:t xml:space="preserve">z toho príspevky na kurzovné boli vo výške </w:t>
      </w:r>
      <w:r w:rsidRPr="00D51572">
        <w:rPr>
          <w:rFonts w:cstheme="minorHAnsi"/>
          <w:bCs/>
        </w:rPr>
        <w:t xml:space="preserve">2 681 404  </w:t>
      </w:r>
      <w:r w:rsidRPr="00D51572">
        <w:rPr>
          <w:rFonts w:eastAsia="Calibri"/>
        </w:rPr>
        <w:t xml:space="preserve">eur a paušálne príspevky </w:t>
      </w:r>
      <w:r w:rsidRPr="00D51572">
        <w:rPr>
          <w:rFonts w:eastAsia="Calibri"/>
        </w:rPr>
        <w:br/>
        <w:t xml:space="preserve">boli vo výške </w:t>
      </w:r>
      <w:r w:rsidRPr="00D51572">
        <w:rPr>
          <w:rFonts w:cstheme="minorHAnsi"/>
          <w:bCs/>
        </w:rPr>
        <w:t xml:space="preserve">415 762 </w:t>
      </w:r>
      <w:r w:rsidRPr="00D51572">
        <w:rPr>
          <w:rFonts w:eastAsia="Calibri"/>
        </w:rPr>
        <w:t xml:space="preserve">eur. </w:t>
      </w:r>
    </w:p>
    <w:p w14:paraId="2ADFF4D2" w14:textId="639761A8" w:rsidR="00D51572" w:rsidRDefault="00D51572" w:rsidP="00D51572">
      <w:pPr>
        <w:rPr>
          <w:sz w:val="20"/>
          <w:szCs w:val="20"/>
        </w:rPr>
      </w:pPr>
      <w:r w:rsidRPr="00D51572">
        <w:rPr>
          <w:rFonts w:eastAsia="Calibri"/>
        </w:rPr>
        <w:lastRenderedPageBreak/>
        <w:t>V roku 2023 bol najväčší počet odídencov zaradených na vzdelávanie na úrade Bratislava, kde sa vzdelávalo 545 odídencov, čo je 15,76% z celkového počtu odídencov  na vzdelávanie. Nasledujú úrady Košice (288 odídencov: 8,33%) a Trenčín (268 odídencov: 7,75%) Prehľad odídencov zaradených na vzdelávanie odídencov v roku 2023 v štruktúre podľa jednotlivých úradov je znázornený v</w:t>
      </w:r>
      <w:r w:rsidR="0070669C">
        <w:rPr>
          <w:rFonts w:eastAsia="Calibri"/>
        </w:rPr>
        <w:t xml:space="preserve"> nasledujúcom </w:t>
      </w:r>
      <w:r w:rsidRPr="00D51572">
        <w:rPr>
          <w:rFonts w:eastAsia="Calibri"/>
        </w:rPr>
        <w:t>grafe</w:t>
      </w:r>
      <w:r w:rsidR="0070669C">
        <w:rPr>
          <w:rFonts w:eastAsia="Calibri"/>
        </w:rPr>
        <w:t>.</w:t>
      </w:r>
    </w:p>
    <w:p w14:paraId="21555C9C" w14:textId="7E708BF2" w:rsidR="00D51572" w:rsidRDefault="0070669C" w:rsidP="00074449">
      <w:pPr>
        <w:rPr>
          <w:sz w:val="20"/>
          <w:szCs w:val="20"/>
        </w:rPr>
      </w:pPr>
      <w:r>
        <w:rPr>
          <w:noProof/>
        </w:rPr>
        <w:drawing>
          <wp:inline distT="0" distB="0" distL="0" distR="0" wp14:anchorId="3EB5BCE6" wp14:editId="53FC4EA7">
            <wp:extent cx="5835650" cy="6671144"/>
            <wp:effectExtent l="0" t="0" r="12700" b="15875"/>
            <wp:docPr id="10" name="Graf 1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BA5F18D" w14:textId="02CD881A" w:rsidR="0070669C" w:rsidRDefault="0070669C" w:rsidP="00074449">
      <w:pPr>
        <w:rPr>
          <w:sz w:val="20"/>
          <w:szCs w:val="20"/>
        </w:rPr>
      </w:pPr>
      <w:r w:rsidRPr="00A76EBD">
        <w:rPr>
          <w:rFonts w:eastAsia="Calibri"/>
        </w:rPr>
        <w:t>Z </w:t>
      </w:r>
      <w:r w:rsidRPr="00082D94">
        <w:rPr>
          <w:rFonts w:eastAsia="Calibri"/>
        </w:rPr>
        <w:t xml:space="preserve">hľadiska veku tvorili </w:t>
      </w:r>
      <w:r>
        <w:rPr>
          <w:rFonts w:eastAsia="Calibri"/>
        </w:rPr>
        <w:t>v roku 2023</w:t>
      </w:r>
      <w:r w:rsidRPr="00082D94">
        <w:rPr>
          <w:rFonts w:eastAsia="Calibri"/>
        </w:rPr>
        <w:t xml:space="preserve"> najvyšší podiel odídenci vo veku od 30 do 49 rokov (</w:t>
      </w:r>
      <w:r>
        <w:rPr>
          <w:rFonts w:eastAsia="Calibri"/>
        </w:rPr>
        <w:t>2 007</w:t>
      </w:r>
      <w:r w:rsidRPr="00082D94">
        <w:rPr>
          <w:rFonts w:eastAsia="Calibri"/>
        </w:rPr>
        <w:t xml:space="preserve"> odídencov; </w:t>
      </w:r>
      <w:r>
        <w:rPr>
          <w:rFonts w:eastAsia="Calibri"/>
        </w:rPr>
        <w:t xml:space="preserve">58,04 </w:t>
      </w:r>
      <w:r w:rsidRPr="00082D94">
        <w:rPr>
          <w:rFonts w:eastAsia="Calibri"/>
        </w:rPr>
        <w:t>%). Druhou najpočetnejšou skupinou boli odídenci vo veku 50 rokov a viac (</w:t>
      </w:r>
      <w:r>
        <w:rPr>
          <w:rFonts w:eastAsia="Calibri"/>
        </w:rPr>
        <w:t>627</w:t>
      </w:r>
      <w:r w:rsidRPr="00082D94">
        <w:rPr>
          <w:rFonts w:eastAsia="Calibri"/>
        </w:rPr>
        <w:t xml:space="preserve"> odídencov; </w:t>
      </w:r>
      <w:r>
        <w:rPr>
          <w:rFonts w:eastAsia="Calibri"/>
        </w:rPr>
        <w:t>18,13</w:t>
      </w:r>
      <w:r w:rsidRPr="00082D94">
        <w:rPr>
          <w:rFonts w:eastAsia="Calibri"/>
        </w:rPr>
        <w:t xml:space="preserve"> %).</w:t>
      </w:r>
      <w:r>
        <w:rPr>
          <w:rFonts w:eastAsia="Calibri"/>
        </w:rPr>
        <w:t xml:space="preserve"> Prehľad odídencov</w:t>
      </w:r>
      <w:r w:rsidRPr="00A76EBD">
        <w:rPr>
          <w:rFonts w:eastAsia="Calibri"/>
        </w:rPr>
        <w:t xml:space="preserve"> </w:t>
      </w:r>
      <w:r>
        <w:rPr>
          <w:rFonts w:eastAsia="Calibri"/>
        </w:rPr>
        <w:t>zaradených na</w:t>
      </w:r>
      <w:r w:rsidRPr="00A76EBD">
        <w:rPr>
          <w:rFonts w:eastAsia="Calibri"/>
        </w:rPr>
        <w:t xml:space="preserve"> </w:t>
      </w:r>
      <w:r>
        <w:rPr>
          <w:rFonts w:eastAsia="Calibri"/>
        </w:rPr>
        <w:t xml:space="preserve">vzdelávanie </w:t>
      </w:r>
      <w:r w:rsidRPr="00F35639">
        <w:rPr>
          <w:rFonts w:eastAsia="Calibri"/>
        </w:rPr>
        <w:t xml:space="preserve">v roku </w:t>
      </w:r>
      <w:r w:rsidRPr="001559A0">
        <w:rPr>
          <w:rFonts w:eastAsia="Calibri"/>
        </w:rPr>
        <w:t>2023</w:t>
      </w:r>
      <w:r w:rsidRPr="00F35639">
        <w:rPr>
          <w:rFonts w:eastAsia="Calibri"/>
        </w:rPr>
        <w:t xml:space="preserve"> v štruktúre podľa vekových kategórií je znázornený v</w:t>
      </w:r>
      <w:r>
        <w:rPr>
          <w:rFonts w:eastAsia="Calibri"/>
        </w:rPr>
        <w:t> </w:t>
      </w:r>
      <w:r w:rsidRPr="00F35639">
        <w:rPr>
          <w:rFonts w:eastAsia="Calibri"/>
        </w:rPr>
        <w:t>grafe</w:t>
      </w:r>
      <w:r>
        <w:rPr>
          <w:rFonts w:eastAsia="Calibri"/>
        </w:rPr>
        <w:t xml:space="preserve"> nižšie.</w:t>
      </w:r>
    </w:p>
    <w:p w14:paraId="5926EE36" w14:textId="77777777" w:rsidR="000D5301" w:rsidRPr="00C35CA8" w:rsidRDefault="000D5301" w:rsidP="000D5301">
      <w:pPr>
        <w:spacing w:before="120"/>
        <w:ind w:left="-6"/>
        <w:jc w:val="center"/>
        <w:rPr>
          <w:rFonts w:eastAsia="Calibri"/>
        </w:rPr>
      </w:pPr>
      <w:r w:rsidRPr="00C35CA8">
        <w:rPr>
          <w:noProof/>
        </w:rPr>
        <w:lastRenderedPageBreak/>
        <w:drawing>
          <wp:inline distT="0" distB="0" distL="0" distR="0" wp14:anchorId="054DA551" wp14:editId="17F05D6F">
            <wp:extent cx="5883910" cy="3013544"/>
            <wp:effectExtent l="0" t="0" r="2540" b="15875"/>
            <wp:docPr id="36" name="Graf 36">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6299177" w14:textId="334FD107" w:rsidR="00056FE1" w:rsidRPr="00056FE1" w:rsidRDefault="00056FE1" w:rsidP="00056FE1">
      <w:pPr>
        <w:spacing w:before="120" w:after="0"/>
        <w:ind w:left="-6" w:firstLine="0"/>
        <w:rPr>
          <w:rFonts w:eastAsia="Calibri"/>
        </w:rPr>
      </w:pPr>
      <w:r w:rsidRPr="00056FE1">
        <w:rPr>
          <w:rFonts w:eastAsia="Calibri"/>
        </w:rPr>
        <w:t>Z hľadiska vzdelania bolo v roku 2023 zaradených na vzdelávanie najviac odídencov s vysokoškolským vzdelaním II. stupňa (1 466 odídencov; 42,39 %) a s úplným stredným všeobecným vzdelaním (625 odídencov; 18,07 %). Prehľad odídencov zaradených na vzdelávanie v roku 2023 v štruktúre podľa vzdelania je znázornený v</w:t>
      </w:r>
      <w:r>
        <w:rPr>
          <w:rFonts w:eastAsia="Calibri"/>
        </w:rPr>
        <w:t> </w:t>
      </w:r>
      <w:r w:rsidRPr="00056FE1">
        <w:rPr>
          <w:rFonts w:eastAsia="Calibri"/>
        </w:rPr>
        <w:t>grafe</w:t>
      </w:r>
      <w:r>
        <w:rPr>
          <w:rFonts w:eastAsia="Calibri"/>
        </w:rPr>
        <w:t>.</w:t>
      </w:r>
    </w:p>
    <w:p w14:paraId="13BE6CEF" w14:textId="77777777" w:rsidR="00056FE1" w:rsidRPr="00056FE1" w:rsidRDefault="00056FE1" w:rsidP="00056FE1">
      <w:pPr>
        <w:spacing w:before="120" w:after="0"/>
        <w:ind w:firstLine="0"/>
        <w:jc w:val="center"/>
        <w:rPr>
          <w:rFonts w:eastAsia="Calibri"/>
        </w:rPr>
      </w:pPr>
      <w:r w:rsidRPr="00056FE1">
        <w:rPr>
          <w:rFonts w:eastAsiaTheme="minorHAnsi"/>
          <w:noProof/>
        </w:rPr>
        <w:drawing>
          <wp:inline distT="0" distB="0" distL="0" distR="0" wp14:anchorId="5AB0D652" wp14:editId="11C6F9DE">
            <wp:extent cx="5848709" cy="3820795"/>
            <wp:effectExtent l="0" t="0" r="0" b="8255"/>
            <wp:docPr id="454" name="Graf 45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215BE45" w14:textId="21C63ECA" w:rsidR="00056FE1" w:rsidRPr="00056FE1" w:rsidRDefault="00056FE1" w:rsidP="00056FE1">
      <w:pPr>
        <w:tabs>
          <w:tab w:val="left" w:pos="8364"/>
        </w:tabs>
        <w:spacing w:before="120" w:after="0"/>
        <w:ind w:firstLine="0"/>
        <w:rPr>
          <w:rFonts w:eastAsia="Calibri"/>
        </w:rPr>
      </w:pPr>
      <w:r w:rsidRPr="00056FE1">
        <w:rPr>
          <w:rFonts w:eastAsia="Calibri"/>
        </w:rPr>
        <w:t xml:space="preserve">Odídenci mali v roku 2023 najväčší záujem o kurzy slovenského jazyka (2 727 odídencov; </w:t>
      </w:r>
      <w:r>
        <w:rPr>
          <w:rFonts w:eastAsia="Calibri"/>
        </w:rPr>
        <w:t xml:space="preserve">    </w:t>
      </w:r>
      <w:r w:rsidRPr="00056FE1">
        <w:rPr>
          <w:rFonts w:eastAsia="Calibri"/>
        </w:rPr>
        <w:t>78,86 %) a kurzy zamerané na tzv. beauty služby (415 odídencov; 12,00 %). Prehľad odídencov zaradených na vzdelávanie v roku 2023 v štruktúre podľa jednotlivých vzdelávacích kategórií je znázornený v</w:t>
      </w:r>
      <w:r>
        <w:rPr>
          <w:rFonts w:eastAsia="Calibri"/>
        </w:rPr>
        <w:t> grafe nižšie.</w:t>
      </w:r>
    </w:p>
    <w:p w14:paraId="5D01F070" w14:textId="77777777" w:rsidR="00056FE1" w:rsidRPr="00056FE1" w:rsidRDefault="00056FE1" w:rsidP="00056FE1">
      <w:pPr>
        <w:spacing w:before="120" w:after="0"/>
        <w:ind w:hanging="6"/>
        <w:jc w:val="left"/>
        <w:rPr>
          <w:rFonts w:eastAsia="Calibri"/>
        </w:rPr>
      </w:pPr>
      <w:r w:rsidRPr="00056FE1">
        <w:rPr>
          <w:rFonts w:eastAsiaTheme="minorHAnsi"/>
          <w:noProof/>
        </w:rPr>
        <w:lastRenderedPageBreak/>
        <w:drawing>
          <wp:inline distT="0" distB="0" distL="0" distR="0" wp14:anchorId="1B6B6DDF" wp14:editId="697424F4">
            <wp:extent cx="5848350" cy="3811270"/>
            <wp:effectExtent l="0" t="0" r="0" b="17780"/>
            <wp:docPr id="18" name="Graf 1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FC5784E" w14:textId="21E1BDC4" w:rsidR="005D6BB1" w:rsidRPr="00C35CA8" w:rsidRDefault="00EB6CB5" w:rsidP="007176AE">
      <w:pPr>
        <w:spacing w:before="240" w:after="120"/>
        <w:ind w:firstLine="0"/>
        <w:rPr>
          <w:b/>
          <w:lang w:eastAsia="cs-CZ"/>
        </w:rPr>
      </w:pPr>
      <w:r w:rsidRPr="00C35CA8">
        <w:rPr>
          <w:b/>
          <w:lang w:eastAsia="cs-CZ"/>
        </w:rPr>
        <w:t>Opatrenie č. 2:  Podpora mobility</w:t>
      </w:r>
    </w:p>
    <w:p w14:paraId="199BD674" w14:textId="77777777" w:rsidR="00056FE1" w:rsidRPr="00056FE1" w:rsidRDefault="00056FE1" w:rsidP="00056FE1">
      <w:pPr>
        <w:spacing w:before="120" w:after="120"/>
        <w:ind w:firstLine="0"/>
        <w:rPr>
          <w:color w:val="000000"/>
        </w:rPr>
      </w:pPr>
      <w:r w:rsidRPr="00056FE1">
        <w:rPr>
          <w:color w:val="000000"/>
        </w:rPr>
        <w:t xml:space="preserve">V rámci tohto opatrenia sa poskytoval príspevok na dochádzku za prácou, dobrovoľníckou činnosťou alebo praxou u zamestnávateľa. Príspevok sa poskytoval po dobu najviac 9 po sebe nasledujúcich mesiacov. </w:t>
      </w:r>
    </w:p>
    <w:p w14:paraId="0A7EE155" w14:textId="77777777" w:rsidR="00056FE1" w:rsidRPr="00056FE1" w:rsidRDefault="00056FE1" w:rsidP="00056FE1">
      <w:pPr>
        <w:spacing w:after="120"/>
        <w:ind w:firstLine="0"/>
        <w:rPr>
          <w:color w:val="000000"/>
        </w:rPr>
      </w:pPr>
      <w:r w:rsidRPr="00056FE1">
        <w:rPr>
          <w:rFonts w:cstheme="minorHAnsi"/>
          <w:lang w:eastAsia="cs-CZ"/>
        </w:rPr>
        <w:t>Žiadaná suma v rámci tohto opatrenia v roku 2023  predstavuje spolu 458 095,56 eur.  Do opatrenia bolo zaradených 1 275 odídencov, z toho 991 žien (77,73 %) a 284 mužov (22,27 %). V rámci opatrenia bolo v roku 2023 vyčerpaných 548 403,75 eur.</w:t>
      </w:r>
    </w:p>
    <w:p w14:paraId="12AC9EC8" w14:textId="45AB1C88" w:rsidR="00AC5296" w:rsidRDefault="00056FE1" w:rsidP="00AC5296">
      <w:pPr>
        <w:autoSpaceDE w:val="0"/>
        <w:autoSpaceDN w:val="0"/>
        <w:adjustRightInd w:val="0"/>
        <w:spacing w:after="0"/>
        <w:ind w:firstLine="0"/>
        <w:rPr>
          <w:rFonts w:eastAsia="Calibri"/>
          <w:lang w:eastAsia="en-US"/>
        </w:rPr>
      </w:pPr>
      <w:r w:rsidRPr="00056FE1">
        <w:rPr>
          <w:rFonts w:eastAsia="Calibri"/>
          <w:lang w:eastAsia="en-US"/>
        </w:rPr>
        <w:t>Z hľadiska vekovej štruktúry bolo najviac zaradených vo ve</w:t>
      </w:r>
      <w:r w:rsidRPr="00056FE1">
        <w:rPr>
          <w:rFonts w:eastAsia="Calibri"/>
        </w:rPr>
        <w:t>ku od 30 do 49 rokov v počte 736</w:t>
      </w:r>
      <w:r w:rsidRPr="00056FE1">
        <w:rPr>
          <w:rFonts w:eastAsia="Calibri"/>
          <w:lang w:eastAsia="en-US"/>
        </w:rPr>
        <w:t xml:space="preserve"> odídencov, čo je </w:t>
      </w:r>
      <w:r w:rsidRPr="00056FE1">
        <w:rPr>
          <w:rFonts w:eastAsia="Calibri"/>
        </w:rPr>
        <w:t xml:space="preserve">57,73 </w:t>
      </w:r>
      <w:r w:rsidRPr="00056FE1">
        <w:rPr>
          <w:rFonts w:eastAsia="Calibri"/>
          <w:lang w:eastAsia="en-US"/>
        </w:rPr>
        <w:t xml:space="preserve">% z celkového počtu zaradených. Ďalšiu skupinu tvorili odídenci </w:t>
      </w:r>
      <w:r w:rsidRPr="00056FE1">
        <w:rPr>
          <w:rFonts w:eastAsia="Calibri"/>
        </w:rPr>
        <w:t xml:space="preserve">vo veku nad 50 rokov v počte 336 (26,35 </w:t>
      </w:r>
      <w:r w:rsidRPr="00056FE1">
        <w:rPr>
          <w:rFonts w:eastAsia="Calibri"/>
          <w:lang w:eastAsia="en-US"/>
        </w:rPr>
        <w:t>%) a treťou najviac zastúpenou skupinou boli odídenc</w:t>
      </w:r>
      <w:r w:rsidRPr="00056FE1">
        <w:rPr>
          <w:rFonts w:eastAsia="Calibri"/>
        </w:rPr>
        <w:t xml:space="preserve">i vo veku do 24 rokov v počte 122, čo je 9,57 </w:t>
      </w:r>
      <w:r w:rsidRPr="00056FE1">
        <w:rPr>
          <w:rFonts w:eastAsia="Calibri"/>
          <w:lang w:eastAsia="en-US"/>
        </w:rPr>
        <w:t>%</w:t>
      </w:r>
      <w:r w:rsidR="00AC5296">
        <w:rPr>
          <w:rFonts w:eastAsia="Calibri"/>
          <w:lang w:eastAsia="en-US"/>
        </w:rPr>
        <w:t xml:space="preserve"> z celkového počtu zaradených, </w:t>
      </w:r>
      <w:r w:rsidRPr="00056FE1">
        <w:rPr>
          <w:rFonts w:eastAsia="Calibri"/>
          <w:lang w:eastAsia="en-US"/>
        </w:rPr>
        <w:t>v štruktúre podľa gra</w:t>
      </w:r>
      <w:r w:rsidR="00AC5296">
        <w:rPr>
          <w:rFonts w:eastAsia="Calibri"/>
          <w:lang w:eastAsia="en-US"/>
        </w:rPr>
        <w:t xml:space="preserve">fu dole.   </w:t>
      </w:r>
    </w:p>
    <w:p w14:paraId="015F7853" w14:textId="510830D9" w:rsidR="00AC5296" w:rsidRDefault="00AC5296" w:rsidP="00AC5296">
      <w:pPr>
        <w:autoSpaceDE w:val="0"/>
        <w:autoSpaceDN w:val="0"/>
        <w:adjustRightInd w:val="0"/>
        <w:spacing w:after="0"/>
        <w:ind w:firstLine="0"/>
        <w:rPr>
          <w:rFonts w:eastAsia="Calibri"/>
          <w:lang w:eastAsia="en-US"/>
        </w:rPr>
      </w:pPr>
      <w:r>
        <w:rPr>
          <w:rFonts w:ascii="Calibri" w:eastAsia="Calibri" w:hAnsi="Calibri"/>
          <w:bCs/>
          <w:iCs/>
          <w:noProof/>
          <w:sz w:val="22"/>
          <w:szCs w:val="22"/>
        </w:rPr>
        <w:drawing>
          <wp:anchor distT="0" distB="0" distL="114300" distR="114300" simplePos="0" relativeHeight="252578304" behindDoc="1" locked="0" layoutInCell="1" allowOverlap="1" wp14:anchorId="62EB23E7" wp14:editId="7A84F81E">
            <wp:simplePos x="0" y="0"/>
            <wp:positionH relativeFrom="column">
              <wp:posOffset>-1933</wp:posOffset>
            </wp:positionH>
            <wp:positionV relativeFrom="paragraph">
              <wp:posOffset>95968</wp:posOffset>
            </wp:positionV>
            <wp:extent cx="5860112" cy="2909570"/>
            <wp:effectExtent l="0" t="0" r="7620" b="5080"/>
            <wp:wrapNone/>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anchor>
        </w:drawing>
      </w:r>
    </w:p>
    <w:p w14:paraId="4E369E8E" w14:textId="77777777" w:rsidR="00AC5296" w:rsidRDefault="00AC5296" w:rsidP="00AC5296">
      <w:pPr>
        <w:autoSpaceDE w:val="0"/>
        <w:autoSpaceDN w:val="0"/>
        <w:adjustRightInd w:val="0"/>
        <w:spacing w:after="0"/>
        <w:ind w:firstLine="0"/>
        <w:rPr>
          <w:rFonts w:eastAsia="Calibri"/>
          <w:lang w:eastAsia="en-US"/>
        </w:rPr>
      </w:pPr>
    </w:p>
    <w:p w14:paraId="4FF63D56" w14:textId="240FAEA9" w:rsidR="00AC5296" w:rsidRDefault="00AC5296" w:rsidP="00AC5296">
      <w:pPr>
        <w:autoSpaceDE w:val="0"/>
        <w:autoSpaceDN w:val="0"/>
        <w:adjustRightInd w:val="0"/>
        <w:spacing w:after="0"/>
        <w:ind w:firstLine="0"/>
        <w:rPr>
          <w:rFonts w:eastAsia="Calibri"/>
          <w:lang w:eastAsia="en-US"/>
        </w:rPr>
      </w:pPr>
    </w:p>
    <w:p w14:paraId="48FDCF39" w14:textId="77777777" w:rsidR="00AC5296" w:rsidRDefault="00AC5296" w:rsidP="00AC5296">
      <w:pPr>
        <w:autoSpaceDE w:val="0"/>
        <w:autoSpaceDN w:val="0"/>
        <w:adjustRightInd w:val="0"/>
        <w:spacing w:after="0"/>
        <w:ind w:firstLine="0"/>
        <w:rPr>
          <w:rFonts w:eastAsia="Calibri"/>
          <w:lang w:eastAsia="en-US"/>
        </w:rPr>
      </w:pPr>
    </w:p>
    <w:p w14:paraId="6D8D4041" w14:textId="604C67D4" w:rsidR="00AC5296" w:rsidRDefault="00AC5296" w:rsidP="00AC5296">
      <w:pPr>
        <w:autoSpaceDE w:val="0"/>
        <w:autoSpaceDN w:val="0"/>
        <w:adjustRightInd w:val="0"/>
        <w:spacing w:after="0"/>
        <w:ind w:firstLine="0"/>
        <w:rPr>
          <w:rFonts w:eastAsia="Calibri"/>
          <w:lang w:eastAsia="en-US"/>
        </w:rPr>
      </w:pPr>
    </w:p>
    <w:p w14:paraId="5682CD19" w14:textId="125FA11D" w:rsidR="00AC5296" w:rsidRDefault="00AC5296" w:rsidP="00AC5296">
      <w:pPr>
        <w:autoSpaceDE w:val="0"/>
        <w:autoSpaceDN w:val="0"/>
        <w:adjustRightInd w:val="0"/>
        <w:spacing w:after="0"/>
        <w:ind w:firstLine="0"/>
        <w:rPr>
          <w:rFonts w:eastAsia="Calibri"/>
          <w:lang w:eastAsia="en-US"/>
        </w:rPr>
      </w:pPr>
    </w:p>
    <w:p w14:paraId="4AC80B1E" w14:textId="77777777" w:rsidR="00AC5296" w:rsidRDefault="00AC5296" w:rsidP="00AC5296">
      <w:pPr>
        <w:autoSpaceDE w:val="0"/>
        <w:autoSpaceDN w:val="0"/>
        <w:adjustRightInd w:val="0"/>
        <w:spacing w:after="0"/>
        <w:ind w:firstLine="0"/>
        <w:rPr>
          <w:rFonts w:eastAsia="Calibri"/>
          <w:lang w:eastAsia="en-US"/>
        </w:rPr>
      </w:pPr>
    </w:p>
    <w:p w14:paraId="44925EE2" w14:textId="77777777" w:rsidR="00AC5296" w:rsidRDefault="00AC5296" w:rsidP="00AC5296">
      <w:pPr>
        <w:autoSpaceDE w:val="0"/>
        <w:autoSpaceDN w:val="0"/>
        <w:adjustRightInd w:val="0"/>
        <w:spacing w:after="0"/>
        <w:ind w:firstLine="0"/>
        <w:rPr>
          <w:rFonts w:eastAsia="Calibri"/>
          <w:lang w:eastAsia="en-US"/>
        </w:rPr>
      </w:pPr>
    </w:p>
    <w:p w14:paraId="7373F1CB" w14:textId="5622156B" w:rsidR="00AC5296" w:rsidRDefault="00AC5296" w:rsidP="00AC5296">
      <w:pPr>
        <w:autoSpaceDE w:val="0"/>
        <w:autoSpaceDN w:val="0"/>
        <w:adjustRightInd w:val="0"/>
        <w:spacing w:after="0"/>
        <w:ind w:firstLine="0"/>
        <w:rPr>
          <w:rFonts w:eastAsia="Calibri"/>
          <w:lang w:eastAsia="en-US"/>
        </w:rPr>
      </w:pPr>
    </w:p>
    <w:p w14:paraId="78E89A69" w14:textId="591E5F8F" w:rsidR="00AC5296" w:rsidRDefault="00AC5296" w:rsidP="00AC5296">
      <w:pPr>
        <w:autoSpaceDE w:val="0"/>
        <w:autoSpaceDN w:val="0"/>
        <w:adjustRightInd w:val="0"/>
        <w:spacing w:after="0"/>
        <w:ind w:firstLine="0"/>
        <w:rPr>
          <w:rFonts w:eastAsia="Calibri"/>
          <w:lang w:eastAsia="en-US"/>
        </w:rPr>
      </w:pPr>
    </w:p>
    <w:p w14:paraId="1E261B8A" w14:textId="7913D755" w:rsidR="00AC5296" w:rsidRDefault="00AC5296" w:rsidP="00AC5296">
      <w:pPr>
        <w:autoSpaceDE w:val="0"/>
        <w:autoSpaceDN w:val="0"/>
        <w:adjustRightInd w:val="0"/>
        <w:spacing w:after="0"/>
        <w:ind w:firstLine="0"/>
        <w:rPr>
          <w:rFonts w:eastAsia="Calibri"/>
          <w:lang w:eastAsia="en-US"/>
        </w:rPr>
      </w:pPr>
    </w:p>
    <w:p w14:paraId="1D1CD5C5" w14:textId="034CC0A7" w:rsidR="00AC5296" w:rsidRDefault="00AC5296" w:rsidP="00AC5296">
      <w:pPr>
        <w:autoSpaceDE w:val="0"/>
        <w:autoSpaceDN w:val="0"/>
        <w:adjustRightInd w:val="0"/>
        <w:spacing w:after="0"/>
        <w:ind w:firstLine="0"/>
        <w:rPr>
          <w:rFonts w:eastAsia="Calibri"/>
          <w:lang w:eastAsia="en-US"/>
        </w:rPr>
      </w:pPr>
    </w:p>
    <w:p w14:paraId="4D323580" w14:textId="56375385" w:rsidR="00AC5296" w:rsidRDefault="00AC5296" w:rsidP="00AC5296">
      <w:pPr>
        <w:autoSpaceDE w:val="0"/>
        <w:autoSpaceDN w:val="0"/>
        <w:adjustRightInd w:val="0"/>
        <w:spacing w:after="0"/>
        <w:ind w:firstLine="0"/>
        <w:rPr>
          <w:rFonts w:eastAsia="Calibri"/>
          <w:lang w:eastAsia="en-US"/>
        </w:rPr>
      </w:pPr>
    </w:p>
    <w:p w14:paraId="566EBF94" w14:textId="77777777" w:rsidR="00AC5296" w:rsidRDefault="00AC5296" w:rsidP="00AC5296">
      <w:pPr>
        <w:autoSpaceDE w:val="0"/>
        <w:autoSpaceDN w:val="0"/>
        <w:adjustRightInd w:val="0"/>
        <w:spacing w:after="0"/>
        <w:ind w:firstLine="0"/>
        <w:rPr>
          <w:rFonts w:eastAsia="Calibri"/>
          <w:lang w:eastAsia="en-US"/>
        </w:rPr>
      </w:pPr>
    </w:p>
    <w:p w14:paraId="7A145EFB" w14:textId="77777777" w:rsidR="00AC5296" w:rsidRDefault="00AC5296" w:rsidP="00AC5296">
      <w:pPr>
        <w:autoSpaceDE w:val="0"/>
        <w:autoSpaceDN w:val="0"/>
        <w:adjustRightInd w:val="0"/>
        <w:spacing w:after="0"/>
        <w:ind w:firstLine="0"/>
        <w:rPr>
          <w:rFonts w:eastAsia="Calibri"/>
          <w:lang w:eastAsia="en-US"/>
        </w:rPr>
      </w:pPr>
    </w:p>
    <w:p w14:paraId="02DC0BED" w14:textId="7C012F7E" w:rsidR="00056FE1" w:rsidRPr="00AC5296" w:rsidRDefault="00AC5296" w:rsidP="00AC5296">
      <w:pPr>
        <w:autoSpaceDE w:val="0"/>
        <w:autoSpaceDN w:val="0"/>
        <w:adjustRightInd w:val="0"/>
        <w:spacing w:after="0"/>
        <w:ind w:firstLine="0"/>
        <w:rPr>
          <w:rFonts w:eastAsia="Calibri"/>
          <w:lang w:eastAsia="en-US"/>
        </w:rPr>
      </w:pPr>
      <w:r>
        <w:rPr>
          <w:rFonts w:eastAsia="Calibri"/>
          <w:lang w:eastAsia="en-US"/>
        </w:rPr>
        <w:t xml:space="preserve">                   </w:t>
      </w:r>
    </w:p>
    <w:p w14:paraId="4EC222CB" w14:textId="6F3EA336" w:rsidR="00056FE1" w:rsidRDefault="00056FE1" w:rsidP="00056FE1">
      <w:pPr>
        <w:spacing w:after="160" w:line="259" w:lineRule="auto"/>
        <w:ind w:firstLine="0"/>
        <w:jc w:val="left"/>
        <w:rPr>
          <w:rFonts w:ascii="Calibri" w:eastAsia="Calibri" w:hAnsi="Calibri"/>
          <w:sz w:val="22"/>
          <w:szCs w:val="22"/>
          <w:lang w:eastAsia="en-US"/>
        </w:rPr>
      </w:pPr>
    </w:p>
    <w:p w14:paraId="08BD9939" w14:textId="6EF39933" w:rsidR="00056FE1" w:rsidRPr="00056FE1" w:rsidRDefault="00056FE1" w:rsidP="00056FE1">
      <w:pPr>
        <w:autoSpaceDE w:val="0"/>
        <w:autoSpaceDN w:val="0"/>
        <w:adjustRightInd w:val="0"/>
        <w:spacing w:before="120" w:after="120"/>
        <w:ind w:firstLine="0"/>
        <w:jc w:val="left"/>
        <w:rPr>
          <w:rFonts w:eastAsia="Calibri"/>
          <w:b/>
          <w:lang w:eastAsia="en-US"/>
        </w:rPr>
      </w:pPr>
      <w:r w:rsidRPr="00056FE1">
        <w:rPr>
          <w:rFonts w:eastAsia="Calibri"/>
          <w:b/>
          <w:lang w:eastAsia="en-US"/>
        </w:rPr>
        <w:lastRenderedPageBreak/>
        <w:t>Opatrenie č. 3 Dobrovoľnícke činnosti</w:t>
      </w:r>
    </w:p>
    <w:p w14:paraId="6CABD128" w14:textId="77777777" w:rsidR="00056FE1" w:rsidRPr="00056FE1" w:rsidRDefault="00056FE1" w:rsidP="00056FE1">
      <w:pPr>
        <w:spacing w:before="120" w:after="120"/>
        <w:ind w:firstLine="0"/>
        <w:rPr>
          <w:color w:val="000000"/>
        </w:rPr>
      </w:pPr>
      <w:r w:rsidRPr="00056FE1">
        <w:rPr>
          <w:color w:val="000000"/>
        </w:rPr>
        <w:t xml:space="preserve">V rámci tohto opatrenia boli poskytované príspevky na vykonávanie </w:t>
      </w:r>
      <w:r w:rsidRPr="00056FE1">
        <w:rPr>
          <w:bCs/>
          <w:color w:val="000000"/>
        </w:rPr>
        <w:t>dobrovoľníckej</w:t>
      </w:r>
      <w:r w:rsidRPr="00056FE1">
        <w:rPr>
          <w:b/>
          <w:bCs/>
          <w:color w:val="000000"/>
        </w:rPr>
        <w:t xml:space="preserve"> </w:t>
      </w:r>
      <w:r w:rsidRPr="00056FE1">
        <w:rPr>
          <w:bCs/>
          <w:color w:val="000000"/>
        </w:rPr>
        <w:t>činnosti</w:t>
      </w:r>
      <w:r w:rsidRPr="00056FE1">
        <w:rPr>
          <w:color w:val="000000"/>
        </w:rPr>
        <w:t xml:space="preserve"> účastníkmi dobrovoľníckej činnosti a oprávnenými subjektami, ktoré organizujú a zabezpečujú uvedenú dobrovoľnícku činnosť. </w:t>
      </w:r>
      <w:r w:rsidRPr="00056FE1">
        <w:rPr>
          <w:bCs/>
          <w:color w:val="000000"/>
        </w:rPr>
        <w:t>Dobrovoľníckou činnosťou sa v zmysle tohto projektu rozumie</w:t>
      </w:r>
      <w:r w:rsidRPr="00056FE1">
        <w:rPr>
          <w:color w:val="000000"/>
        </w:rPr>
        <w:t xml:space="preserve"> forma aktivácie odídenca vykonávaním dobrovoľníckej činnosti, ktorej cieľom je </w:t>
      </w:r>
      <w:r w:rsidRPr="00056FE1">
        <w:rPr>
          <w:bCs/>
          <w:color w:val="000000"/>
        </w:rPr>
        <w:t xml:space="preserve">získanie praktických skúseností pre potreby TP, ako aj </w:t>
      </w:r>
      <w:r w:rsidRPr="00056FE1">
        <w:rPr>
          <w:color w:val="000000"/>
        </w:rPr>
        <w:t>podpora udržiavania a rozvíjanie pracovných návykov. Dobrovoľnícka činnosť sa vykonáva najviac počas 6 mesiacov.</w:t>
      </w:r>
    </w:p>
    <w:p w14:paraId="1683E73E" w14:textId="77777777" w:rsidR="00056FE1" w:rsidRPr="00056FE1" w:rsidRDefault="00056FE1" w:rsidP="00056FE1">
      <w:pPr>
        <w:autoSpaceDE w:val="0"/>
        <w:autoSpaceDN w:val="0"/>
        <w:adjustRightInd w:val="0"/>
        <w:spacing w:before="120" w:after="0"/>
        <w:ind w:firstLine="0"/>
        <w:rPr>
          <w:rFonts w:eastAsia="Calibri"/>
          <w:lang w:eastAsia="en-US"/>
        </w:rPr>
      </w:pPr>
      <w:r w:rsidRPr="00056FE1">
        <w:rPr>
          <w:rFonts w:eastAsia="Calibri"/>
          <w:lang w:eastAsia="en-US"/>
        </w:rPr>
        <w:t>V rámci opatrenia bolo v roku 2023 predložených 299 žiadostí odídencov, z ktorých bolo schválených 297 žiadostí o zaradenie na dobrovoľnícku činnosť, čo predstavuje 99,33 %. Zároveň bolo predložených 128 žiadostí zamestnávateľov, z ktorých bolo schválených 92,19 % (118) žiadostí. V rámci opatrenia bolo v roku 2023</w:t>
      </w:r>
      <w:r w:rsidRPr="00056FE1">
        <w:rPr>
          <w:rFonts w:ascii="Calibri" w:eastAsia="Calibri" w:hAnsi="Calibri"/>
          <w:sz w:val="22"/>
          <w:szCs w:val="22"/>
          <w:lang w:eastAsia="en-US"/>
        </w:rPr>
        <w:t xml:space="preserve"> </w:t>
      </w:r>
      <w:r w:rsidRPr="00056FE1">
        <w:rPr>
          <w:rFonts w:eastAsia="Calibri"/>
          <w:lang w:eastAsia="en-US"/>
        </w:rPr>
        <w:t>s odídencami a zamestnávateľmi vyčerpaných 609 646,20 eur.</w:t>
      </w:r>
    </w:p>
    <w:p w14:paraId="1D387DEB" w14:textId="07E524A0" w:rsidR="00056FE1" w:rsidRPr="001B76D3" w:rsidRDefault="00056FE1" w:rsidP="001B76D3">
      <w:pPr>
        <w:autoSpaceDE w:val="0"/>
        <w:autoSpaceDN w:val="0"/>
        <w:adjustRightInd w:val="0"/>
        <w:spacing w:before="120" w:after="120"/>
        <w:ind w:firstLine="0"/>
        <w:rPr>
          <w:rFonts w:eastAsia="Calibri"/>
          <w:lang w:eastAsia="en-US"/>
        </w:rPr>
      </w:pPr>
      <w:r w:rsidRPr="00056FE1">
        <w:rPr>
          <w:rFonts w:eastAsia="Calibri"/>
          <w:lang w:eastAsia="en-US"/>
        </w:rPr>
        <w:t>Z hľadiska vekovej štruktúry bolo najviac zaradených vo veku od 50 a viac rokov v počte 158 odídencov, čo je 46,06 % z celkového počtu zaradených. Ďalšiu skupinu tvorili odídenci vo veku od 30 do 49 rokov v počte 149 (43,44 %) a treťou najviac zastúpenou skupinou boli odídenci vo veku do 24 rokov v počte 22, čo je 6,41 % z celkového počtu zaradených - v štruktúre podľa grafu</w:t>
      </w:r>
      <w:r w:rsidR="001B76D3">
        <w:rPr>
          <w:rFonts w:eastAsia="Calibri"/>
          <w:lang w:eastAsia="en-US"/>
        </w:rPr>
        <w:t>.</w:t>
      </w:r>
    </w:p>
    <w:p w14:paraId="1B435400" w14:textId="77777777" w:rsidR="00056FE1" w:rsidRDefault="00056FE1" w:rsidP="00056FE1">
      <w:pPr>
        <w:spacing w:after="160" w:line="259" w:lineRule="auto"/>
        <w:ind w:firstLine="0"/>
        <w:jc w:val="left"/>
        <w:rPr>
          <w:rFonts w:ascii="Calibri" w:eastAsia="Calibri" w:hAnsi="Calibri"/>
          <w:sz w:val="22"/>
          <w:szCs w:val="22"/>
          <w:lang w:eastAsia="en-US"/>
        </w:rPr>
      </w:pPr>
      <w:r>
        <w:rPr>
          <w:rFonts w:ascii="Calibri" w:eastAsia="Calibri" w:hAnsi="Calibri"/>
          <w:bCs/>
          <w:iCs/>
          <w:noProof/>
          <w:sz w:val="22"/>
          <w:szCs w:val="22"/>
        </w:rPr>
        <w:drawing>
          <wp:inline distT="0" distB="0" distL="0" distR="0" wp14:anchorId="0FF00912" wp14:editId="18064B48">
            <wp:extent cx="5796501" cy="2877820"/>
            <wp:effectExtent l="0" t="0" r="13970" b="17780"/>
            <wp:docPr id="455" name="Graf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0FA3D40" w14:textId="77777777" w:rsidR="00056FE1" w:rsidRPr="00056FE1" w:rsidRDefault="00056FE1" w:rsidP="00056FE1">
      <w:pPr>
        <w:spacing w:before="120" w:after="120" w:line="259" w:lineRule="auto"/>
        <w:ind w:firstLine="0"/>
        <w:rPr>
          <w:rFonts w:eastAsia="Calibri"/>
          <w:bCs/>
          <w:iCs/>
          <w:lang w:eastAsia="en-US"/>
        </w:rPr>
      </w:pPr>
      <w:r w:rsidRPr="00056FE1">
        <w:rPr>
          <w:rFonts w:eastAsia="Calibri"/>
          <w:bCs/>
          <w:iCs/>
          <w:lang w:eastAsia="en-US"/>
        </w:rPr>
        <w:t>Opatrenie bolo určené pre vybrané skupiny zamestnávateľov, ktorí vykonávajú činnosti                                 vo vymedzených oblastiach, ktoré sú stanovené projektom. Z hľadiska právnej formy tvorili v roku 2023 najväčšiu skupinu zamestnávateľov združenia v počte 37, čo predstavuje                         31,36 % z celkového počtu schválených žiadostí. Druhú početne zastúpenú skupinu zamestnávateľov tvorili rozpočtové organizácie v počte 22, čo je 18,64 % z celkového počtu zamestnávateľov a tretiu najviac zatupenú skupinu tvorili mestá a obce, čo predstavuje 16,95 %         (20 zamestnávateľov).</w:t>
      </w:r>
    </w:p>
    <w:p w14:paraId="1B0C6B09" w14:textId="0C83AF15" w:rsidR="00056FE1" w:rsidRDefault="00056FE1" w:rsidP="00056FE1">
      <w:pPr>
        <w:spacing w:before="120" w:after="120" w:line="259" w:lineRule="auto"/>
        <w:ind w:firstLine="0"/>
        <w:rPr>
          <w:rFonts w:eastAsia="Calibri"/>
          <w:bCs/>
          <w:iCs/>
          <w:lang w:eastAsia="en-US"/>
        </w:rPr>
      </w:pPr>
      <w:r w:rsidRPr="00056FE1">
        <w:rPr>
          <w:rFonts w:eastAsia="Calibri"/>
          <w:bCs/>
          <w:iCs/>
          <w:lang w:eastAsia="en-US"/>
        </w:rPr>
        <w:t>Z hľadiska profesie zaradených odídencov na dobrovoľnícku činnosť najväčšiu skupinu tvorili pomocní a nekvalifikovaní pracovníci v počte 176, čo predstavuje 51,03 % z celkového počtu zaradených. Nasledujúcu skupinu tvorili technici a odborní pracovníci v počte 52 (15,20 %) a pracovníci v službách a obchode, ktorí boli zastúpení v počte  50, čo je 14,06 % z celkového počtu zarade</w:t>
      </w:r>
      <w:r w:rsidR="001B76D3">
        <w:rPr>
          <w:rFonts w:eastAsia="Calibri"/>
          <w:bCs/>
          <w:iCs/>
          <w:lang w:eastAsia="en-US"/>
        </w:rPr>
        <w:t xml:space="preserve">ných na dobrovoľnícku činnosť, </w:t>
      </w:r>
      <w:r w:rsidRPr="00056FE1">
        <w:rPr>
          <w:rFonts w:eastAsia="Calibri"/>
          <w:bCs/>
          <w:iCs/>
          <w:lang w:eastAsia="en-US"/>
        </w:rPr>
        <w:t xml:space="preserve">v štruktúre podľa </w:t>
      </w:r>
      <w:r w:rsidR="001B76D3">
        <w:rPr>
          <w:rFonts w:eastAsia="Calibri"/>
          <w:bCs/>
          <w:iCs/>
          <w:lang w:eastAsia="en-US"/>
        </w:rPr>
        <w:t xml:space="preserve">nasledujúceho </w:t>
      </w:r>
      <w:r w:rsidRPr="00056FE1">
        <w:rPr>
          <w:rFonts w:eastAsia="Calibri"/>
          <w:bCs/>
          <w:iCs/>
          <w:lang w:eastAsia="en-US"/>
        </w:rPr>
        <w:t>grafu.</w:t>
      </w:r>
      <w:r>
        <w:rPr>
          <w:rFonts w:eastAsia="Calibri"/>
          <w:bCs/>
          <w:iCs/>
          <w:lang w:eastAsia="en-US"/>
        </w:rPr>
        <w:t xml:space="preserve"> </w:t>
      </w:r>
    </w:p>
    <w:p w14:paraId="4673073F" w14:textId="77777777" w:rsidR="00056FE1" w:rsidRDefault="00056FE1" w:rsidP="00056FE1">
      <w:pPr>
        <w:spacing w:before="120"/>
        <w:ind w:firstLine="0"/>
        <w:rPr>
          <w:rFonts w:eastAsia="Calibri"/>
          <w:sz w:val="20"/>
          <w:szCs w:val="20"/>
        </w:rPr>
      </w:pPr>
    </w:p>
    <w:p w14:paraId="3547B2E6" w14:textId="77777777" w:rsidR="00056FE1" w:rsidRDefault="00056FE1" w:rsidP="00056FE1">
      <w:pPr>
        <w:spacing w:before="120" w:after="160" w:line="259" w:lineRule="auto"/>
        <w:ind w:firstLine="0"/>
        <w:jc w:val="left"/>
        <w:rPr>
          <w:rFonts w:ascii="Calibri" w:eastAsia="Calibri" w:hAnsi="Calibri"/>
          <w:bCs/>
          <w:iCs/>
          <w:sz w:val="22"/>
          <w:szCs w:val="22"/>
          <w:lang w:eastAsia="en-US"/>
        </w:rPr>
      </w:pPr>
      <w:r>
        <w:rPr>
          <w:rFonts w:ascii="Calibri" w:eastAsia="Calibri" w:hAnsi="Calibri"/>
          <w:bCs/>
          <w:iCs/>
          <w:noProof/>
          <w:sz w:val="22"/>
          <w:szCs w:val="22"/>
        </w:rPr>
        <w:lastRenderedPageBreak/>
        <w:drawing>
          <wp:inline distT="0" distB="0" distL="0" distR="0" wp14:anchorId="2A4FE557" wp14:editId="0E72065D">
            <wp:extent cx="5857240" cy="3037398"/>
            <wp:effectExtent l="0" t="0" r="10160" b="10795"/>
            <wp:docPr id="456" name="Graf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AA6F6E7" w14:textId="77777777" w:rsidR="00056FE1" w:rsidRDefault="00056FE1" w:rsidP="00056FE1">
      <w:pPr>
        <w:autoSpaceDE w:val="0"/>
        <w:autoSpaceDN w:val="0"/>
        <w:adjustRightInd w:val="0"/>
        <w:spacing w:before="120" w:after="0"/>
        <w:ind w:firstLine="0"/>
        <w:jc w:val="left"/>
        <w:rPr>
          <w:rFonts w:eastAsia="Calibri"/>
          <w:b/>
          <w:lang w:eastAsia="en-US"/>
        </w:rPr>
      </w:pPr>
      <w:r>
        <w:rPr>
          <w:rFonts w:eastAsia="Calibri"/>
          <w:b/>
          <w:lang w:eastAsia="en-US"/>
        </w:rPr>
        <w:t>Opatrenie č. 4 Zapracovanie u zamestnávateľa</w:t>
      </w:r>
    </w:p>
    <w:p w14:paraId="125AAB20" w14:textId="77777777" w:rsidR="00056FE1" w:rsidRPr="00056FE1" w:rsidRDefault="00056FE1" w:rsidP="00056FE1">
      <w:pPr>
        <w:spacing w:before="120" w:after="120"/>
        <w:ind w:firstLine="0"/>
        <w:rPr>
          <w:b/>
          <w:szCs w:val="20"/>
          <w:lang w:eastAsia="x-none"/>
        </w:rPr>
      </w:pPr>
      <w:r w:rsidRPr="00056FE1">
        <w:rPr>
          <w:color w:val="000000"/>
        </w:rPr>
        <w:t xml:space="preserve">V rámci tohto opatrenia boli poskytované príspevky na vykonávanie mentorovaného zapracovania u zamestnávateľa pre odídenca a pre zamestnávateľa, ktorý zapracovanie zabezpečí. </w:t>
      </w:r>
      <w:r w:rsidRPr="00056FE1">
        <w:rPr>
          <w:rFonts w:eastAsia="Calibri"/>
          <w:bCs/>
          <w:lang w:eastAsia="en-US"/>
        </w:rPr>
        <w:t>Počas mentorovaného zapracovania si odídenci budú osvojovať teoretické a praktické zručnosti pod vedením mentora, ktorého určí zamestnávateľ z radov svojich zamestnancov.</w:t>
      </w:r>
      <w:r w:rsidRPr="00056FE1">
        <w:rPr>
          <w:color w:val="000000"/>
        </w:rPr>
        <w:t xml:space="preserve"> </w:t>
      </w:r>
      <w:r w:rsidRPr="00056FE1">
        <w:rPr>
          <w:szCs w:val="20"/>
        </w:rPr>
        <w:t>Mentorované zapracovanie</w:t>
      </w:r>
      <w:r w:rsidRPr="00056FE1">
        <w:rPr>
          <w:szCs w:val="20"/>
          <w:lang w:eastAsia="x-none"/>
        </w:rPr>
        <w:t xml:space="preserve"> </w:t>
      </w:r>
      <w:r w:rsidRPr="00056FE1">
        <w:rPr>
          <w:szCs w:val="20"/>
          <w:lang w:val="x-none" w:eastAsia="x-none"/>
        </w:rPr>
        <w:t xml:space="preserve">sa vykonáva v rozsahu </w:t>
      </w:r>
      <w:r w:rsidRPr="00056FE1">
        <w:rPr>
          <w:szCs w:val="20"/>
          <w:lang w:eastAsia="x-none"/>
        </w:rPr>
        <w:t>4</w:t>
      </w:r>
      <w:r w:rsidRPr="00056FE1">
        <w:rPr>
          <w:szCs w:val="20"/>
          <w:lang w:val="x-none" w:eastAsia="x-none"/>
        </w:rPr>
        <w:t xml:space="preserve"> hodiny denne</w:t>
      </w:r>
      <w:r w:rsidRPr="00056FE1">
        <w:rPr>
          <w:szCs w:val="20"/>
          <w:lang w:eastAsia="x-none"/>
        </w:rPr>
        <w:t xml:space="preserve"> (v odporučenom rozsahu 80 hodín mesačne),</w:t>
      </w:r>
      <w:r w:rsidRPr="00056FE1">
        <w:rPr>
          <w:szCs w:val="20"/>
          <w:lang w:val="x-none" w:eastAsia="x-none"/>
        </w:rPr>
        <w:t xml:space="preserve"> nepretržite</w:t>
      </w:r>
      <w:r w:rsidRPr="00056FE1">
        <w:rPr>
          <w:szCs w:val="20"/>
          <w:lang w:eastAsia="x-none"/>
        </w:rPr>
        <w:t>,</w:t>
      </w:r>
      <w:r w:rsidRPr="00056FE1">
        <w:rPr>
          <w:szCs w:val="20"/>
          <w:lang w:val="x-none" w:eastAsia="x-none"/>
        </w:rPr>
        <w:t xml:space="preserve"> </w:t>
      </w:r>
      <w:r w:rsidRPr="00056FE1">
        <w:rPr>
          <w:szCs w:val="20"/>
          <w:lang w:eastAsia="x-none"/>
        </w:rPr>
        <w:t>najviac počas 3 mesiacov.</w:t>
      </w:r>
    </w:p>
    <w:p w14:paraId="3B63AEBC" w14:textId="77777777" w:rsidR="00056FE1" w:rsidRPr="00056FE1" w:rsidRDefault="00056FE1" w:rsidP="00056FE1">
      <w:pPr>
        <w:spacing w:after="120"/>
        <w:ind w:firstLine="0"/>
        <w:rPr>
          <w:color w:val="000000"/>
        </w:rPr>
      </w:pPr>
      <w:r w:rsidRPr="00056FE1">
        <w:rPr>
          <w:rFonts w:eastAsia="Calibri"/>
          <w:lang w:eastAsia="en-US"/>
        </w:rPr>
        <w:t>V rámci opatrenia bolo v roku 2023 predložených 171 žiadostí odídencov, z ktorých bolo schválených 170 žiadostí o zaradenie na zapracovanie u zamestnávateľa, čo predstavuje                              99,42 %. Zároveň bolo predložených 106 žiadostí zamestnávateľov, z ktorých bolo schválených 97,17 % (103)  žiadostí. Do opatrenia bolo zaradených 189 odídencov z toho 163 žien (86,24 %) a 26 mužov (13,76 %). V rámci opatrenia bolo v roku 2023 vyčerpaných 204 610,73 eur.</w:t>
      </w:r>
    </w:p>
    <w:p w14:paraId="1B3AB505" w14:textId="31AA3F9B" w:rsidR="00056FE1" w:rsidRPr="001B76D3" w:rsidRDefault="00056FE1" w:rsidP="001B76D3">
      <w:pPr>
        <w:autoSpaceDE w:val="0"/>
        <w:autoSpaceDN w:val="0"/>
        <w:adjustRightInd w:val="0"/>
        <w:spacing w:after="120"/>
        <w:ind w:firstLine="0"/>
        <w:rPr>
          <w:rFonts w:eastAsia="Calibri"/>
          <w:lang w:eastAsia="en-US"/>
        </w:rPr>
      </w:pPr>
      <w:r w:rsidRPr="00056FE1">
        <w:rPr>
          <w:rFonts w:eastAsia="Calibri"/>
          <w:lang w:eastAsia="en-US"/>
        </w:rPr>
        <w:t xml:space="preserve">Z hľadiska vekovej štruktúry bolo najviac zaradených vo veku od 30 do 49 rokov v počte 87 odídencov, čo je 46,03 % z celkového počtu zaradených. Ďalšiu skupinu tvorili odídenci vo veku nad 50 rokov v počte 18 (36,51 %) a treťou najviac zastúpenou skupinou boli odídenci vo veku do 24 rokov v počte 18, čo je 9,52 % z celkového počtu zaradených na zapracovanie u zamestnávateľa </w:t>
      </w:r>
      <w:r w:rsidRPr="00056FE1">
        <w:rPr>
          <w:rFonts w:eastAsia="Calibri"/>
          <w:bCs/>
          <w:iCs/>
          <w:lang w:eastAsia="en-US"/>
        </w:rPr>
        <w:t>-</w:t>
      </w:r>
      <w:r w:rsidR="001B76D3">
        <w:rPr>
          <w:rFonts w:eastAsia="Calibri"/>
          <w:bCs/>
          <w:iCs/>
          <w:lang w:eastAsia="en-US"/>
        </w:rPr>
        <w:t xml:space="preserve"> v štruktúre podľa grafu dolu.</w:t>
      </w:r>
    </w:p>
    <w:p w14:paraId="363F2F33" w14:textId="77777777" w:rsidR="00056FE1" w:rsidRDefault="00056FE1" w:rsidP="00056FE1">
      <w:pPr>
        <w:spacing w:after="160" w:line="259" w:lineRule="auto"/>
        <w:ind w:firstLine="0"/>
        <w:jc w:val="left"/>
        <w:rPr>
          <w:rFonts w:ascii="Calibri" w:eastAsia="Calibri" w:hAnsi="Calibri"/>
          <w:sz w:val="22"/>
          <w:szCs w:val="22"/>
          <w:lang w:eastAsia="en-US"/>
        </w:rPr>
      </w:pPr>
      <w:r>
        <w:rPr>
          <w:rFonts w:ascii="Calibri" w:eastAsia="Calibri" w:hAnsi="Calibri"/>
          <w:bCs/>
          <w:iCs/>
          <w:noProof/>
          <w:sz w:val="22"/>
          <w:szCs w:val="22"/>
        </w:rPr>
        <w:drawing>
          <wp:inline distT="0" distB="0" distL="0" distR="0" wp14:anchorId="5B174A2E" wp14:editId="2F4FCA1C">
            <wp:extent cx="5915660" cy="2870421"/>
            <wp:effectExtent l="0" t="0" r="8890" b="6350"/>
            <wp:docPr id="457" name="Graf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1027BB7" w14:textId="77777777" w:rsidR="00056FE1" w:rsidRPr="00056FE1" w:rsidRDefault="00056FE1" w:rsidP="00056FE1">
      <w:pPr>
        <w:spacing w:after="160" w:line="259" w:lineRule="auto"/>
        <w:ind w:firstLine="0"/>
        <w:rPr>
          <w:rFonts w:ascii="Calibri" w:eastAsia="Calibri" w:hAnsi="Calibri"/>
          <w:sz w:val="22"/>
          <w:szCs w:val="22"/>
          <w:lang w:eastAsia="en-US"/>
        </w:rPr>
      </w:pPr>
      <w:r w:rsidRPr="00056FE1">
        <w:rPr>
          <w:rFonts w:eastAsia="Calibri"/>
          <w:bCs/>
          <w:iCs/>
          <w:lang w:eastAsia="en-US"/>
        </w:rPr>
        <w:lastRenderedPageBreak/>
        <w:t>Z hľadiska právnej formy tvorili v roku 2023 v rámci zapracovania najväčšiu skupinu zamestnávateľov spoločnosti s.r.o v počte 33, čo predstavuje 32,04 % z celkového počtu schválených žiadostí. Druhú početne zastúpenú skupinu zamestnávateľov tvorili živnostníci v počte 18, čo je 17,48 % z celkového počtu zamestnávateľov a tretiu najviac zastúpenú skupinu tvorili obce a mestá, čo predstavuje 11,65 % (12 zamestnávateľov).</w:t>
      </w:r>
    </w:p>
    <w:p w14:paraId="4750DA32" w14:textId="3FCC1709" w:rsidR="00056FE1" w:rsidRDefault="00056FE1" w:rsidP="00056FE1">
      <w:pPr>
        <w:autoSpaceDE w:val="0"/>
        <w:autoSpaceDN w:val="0"/>
        <w:adjustRightInd w:val="0"/>
        <w:spacing w:after="0"/>
        <w:ind w:firstLine="0"/>
        <w:rPr>
          <w:rFonts w:eastAsia="Calibri"/>
          <w:lang w:eastAsia="en-US"/>
        </w:rPr>
      </w:pPr>
      <w:r w:rsidRPr="00056FE1">
        <w:rPr>
          <w:rFonts w:eastAsia="Calibri"/>
          <w:bCs/>
          <w:iCs/>
          <w:lang w:eastAsia="en-US"/>
        </w:rPr>
        <w:t>Z hľadiska profesie zaradených odídencov na zapracovanie u zamestnávateľa najväčšiu skupinu tvorili pomocní a nekvalifikovaní pracovníci v počte 72, čo predstavuje 38,50 % z celkového počtu zaradených. Nasledujúcu skupinu tvorili administratívni pracovníci v počte 45 (23,53 %) a pracovníci v službách a obchode, ktorí boli zastúpení v počte 44, čo je 23,53 % z celkového poč</w:t>
      </w:r>
      <w:r w:rsidR="00334555">
        <w:rPr>
          <w:rFonts w:eastAsia="Calibri"/>
          <w:bCs/>
          <w:iCs/>
          <w:lang w:eastAsia="en-US"/>
        </w:rPr>
        <w:t xml:space="preserve">tu zaradených na zapracovanie, </w:t>
      </w:r>
      <w:r w:rsidRPr="00056FE1">
        <w:rPr>
          <w:rFonts w:eastAsia="Calibri"/>
          <w:bCs/>
          <w:iCs/>
          <w:lang w:eastAsia="en-US"/>
        </w:rPr>
        <w:t>v štruktúre podľa grafu.</w:t>
      </w:r>
    </w:p>
    <w:p w14:paraId="3C78C88E" w14:textId="6D0A7308" w:rsidR="005D6BB1" w:rsidRPr="00C35CA8" w:rsidRDefault="00056FE1" w:rsidP="001B76D3">
      <w:pPr>
        <w:spacing w:before="120"/>
        <w:ind w:firstLine="0"/>
        <w:rPr>
          <w:rFonts w:ascii="Calibri" w:eastAsia="Calibri" w:hAnsi="Calibri"/>
          <w:sz w:val="22"/>
          <w:szCs w:val="22"/>
          <w:lang w:eastAsia="en-US"/>
        </w:rPr>
      </w:pPr>
      <w:r>
        <w:rPr>
          <w:rFonts w:ascii="Calibri" w:eastAsia="Calibri" w:hAnsi="Calibri"/>
          <w:bCs/>
          <w:iCs/>
          <w:noProof/>
          <w:sz w:val="22"/>
          <w:szCs w:val="22"/>
        </w:rPr>
        <w:drawing>
          <wp:inline distT="0" distB="0" distL="0" distR="0" wp14:anchorId="725D7555" wp14:editId="5C0B753B">
            <wp:extent cx="5850890" cy="3124862"/>
            <wp:effectExtent l="0" t="0" r="16510" b="18415"/>
            <wp:docPr id="459" name="Graf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5E14CCC" w14:textId="77777777" w:rsidR="00671BE6" w:rsidRPr="00671BE6" w:rsidRDefault="00671BE6" w:rsidP="00E226E5">
      <w:pPr>
        <w:pStyle w:val="Nadpis30"/>
        <w:spacing w:after="0"/>
        <w:ind w:hanging="6"/>
        <w:rPr>
          <w:color w:val="auto"/>
        </w:rPr>
      </w:pPr>
      <w:bookmarkStart w:id="204" w:name="_Toc173741587"/>
      <w:r w:rsidRPr="00671BE6">
        <w:rPr>
          <w:color w:val="auto"/>
        </w:rPr>
        <w:t>6.4.4 Projekt „Podpora udržania pracovných návykov - PUPN“</w:t>
      </w:r>
      <w:bookmarkEnd w:id="204"/>
    </w:p>
    <w:p w14:paraId="7F4BE94D" w14:textId="77777777" w:rsidR="00671BE6" w:rsidRPr="00671BE6" w:rsidRDefault="00671BE6" w:rsidP="00671BE6">
      <w:pPr>
        <w:spacing w:before="120" w:after="0"/>
        <w:ind w:hanging="6"/>
      </w:pPr>
      <w:r w:rsidRPr="00671BE6">
        <w:rPr>
          <w:bCs/>
        </w:rPr>
        <w:t>Projekt</w:t>
      </w:r>
      <w:r w:rsidRPr="00671BE6">
        <w:t xml:space="preserve"> sa realizuje od 01.apríla 2023 do 30.06.2024 na celom území SR.</w:t>
      </w:r>
    </w:p>
    <w:p w14:paraId="1E421BD9" w14:textId="77777777" w:rsidR="00671BE6" w:rsidRPr="00671BE6" w:rsidRDefault="00671BE6" w:rsidP="00671BE6">
      <w:pPr>
        <w:spacing w:after="0"/>
      </w:pPr>
      <w:r w:rsidRPr="00671BE6">
        <w:t xml:space="preserve">Cieľom projektu je podpora zvýšenia zamestnateľnosti, udržiavania pracovných návykov a rozvoja zručností uchádzača o zamestnanie </w:t>
      </w:r>
      <w:r w:rsidRPr="00671BE6">
        <w:rPr>
          <w:bCs/>
        </w:rPr>
        <w:t>(ďalej len „UoZ“)</w:t>
      </w:r>
      <w:r w:rsidRPr="00671BE6">
        <w:rPr>
          <w:b/>
          <w:bCs/>
        </w:rPr>
        <w:t xml:space="preserve"> </w:t>
      </w:r>
      <w:r w:rsidRPr="00671BE6">
        <w:rPr>
          <w:bCs/>
        </w:rPr>
        <w:t xml:space="preserve">z cieľovej skupiny projektu </w:t>
      </w:r>
      <w:r w:rsidRPr="00671BE6">
        <w:t>formou menších obecných služieb pre oprávneného žiadateľa. Cieľom projektu je taktiež preklenutie prechodného obdobia a postupné utlmovanie podpory aktivácie a aktivačných prác.</w:t>
      </w:r>
    </w:p>
    <w:p w14:paraId="653EF849" w14:textId="77777777" w:rsidR="00671BE6" w:rsidRPr="00671BE6" w:rsidRDefault="00671BE6" w:rsidP="00671BE6">
      <w:pPr>
        <w:spacing w:before="120" w:after="0"/>
        <w:ind w:hanging="6"/>
        <w:rPr>
          <w:rFonts w:eastAsia="Calibri"/>
          <w:b/>
          <w:lang w:eastAsia="en-US"/>
        </w:rPr>
      </w:pPr>
      <w:r w:rsidRPr="00671BE6">
        <w:rPr>
          <w:rFonts w:eastAsia="Calibri"/>
          <w:b/>
          <w:lang w:eastAsia="en-US"/>
        </w:rPr>
        <w:t>Oprávnení žiadatelia:</w:t>
      </w:r>
    </w:p>
    <w:p w14:paraId="3BC7E50E" w14:textId="77777777" w:rsidR="00671BE6" w:rsidRPr="00671BE6" w:rsidRDefault="00671BE6" w:rsidP="00671BE6">
      <w:pPr>
        <w:numPr>
          <w:ilvl w:val="0"/>
          <w:numId w:val="34"/>
        </w:numPr>
        <w:spacing w:after="0"/>
      </w:pPr>
      <w:r w:rsidRPr="00671BE6">
        <w:t>obec,</w:t>
      </w:r>
    </w:p>
    <w:p w14:paraId="7EAB306F" w14:textId="77777777" w:rsidR="00671BE6" w:rsidRPr="00671BE6" w:rsidRDefault="00671BE6" w:rsidP="00671BE6">
      <w:pPr>
        <w:numPr>
          <w:ilvl w:val="0"/>
          <w:numId w:val="34"/>
        </w:numPr>
        <w:spacing w:after="0"/>
      </w:pPr>
      <w:r w:rsidRPr="00671BE6">
        <w:t>samosprávny kraj,</w:t>
      </w:r>
    </w:p>
    <w:p w14:paraId="086E172D" w14:textId="77777777" w:rsidR="00671BE6" w:rsidRPr="00671BE6" w:rsidRDefault="00671BE6" w:rsidP="00671BE6">
      <w:pPr>
        <w:numPr>
          <w:ilvl w:val="0"/>
          <w:numId w:val="34"/>
        </w:numPr>
        <w:spacing w:after="0"/>
      </w:pPr>
      <w:r w:rsidRPr="00671BE6">
        <w:t>rozpočtová organizácia, ktorej zriaďovateľom je obec,</w:t>
      </w:r>
    </w:p>
    <w:p w14:paraId="027BCEC7" w14:textId="77777777" w:rsidR="00671BE6" w:rsidRPr="00671BE6" w:rsidRDefault="00671BE6" w:rsidP="00671BE6">
      <w:pPr>
        <w:numPr>
          <w:ilvl w:val="0"/>
          <w:numId w:val="34"/>
        </w:numPr>
        <w:spacing w:after="0"/>
      </w:pPr>
      <w:r w:rsidRPr="00671BE6">
        <w:t>príspevková organizácia, ktorej zriaďovateľom je obec,</w:t>
      </w:r>
    </w:p>
    <w:p w14:paraId="62B848F6" w14:textId="77777777" w:rsidR="00671BE6" w:rsidRPr="00671BE6" w:rsidRDefault="00671BE6" w:rsidP="00671BE6">
      <w:pPr>
        <w:numPr>
          <w:ilvl w:val="0"/>
          <w:numId w:val="34"/>
        </w:numPr>
        <w:spacing w:after="0"/>
      </w:pPr>
      <w:r w:rsidRPr="00671BE6">
        <w:t>rozpočtová organizácia, ktorej zakladateľom alebo zriaďovateľom je samosprávny kraj,</w:t>
      </w:r>
    </w:p>
    <w:p w14:paraId="52D3E6B3" w14:textId="77777777" w:rsidR="00671BE6" w:rsidRPr="00671BE6" w:rsidRDefault="00671BE6" w:rsidP="00671BE6">
      <w:pPr>
        <w:numPr>
          <w:ilvl w:val="0"/>
          <w:numId w:val="34"/>
        </w:numPr>
        <w:spacing w:after="0"/>
      </w:pPr>
      <w:r w:rsidRPr="00671BE6">
        <w:t>príspevková organizácia, ktorej zakladateľom alebo zriaďovateľom je samosprávny kraj.</w:t>
      </w:r>
    </w:p>
    <w:p w14:paraId="7277C3D9" w14:textId="44D77CB3" w:rsidR="00671BE6" w:rsidRPr="00671BE6" w:rsidRDefault="00671BE6" w:rsidP="00671BE6">
      <w:pPr>
        <w:pStyle w:val="Normlnywebov"/>
        <w:shd w:val="clear" w:color="auto" w:fill="FFFFFF"/>
        <w:spacing w:before="120" w:beforeAutospacing="0" w:after="0" w:afterAutospacing="0"/>
        <w:ind w:firstLine="0"/>
        <w:rPr>
          <w:rFonts w:ascii="Times New Roman" w:hAnsi="Times New Roman" w:cs="Times New Roman"/>
          <w:b/>
          <w:bCs/>
          <w:sz w:val="24"/>
          <w:szCs w:val="24"/>
          <w:lang w:val="sk-SK"/>
        </w:rPr>
      </w:pPr>
      <w:r>
        <w:rPr>
          <w:rFonts w:ascii="Times New Roman" w:hAnsi="Times New Roman" w:cs="Times New Roman"/>
          <w:b/>
          <w:bCs/>
          <w:sz w:val="24"/>
          <w:szCs w:val="24"/>
          <w:lang w:val="sk-SK"/>
        </w:rPr>
        <w:t>Cieľová skupina</w:t>
      </w:r>
    </w:p>
    <w:p w14:paraId="77A15058" w14:textId="77777777" w:rsidR="00671BE6" w:rsidRPr="00671BE6" w:rsidRDefault="00671BE6" w:rsidP="00671BE6">
      <w:pPr>
        <w:pStyle w:val="Normlnywebov"/>
        <w:numPr>
          <w:ilvl w:val="0"/>
          <w:numId w:val="33"/>
        </w:numPr>
        <w:shd w:val="clear" w:color="auto" w:fill="FFFFFF"/>
        <w:spacing w:before="0" w:beforeAutospacing="0" w:after="0" w:afterAutospacing="0"/>
        <w:ind w:left="426" w:hanging="426"/>
        <w:rPr>
          <w:rFonts w:ascii="Times New Roman" w:hAnsi="Times New Roman" w:cs="Times New Roman"/>
          <w:bCs/>
          <w:sz w:val="24"/>
          <w:szCs w:val="24"/>
          <w:lang w:val="sk-SK"/>
        </w:rPr>
      </w:pPr>
      <w:r w:rsidRPr="00671BE6">
        <w:rPr>
          <w:rFonts w:ascii="Times New Roman" w:hAnsi="Times New Roman" w:cs="Times New Roman"/>
          <w:bCs/>
          <w:sz w:val="24"/>
          <w:szCs w:val="24"/>
          <w:lang w:val="sk-SK"/>
        </w:rPr>
        <w:t>UoZ podľa § 6 zákona o službách zamestnanosti, ktorý je zároveň členom domácnosti, ktorej sa poskytuje pomoc v hmotnej núdzi v zmysle zákona č. 417/2013 Z. z. o pomoci v hmotnej núdzi a o zmene a doplnení niektorých zákonov,</w:t>
      </w:r>
    </w:p>
    <w:p w14:paraId="02942B32" w14:textId="77777777" w:rsidR="00671BE6" w:rsidRPr="00671BE6" w:rsidRDefault="00671BE6" w:rsidP="00671BE6">
      <w:pPr>
        <w:pStyle w:val="Normlnywebov"/>
        <w:numPr>
          <w:ilvl w:val="0"/>
          <w:numId w:val="33"/>
        </w:numPr>
        <w:shd w:val="clear" w:color="auto" w:fill="FFFFFF"/>
        <w:spacing w:before="0" w:beforeAutospacing="0" w:after="0" w:afterAutospacing="0"/>
        <w:ind w:left="426" w:hanging="426"/>
        <w:rPr>
          <w:rFonts w:ascii="Times New Roman" w:hAnsi="Times New Roman" w:cs="Times New Roman"/>
          <w:bCs/>
          <w:sz w:val="24"/>
          <w:szCs w:val="24"/>
          <w:lang w:val="sk-SK"/>
        </w:rPr>
      </w:pPr>
      <w:r w:rsidRPr="00671BE6">
        <w:rPr>
          <w:rFonts w:ascii="Times New Roman" w:hAnsi="Times New Roman" w:cs="Times New Roman"/>
          <w:bCs/>
          <w:sz w:val="24"/>
          <w:szCs w:val="24"/>
          <w:lang w:val="sk-SK"/>
        </w:rPr>
        <w:t>UoZ podľa § 6 zákona o službách zamestnanosti, ktorý je poberateľom pomoci v hmotnej núdzi v zmysle zákona o pomoci v hmotnej núdzi.</w:t>
      </w:r>
    </w:p>
    <w:p w14:paraId="0949CDF2" w14:textId="77777777" w:rsidR="00671BE6" w:rsidRPr="00671BE6" w:rsidRDefault="00671BE6" w:rsidP="00671BE6">
      <w:pPr>
        <w:spacing w:after="0"/>
      </w:pPr>
    </w:p>
    <w:p w14:paraId="593F48A8" w14:textId="77777777" w:rsidR="00E226E5" w:rsidRDefault="00E226E5" w:rsidP="00671BE6">
      <w:pPr>
        <w:spacing w:after="0"/>
        <w:rPr>
          <w:rFonts w:eastAsia="Calibri"/>
          <w:b/>
          <w:lang w:eastAsia="en-US"/>
        </w:rPr>
      </w:pPr>
    </w:p>
    <w:p w14:paraId="558267AC" w14:textId="77777777" w:rsidR="00E226E5" w:rsidRDefault="00E226E5" w:rsidP="00671BE6">
      <w:pPr>
        <w:spacing w:after="0"/>
        <w:rPr>
          <w:rFonts w:eastAsia="Calibri"/>
          <w:b/>
          <w:lang w:eastAsia="en-US"/>
        </w:rPr>
      </w:pPr>
    </w:p>
    <w:p w14:paraId="6F6E79E8" w14:textId="112BB9C5" w:rsidR="00671BE6" w:rsidRPr="00671BE6" w:rsidRDefault="00671BE6" w:rsidP="00671BE6">
      <w:pPr>
        <w:spacing w:after="0"/>
        <w:rPr>
          <w:rFonts w:eastAsia="Calibri"/>
          <w:b/>
          <w:lang w:eastAsia="en-US"/>
        </w:rPr>
      </w:pPr>
      <w:r w:rsidRPr="00671BE6">
        <w:rPr>
          <w:rFonts w:eastAsia="Calibri"/>
          <w:b/>
          <w:lang w:eastAsia="en-US"/>
        </w:rPr>
        <w:lastRenderedPageBreak/>
        <w:t>Výška príspevku</w:t>
      </w:r>
    </w:p>
    <w:p w14:paraId="7C47A491" w14:textId="77777777" w:rsidR="00671BE6" w:rsidRPr="00671BE6" w:rsidRDefault="00671BE6" w:rsidP="00671BE6">
      <w:pPr>
        <w:spacing w:after="0"/>
        <w:rPr>
          <w:rFonts w:eastAsia="Calibri"/>
          <w:bCs/>
        </w:rPr>
      </w:pPr>
      <w:r w:rsidRPr="00671BE6">
        <w:rPr>
          <w:rFonts w:eastAsia="Calibri"/>
          <w:bCs/>
        </w:rPr>
        <w:t xml:space="preserve">Finančný príspevok na aktivačnú činnosť formou menších obecných služieb pre obec, </w:t>
      </w:r>
      <w:r w:rsidRPr="00671BE6">
        <w:t>organizáciu zriadenú obcou,</w:t>
      </w:r>
      <w:r w:rsidRPr="00671BE6">
        <w:rPr>
          <w:bCs/>
        </w:rPr>
        <w:t> </w:t>
      </w:r>
      <w:r w:rsidRPr="00671BE6">
        <w:rPr>
          <w:rFonts w:eastAsia="Calibri"/>
          <w:bCs/>
        </w:rPr>
        <w:t xml:space="preserve"> alebo formou menších služieb pre samosprávny kraj, </w:t>
      </w:r>
      <w:r w:rsidRPr="00671BE6">
        <w:t xml:space="preserve">organizáciu zriadenú samosprávnym krajom </w:t>
      </w:r>
      <w:r w:rsidRPr="00671BE6">
        <w:rPr>
          <w:rFonts w:eastAsia="Calibri"/>
          <w:bCs/>
        </w:rPr>
        <w:t xml:space="preserve">je poskytovaný mesačne najviac 6 mesiacov nasledovne: </w:t>
      </w:r>
    </w:p>
    <w:p w14:paraId="7118325D" w14:textId="77777777" w:rsidR="00671BE6" w:rsidRPr="00671BE6" w:rsidRDefault="00671BE6" w:rsidP="00671BE6">
      <w:pPr>
        <w:numPr>
          <w:ilvl w:val="0"/>
          <w:numId w:val="35"/>
        </w:numPr>
        <w:spacing w:after="0"/>
        <w:ind w:left="284" w:hanging="284"/>
        <w:rPr>
          <w:rFonts w:eastAsia="Calibri"/>
          <w:bCs/>
        </w:rPr>
      </w:pPr>
      <w:r w:rsidRPr="00671BE6">
        <w:rPr>
          <w:rFonts w:eastAsia="Calibri"/>
          <w:bCs/>
        </w:rPr>
        <w:t>na úhradu časti nákladov na osobné ochranné pracovné prostriedky, pracovné náradie a úrazové poistenie</w:t>
      </w:r>
      <w:r w:rsidRPr="00671BE6">
        <w:rPr>
          <w:rFonts w:eastAsia="Calibri"/>
        </w:rPr>
        <w:t xml:space="preserve"> UoZ z cieľovej skupiny a </w:t>
      </w:r>
      <w:r w:rsidRPr="00671BE6">
        <w:rPr>
          <w:rFonts w:eastAsia="Calibri"/>
          <w:bCs/>
        </w:rPr>
        <w:t>úhradu časti ďalších nákladov</w:t>
      </w:r>
      <w:r w:rsidRPr="00671BE6">
        <w:rPr>
          <w:rFonts w:eastAsia="Calibri"/>
        </w:rPr>
        <w:t xml:space="preserve">, ktoré súvisia s vykonávaním menších obecných služieb pre obec, </w:t>
      </w:r>
      <w:r w:rsidRPr="00671BE6">
        <w:rPr>
          <w:rFonts w:eastAsia="Calibri"/>
          <w:lang w:eastAsia="en-US"/>
        </w:rPr>
        <w:t xml:space="preserve">organizáciu zriadenú obcou alebo </w:t>
      </w:r>
      <w:r w:rsidRPr="00671BE6">
        <w:rPr>
          <w:rFonts w:eastAsia="Calibri"/>
        </w:rPr>
        <w:t>menších služieb pre samosprávny kraj</w:t>
      </w:r>
      <w:r w:rsidRPr="00671BE6">
        <w:rPr>
          <w:rFonts w:eastAsia="Calibri"/>
          <w:lang w:eastAsia="en-US"/>
        </w:rPr>
        <w:t xml:space="preserve">, organizáciu zriadenú samosprávnym krajom </w:t>
      </w:r>
      <w:r w:rsidRPr="00671BE6">
        <w:rPr>
          <w:rFonts w:eastAsia="Calibri"/>
          <w:bCs/>
        </w:rPr>
        <w:t>najviac vo výške</w:t>
      </w:r>
      <w:r w:rsidRPr="00671BE6">
        <w:rPr>
          <w:rFonts w:eastAsia="Calibri"/>
        </w:rPr>
        <w:t xml:space="preserve"> 1</w:t>
      </w:r>
      <w:r w:rsidRPr="00671BE6">
        <w:rPr>
          <w:rFonts w:eastAsia="Calibri"/>
          <w:bCs/>
        </w:rPr>
        <w:t xml:space="preserve"> % z celkovej ceny práce</w:t>
      </w:r>
      <w:r w:rsidRPr="00671BE6">
        <w:rPr>
          <w:rFonts w:eastAsia="Calibri"/>
        </w:rPr>
        <w:t xml:space="preserve"> podľa § 49 ods. 4 zákona o službách zamestnanosti vypočítanej z priemernej mzdy zamestnanca v hospodárstve Slovenskej republiky za prvý až tretí štvrťrok kalendárneho roka, ktorý predchádza kalendárnemu roku, v ktorom sa príspevok poskytuje</w:t>
      </w:r>
      <w:r w:rsidRPr="00671BE6">
        <w:rPr>
          <w:rFonts w:eastAsia="Calibri"/>
          <w:bCs/>
        </w:rPr>
        <w:t>, na jedného UoZ z cieľovej skupiny</w:t>
      </w:r>
      <w:r w:rsidRPr="00671BE6">
        <w:rPr>
          <w:rFonts w:eastAsia="Calibri"/>
          <w:bCs/>
          <w:i/>
          <w:iCs/>
        </w:rPr>
        <w:t> počas celej doby trvania aktivačnej činnosti</w:t>
      </w:r>
      <w:r w:rsidRPr="00671BE6">
        <w:rPr>
          <w:rFonts w:eastAsia="Calibri"/>
          <w:bCs/>
        </w:rPr>
        <w:t>. Konkrétna výška príspevku závisí od dohodnutého počtu UoZ vykonávajúcich aktivačnú činnosť  (je stanovená v piatich pásmach) a na dohodnutom týždennom rozsahu vykonávania aktivačnej činnosti (20 hodín týždenne).</w:t>
      </w:r>
    </w:p>
    <w:p w14:paraId="4851145E" w14:textId="77777777" w:rsidR="00671BE6" w:rsidRPr="00671BE6" w:rsidRDefault="00671BE6" w:rsidP="00671BE6">
      <w:pPr>
        <w:spacing w:after="0"/>
        <w:ind w:left="426" w:hanging="426"/>
        <w:rPr>
          <w:rFonts w:eastAsia="Calibri"/>
          <w:b/>
          <w:bCs/>
        </w:rPr>
      </w:pPr>
    </w:p>
    <w:tbl>
      <w:tblPr>
        <w:tblW w:w="8990" w:type="dxa"/>
        <w:jc w:val="center"/>
        <w:tblLayout w:type="fixed"/>
        <w:tblCellMar>
          <w:left w:w="70" w:type="dxa"/>
          <w:right w:w="70" w:type="dxa"/>
        </w:tblCellMar>
        <w:tblLook w:val="04A0" w:firstRow="1" w:lastRow="0" w:firstColumn="1" w:lastColumn="0" w:noHBand="0" w:noVBand="1"/>
      </w:tblPr>
      <w:tblGrid>
        <w:gridCol w:w="2606"/>
        <w:gridCol w:w="2101"/>
        <w:gridCol w:w="2155"/>
        <w:gridCol w:w="2128"/>
      </w:tblGrid>
      <w:tr w:rsidR="00671BE6" w:rsidRPr="00671BE6" w14:paraId="1087363F" w14:textId="77777777" w:rsidTr="006E616C">
        <w:trPr>
          <w:trHeight w:val="1517"/>
          <w:jc w:val="center"/>
        </w:trPr>
        <w:tc>
          <w:tcPr>
            <w:tcW w:w="2606"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14:paraId="02BC8759" w14:textId="77777777" w:rsidR="00671BE6" w:rsidRPr="00671BE6" w:rsidRDefault="00671BE6" w:rsidP="00671BE6">
            <w:pPr>
              <w:spacing w:after="0"/>
              <w:ind w:hanging="6"/>
              <w:jc w:val="center"/>
              <w:rPr>
                <w:rFonts w:asciiTheme="minorHAnsi" w:hAnsiTheme="minorHAnsi" w:cstheme="minorHAnsi"/>
                <w:b/>
                <w:sz w:val="20"/>
                <w:szCs w:val="20"/>
              </w:rPr>
            </w:pPr>
            <w:r w:rsidRPr="00671BE6">
              <w:rPr>
                <w:rFonts w:asciiTheme="minorHAnsi" w:hAnsiTheme="minorHAnsi" w:cstheme="minorHAnsi"/>
                <w:b/>
                <w:sz w:val="20"/>
                <w:szCs w:val="20"/>
              </w:rPr>
              <w:t> Počet UoZ</w:t>
            </w:r>
          </w:p>
          <w:p w14:paraId="69873A47" w14:textId="15A11436" w:rsidR="00671BE6" w:rsidRPr="00671BE6" w:rsidRDefault="00671BE6" w:rsidP="00671BE6">
            <w:pPr>
              <w:spacing w:after="0"/>
              <w:ind w:hanging="6"/>
              <w:rPr>
                <w:rFonts w:asciiTheme="minorHAnsi" w:hAnsiTheme="minorHAnsi" w:cstheme="minorHAnsi"/>
                <w:b/>
                <w:sz w:val="20"/>
                <w:szCs w:val="20"/>
              </w:rPr>
            </w:pPr>
            <w:r w:rsidRPr="00671BE6">
              <w:rPr>
                <w:rFonts w:asciiTheme="minorHAnsi" w:hAnsiTheme="minorHAnsi" w:cstheme="minorHAnsi"/>
                <w:sz w:val="20"/>
                <w:szCs w:val="20"/>
              </w:rPr>
              <w:t> </w:t>
            </w:r>
          </w:p>
        </w:tc>
        <w:tc>
          <w:tcPr>
            <w:tcW w:w="21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3D3B7B9" w14:textId="52F6F2B4" w:rsidR="00671BE6" w:rsidRPr="00671BE6" w:rsidRDefault="00671BE6" w:rsidP="00671BE6">
            <w:pPr>
              <w:spacing w:after="0"/>
              <w:ind w:hanging="6"/>
              <w:jc w:val="center"/>
              <w:rPr>
                <w:rFonts w:asciiTheme="minorHAnsi" w:hAnsiTheme="minorHAnsi" w:cstheme="minorHAnsi"/>
                <w:b/>
                <w:bCs/>
                <w:sz w:val="20"/>
                <w:szCs w:val="20"/>
              </w:rPr>
            </w:pPr>
            <w:r w:rsidRPr="00671BE6">
              <w:rPr>
                <w:rFonts w:asciiTheme="minorHAnsi" w:hAnsiTheme="minorHAnsi" w:cstheme="minorHAnsi"/>
                <w:b/>
                <w:bCs/>
                <w:sz w:val="20"/>
                <w:szCs w:val="20"/>
              </w:rPr>
              <w:t>Príspevok na úhradu časti nákladov AČ najviac vo výške</w:t>
            </w:r>
          </w:p>
        </w:tc>
        <w:tc>
          <w:tcPr>
            <w:tcW w:w="215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C3BE655" w14:textId="6D0CAE0B" w:rsidR="00671BE6" w:rsidRPr="00671BE6" w:rsidRDefault="00671BE6" w:rsidP="00671BE6">
            <w:pPr>
              <w:spacing w:after="0"/>
              <w:ind w:hanging="6"/>
              <w:jc w:val="center"/>
              <w:rPr>
                <w:rFonts w:asciiTheme="minorHAnsi" w:hAnsiTheme="minorHAnsi" w:cstheme="minorHAnsi"/>
                <w:b/>
                <w:bCs/>
                <w:sz w:val="20"/>
                <w:szCs w:val="20"/>
              </w:rPr>
            </w:pPr>
            <w:r w:rsidRPr="00671BE6">
              <w:rPr>
                <w:rFonts w:asciiTheme="minorHAnsi" w:hAnsiTheme="minorHAnsi" w:cstheme="minorHAnsi"/>
                <w:b/>
                <w:bCs/>
                <w:sz w:val="20"/>
                <w:szCs w:val="20"/>
              </w:rPr>
              <w:t>Príspevok na CCP organizátora najviac vo výške</w:t>
            </w:r>
          </w:p>
        </w:tc>
        <w:tc>
          <w:tcPr>
            <w:tcW w:w="212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003893" w14:textId="381C21E3" w:rsidR="00671BE6" w:rsidRPr="00671BE6" w:rsidRDefault="00671BE6" w:rsidP="00671BE6">
            <w:pPr>
              <w:spacing w:after="0"/>
              <w:ind w:hanging="6"/>
              <w:jc w:val="center"/>
              <w:rPr>
                <w:rFonts w:asciiTheme="minorHAnsi" w:hAnsiTheme="minorHAnsi" w:cstheme="minorHAnsi"/>
                <w:b/>
                <w:bCs/>
                <w:sz w:val="20"/>
                <w:szCs w:val="20"/>
              </w:rPr>
            </w:pPr>
            <w:r w:rsidRPr="00671BE6">
              <w:rPr>
                <w:rFonts w:asciiTheme="minorHAnsi" w:hAnsiTheme="minorHAnsi" w:cstheme="minorHAnsi"/>
                <w:b/>
                <w:bCs/>
                <w:sz w:val="20"/>
                <w:szCs w:val="20"/>
              </w:rPr>
              <w:t xml:space="preserve">Príspevok na 1 UoZ /1 mesiac najviac vo výške </w:t>
            </w:r>
          </w:p>
        </w:tc>
      </w:tr>
      <w:tr w:rsidR="00671BE6" w:rsidRPr="00671BE6" w14:paraId="4EBF0725" w14:textId="77777777" w:rsidTr="006E616C">
        <w:trPr>
          <w:trHeight w:val="301"/>
          <w:jc w:val="center"/>
        </w:trPr>
        <w:tc>
          <w:tcPr>
            <w:tcW w:w="2606" w:type="dxa"/>
            <w:vMerge/>
            <w:tcBorders>
              <w:left w:val="single" w:sz="4" w:space="0" w:color="auto"/>
              <w:bottom w:val="single" w:sz="4" w:space="0" w:color="auto"/>
              <w:right w:val="single" w:sz="4" w:space="0" w:color="auto"/>
            </w:tcBorders>
            <w:shd w:val="clear" w:color="auto" w:fill="auto"/>
            <w:noWrap/>
            <w:vAlign w:val="bottom"/>
            <w:hideMark/>
          </w:tcPr>
          <w:p w14:paraId="2E38D65F" w14:textId="71AC86CE" w:rsidR="00671BE6" w:rsidRPr="00671BE6" w:rsidRDefault="00671BE6" w:rsidP="00671BE6">
            <w:pPr>
              <w:spacing w:after="0"/>
              <w:ind w:hanging="6"/>
              <w:rPr>
                <w:rFonts w:asciiTheme="minorHAnsi" w:hAnsiTheme="minorHAnsi" w:cstheme="minorHAnsi"/>
                <w:sz w:val="20"/>
                <w:szCs w:val="20"/>
              </w:rPr>
            </w:pPr>
          </w:p>
        </w:tc>
        <w:tc>
          <w:tcPr>
            <w:tcW w:w="2101" w:type="dxa"/>
            <w:tcBorders>
              <w:top w:val="nil"/>
              <w:left w:val="nil"/>
              <w:bottom w:val="single" w:sz="4" w:space="0" w:color="auto"/>
              <w:right w:val="single" w:sz="4" w:space="0" w:color="auto"/>
            </w:tcBorders>
            <w:shd w:val="clear" w:color="auto" w:fill="auto"/>
            <w:vAlign w:val="center"/>
            <w:hideMark/>
          </w:tcPr>
          <w:p w14:paraId="5584B8ED" w14:textId="77777777" w:rsidR="00671BE6" w:rsidRPr="00671BE6" w:rsidRDefault="00671BE6" w:rsidP="00671BE6">
            <w:pPr>
              <w:spacing w:after="0"/>
              <w:ind w:hanging="6"/>
              <w:jc w:val="center"/>
              <w:rPr>
                <w:rFonts w:asciiTheme="minorHAnsi" w:hAnsiTheme="minorHAnsi" w:cstheme="minorHAnsi"/>
                <w:bCs/>
                <w:i/>
                <w:iCs/>
                <w:sz w:val="16"/>
                <w:szCs w:val="16"/>
              </w:rPr>
            </w:pPr>
            <w:r w:rsidRPr="00671BE6">
              <w:rPr>
                <w:rFonts w:asciiTheme="minorHAnsi" w:hAnsiTheme="minorHAnsi" w:cstheme="minorHAnsi"/>
                <w:bCs/>
                <w:i/>
                <w:iCs/>
                <w:sz w:val="16"/>
                <w:szCs w:val="16"/>
              </w:rPr>
              <w:t>1 % CCP</w:t>
            </w:r>
          </w:p>
        </w:tc>
        <w:tc>
          <w:tcPr>
            <w:tcW w:w="2155" w:type="dxa"/>
            <w:tcBorders>
              <w:top w:val="nil"/>
              <w:left w:val="nil"/>
              <w:bottom w:val="single" w:sz="4" w:space="0" w:color="auto"/>
              <w:right w:val="single" w:sz="4" w:space="0" w:color="auto"/>
            </w:tcBorders>
            <w:shd w:val="clear" w:color="auto" w:fill="auto"/>
            <w:vAlign w:val="center"/>
            <w:hideMark/>
          </w:tcPr>
          <w:p w14:paraId="5FB741B3" w14:textId="77777777" w:rsidR="00671BE6" w:rsidRPr="00671BE6" w:rsidRDefault="00671BE6" w:rsidP="00671BE6">
            <w:pPr>
              <w:spacing w:after="0"/>
              <w:ind w:hanging="6"/>
              <w:jc w:val="center"/>
              <w:rPr>
                <w:rFonts w:asciiTheme="minorHAnsi" w:hAnsiTheme="minorHAnsi" w:cstheme="minorHAnsi"/>
                <w:bCs/>
                <w:i/>
                <w:iCs/>
                <w:sz w:val="16"/>
                <w:szCs w:val="16"/>
              </w:rPr>
            </w:pPr>
            <w:r w:rsidRPr="00671BE6">
              <w:rPr>
                <w:rFonts w:asciiTheme="minorHAnsi" w:hAnsiTheme="minorHAnsi" w:cstheme="minorHAnsi"/>
                <w:bCs/>
                <w:i/>
                <w:iCs/>
                <w:sz w:val="16"/>
                <w:szCs w:val="16"/>
              </w:rPr>
              <w:t>1 % CCP</w:t>
            </w:r>
          </w:p>
        </w:tc>
        <w:tc>
          <w:tcPr>
            <w:tcW w:w="2128" w:type="dxa"/>
            <w:tcBorders>
              <w:top w:val="nil"/>
              <w:left w:val="nil"/>
              <w:bottom w:val="single" w:sz="4" w:space="0" w:color="auto"/>
              <w:right w:val="single" w:sz="4" w:space="0" w:color="auto"/>
            </w:tcBorders>
            <w:shd w:val="clear" w:color="000000" w:fill="FFFFFF"/>
            <w:noWrap/>
            <w:vAlign w:val="center"/>
            <w:hideMark/>
          </w:tcPr>
          <w:p w14:paraId="1460558F" w14:textId="77777777" w:rsidR="00671BE6" w:rsidRPr="00671BE6" w:rsidRDefault="00671BE6" w:rsidP="00671BE6">
            <w:pPr>
              <w:spacing w:after="0"/>
              <w:ind w:hanging="6"/>
              <w:jc w:val="center"/>
              <w:rPr>
                <w:rFonts w:asciiTheme="minorHAnsi" w:hAnsiTheme="minorHAnsi" w:cstheme="minorHAnsi"/>
                <w:bCs/>
                <w:i/>
                <w:iCs/>
                <w:sz w:val="16"/>
                <w:szCs w:val="16"/>
              </w:rPr>
            </w:pPr>
            <w:r w:rsidRPr="00671BE6">
              <w:rPr>
                <w:rFonts w:asciiTheme="minorHAnsi" w:hAnsiTheme="minorHAnsi" w:cstheme="minorHAnsi"/>
                <w:bCs/>
                <w:i/>
                <w:iCs/>
                <w:sz w:val="16"/>
                <w:szCs w:val="16"/>
              </w:rPr>
              <w:t>2 % CCP</w:t>
            </w:r>
          </w:p>
        </w:tc>
      </w:tr>
      <w:tr w:rsidR="00671BE6" w:rsidRPr="00671BE6" w14:paraId="2E39B706" w14:textId="77777777" w:rsidTr="006E616C">
        <w:trPr>
          <w:trHeight w:val="301"/>
          <w:jc w:val="center"/>
        </w:trPr>
        <w:tc>
          <w:tcPr>
            <w:tcW w:w="2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181F920" w14:textId="77777777" w:rsidR="00671BE6" w:rsidRPr="00671BE6" w:rsidRDefault="00671BE6" w:rsidP="00671BE6">
            <w:pPr>
              <w:spacing w:after="0"/>
              <w:ind w:hanging="6"/>
              <w:rPr>
                <w:rFonts w:asciiTheme="minorHAnsi" w:hAnsiTheme="minorHAnsi" w:cstheme="minorHAnsi"/>
                <w:b/>
                <w:bCs/>
                <w:sz w:val="20"/>
                <w:szCs w:val="20"/>
              </w:rPr>
            </w:pPr>
            <w:r w:rsidRPr="00671BE6">
              <w:rPr>
                <w:rFonts w:asciiTheme="minorHAnsi" w:hAnsiTheme="minorHAnsi" w:cstheme="minorHAnsi"/>
                <w:b/>
                <w:bCs/>
                <w:sz w:val="20"/>
                <w:szCs w:val="20"/>
              </w:rPr>
              <w:t>1 - 25 UoZ</w:t>
            </w:r>
          </w:p>
        </w:tc>
        <w:tc>
          <w:tcPr>
            <w:tcW w:w="2101" w:type="dxa"/>
            <w:tcBorders>
              <w:top w:val="nil"/>
              <w:left w:val="nil"/>
              <w:bottom w:val="single" w:sz="4" w:space="0" w:color="auto"/>
              <w:right w:val="single" w:sz="4" w:space="0" w:color="auto"/>
            </w:tcBorders>
            <w:shd w:val="clear" w:color="auto" w:fill="auto"/>
            <w:noWrap/>
            <w:vAlign w:val="center"/>
            <w:hideMark/>
          </w:tcPr>
          <w:p w14:paraId="423EFC91"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€ 17,11</w:t>
            </w:r>
          </w:p>
        </w:tc>
        <w:tc>
          <w:tcPr>
            <w:tcW w:w="2155" w:type="dxa"/>
            <w:tcBorders>
              <w:top w:val="nil"/>
              <w:left w:val="nil"/>
              <w:bottom w:val="single" w:sz="4" w:space="0" w:color="auto"/>
              <w:right w:val="single" w:sz="4" w:space="0" w:color="auto"/>
            </w:tcBorders>
            <w:shd w:val="clear" w:color="auto" w:fill="auto"/>
            <w:noWrap/>
            <w:vAlign w:val="center"/>
            <w:hideMark/>
          </w:tcPr>
          <w:p w14:paraId="056C2C82"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€ 17,11</w:t>
            </w:r>
          </w:p>
        </w:tc>
        <w:tc>
          <w:tcPr>
            <w:tcW w:w="2128" w:type="dxa"/>
            <w:tcBorders>
              <w:top w:val="nil"/>
              <w:left w:val="nil"/>
              <w:bottom w:val="single" w:sz="4" w:space="0" w:color="auto"/>
              <w:right w:val="single" w:sz="4" w:space="0" w:color="auto"/>
            </w:tcBorders>
            <w:shd w:val="clear" w:color="auto" w:fill="auto"/>
            <w:noWrap/>
            <w:vAlign w:val="center"/>
            <w:hideMark/>
          </w:tcPr>
          <w:p w14:paraId="21F424EF"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€ 34,22</w:t>
            </w:r>
          </w:p>
        </w:tc>
      </w:tr>
      <w:tr w:rsidR="00671BE6" w:rsidRPr="00671BE6" w14:paraId="67EA11D2" w14:textId="77777777" w:rsidTr="006E616C">
        <w:trPr>
          <w:trHeight w:val="301"/>
          <w:jc w:val="center"/>
        </w:trPr>
        <w:tc>
          <w:tcPr>
            <w:tcW w:w="2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72F1E9E" w14:textId="77777777" w:rsidR="00671BE6" w:rsidRPr="00671BE6" w:rsidRDefault="00671BE6" w:rsidP="00671BE6">
            <w:pPr>
              <w:spacing w:after="0"/>
              <w:ind w:hanging="6"/>
              <w:rPr>
                <w:rFonts w:asciiTheme="minorHAnsi" w:hAnsiTheme="minorHAnsi" w:cstheme="minorHAnsi"/>
                <w:b/>
                <w:bCs/>
                <w:sz w:val="20"/>
                <w:szCs w:val="20"/>
              </w:rPr>
            </w:pPr>
            <w:r w:rsidRPr="00671BE6">
              <w:rPr>
                <w:rFonts w:asciiTheme="minorHAnsi" w:hAnsiTheme="minorHAnsi" w:cstheme="minorHAnsi"/>
                <w:b/>
                <w:bCs/>
                <w:sz w:val="20"/>
                <w:szCs w:val="20"/>
              </w:rPr>
              <w:t>26 - 50 UoZ</w:t>
            </w:r>
          </w:p>
        </w:tc>
        <w:tc>
          <w:tcPr>
            <w:tcW w:w="2101" w:type="dxa"/>
            <w:tcBorders>
              <w:top w:val="nil"/>
              <w:left w:val="nil"/>
              <w:bottom w:val="single" w:sz="4" w:space="0" w:color="auto"/>
              <w:right w:val="single" w:sz="4" w:space="0" w:color="auto"/>
            </w:tcBorders>
            <w:shd w:val="clear" w:color="auto" w:fill="auto"/>
            <w:noWrap/>
            <w:vAlign w:val="center"/>
            <w:hideMark/>
          </w:tcPr>
          <w:p w14:paraId="65B69180"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€ 13,70</w:t>
            </w:r>
          </w:p>
        </w:tc>
        <w:tc>
          <w:tcPr>
            <w:tcW w:w="2155" w:type="dxa"/>
            <w:tcBorders>
              <w:top w:val="nil"/>
              <w:left w:val="nil"/>
              <w:bottom w:val="single" w:sz="4" w:space="0" w:color="auto"/>
              <w:right w:val="single" w:sz="4" w:space="0" w:color="auto"/>
            </w:tcBorders>
            <w:shd w:val="clear" w:color="auto" w:fill="auto"/>
            <w:noWrap/>
            <w:vAlign w:val="center"/>
            <w:hideMark/>
          </w:tcPr>
          <w:p w14:paraId="27F8D051"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€ 13,70</w:t>
            </w:r>
          </w:p>
        </w:tc>
        <w:tc>
          <w:tcPr>
            <w:tcW w:w="2128" w:type="dxa"/>
            <w:tcBorders>
              <w:top w:val="nil"/>
              <w:left w:val="nil"/>
              <w:bottom w:val="single" w:sz="4" w:space="0" w:color="auto"/>
              <w:right w:val="single" w:sz="4" w:space="0" w:color="auto"/>
            </w:tcBorders>
            <w:shd w:val="clear" w:color="auto" w:fill="auto"/>
            <w:noWrap/>
            <w:vAlign w:val="center"/>
            <w:hideMark/>
          </w:tcPr>
          <w:p w14:paraId="0F5C6DB9"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€ 27,40</w:t>
            </w:r>
          </w:p>
        </w:tc>
      </w:tr>
      <w:tr w:rsidR="00671BE6" w:rsidRPr="00671BE6" w14:paraId="09D812DD" w14:textId="77777777" w:rsidTr="006E616C">
        <w:trPr>
          <w:trHeight w:val="301"/>
          <w:jc w:val="center"/>
        </w:trPr>
        <w:tc>
          <w:tcPr>
            <w:tcW w:w="2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9BA874C" w14:textId="77777777" w:rsidR="00671BE6" w:rsidRPr="00671BE6" w:rsidRDefault="00671BE6" w:rsidP="00671BE6">
            <w:pPr>
              <w:spacing w:after="0"/>
              <w:ind w:hanging="6"/>
              <w:rPr>
                <w:rFonts w:asciiTheme="minorHAnsi" w:hAnsiTheme="minorHAnsi" w:cstheme="minorHAnsi"/>
                <w:b/>
                <w:bCs/>
                <w:sz w:val="20"/>
                <w:szCs w:val="20"/>
              </w:rPr>
            </w:pPr>
            <w:r w:rsidRPr="00671BE6">
              <w:rPr>
                <w:rFonts w:asciiTheme="minorHAnsi" w:hAnsiTheme="minorHAnsi" w:cstheme="minorHAnsi"/>
                <w:b/>
                <w:bCs/>
                <w:sz w:val="20"/>
                <w:szCs w:val="20"/>
              </w:rPr>
              <w:t>51 - 75 UoZ</w:t>
            </w:r>
          </w:p>
        </w:tc>
        <w:tc>
          <w:tcPr>
            <w:tcW w:w="2101" w:type="dxa"/>
            <w:tcBorders>
              <w:top w:val="nil"/>
              <w:left w:val="nil"/>
              <w:bottom w:val="single" w:sz="4" w:space="0" w:color="auto"/>
              <w:right w:val="single" w:sz="4" w:space="0" w:color="auto"/>
            </w:tcBorders>
            <w:shd w:val="clear" w:color="auto" w:fill="auto"/>
            <w:noWrap/>
            <w:vAlign w:val="center"/>
            <w:hideMark/>
          </w:tcPr>
          <w:p w14:paraId="23E53891"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€ 11,00</w:t>
            </w:r>
          </w:p>
        </w:tc>
        <w:tc>
          <w:tcPr>
            <w:tcW w:w="2155" w:type="dxa"/>
            <w:tcBorders>
              <w:top w:val="nil"/>
              <w:left w:val="nil"/>
              <w:bottom w:val="single" w:sz="4" w:space="0" w:color="auto"/>
              <w:right w:val="single" w:sz="4" w:space="0" w:color="auto"/>
            </w:tcBorders>
            <w:shd w:val="clear" w:color="auto" w:fill="auto"/>
            <w:noWrap/>
            <w:vAlign w:val="center"/>
            <w:hideMark/>
          </w:tcPr>
          <w:p w14:paraId="2BB7D0DE"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€ 11,00</w:t>
            </w:r>
          </w:p>
        </w:tc>
        <w:tc>
          <w:tcPr>
            <w:tcW w:w="2128" w:type="dxa"/>
            <w:tcBorders>
              <w:top w:val="nil"/>
              <w:left w:val="nil"/>
              <w:bottom w:val="single" w:sz="4" w:space="0" w:color="auto"/>
              <w:right w:val="single" w:sz="4" w:space="0" w:color="auto"/>
            </w:tcBorders>
            <w:shd w:val="clear" w:color="auto" w:fill="auto"/>
            <w:noWrap/>
            <w:vAlign w:val="center"/>
            <w:hideMark/>
          </w:tcPr>
          <w:p w14:paraId="45D4A559"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€ 22,00</w:t>
            </w:r>
          </w:p>
        </w:tc>
      </w:tr>
      <w:tr w:rsidR="00671BE6" w:rsidRPr="00671BE6" w14:paraId="666DEF7A" w14:textId="77777777" w:rsidTr="006E616C">
        <w:trPr>
          <w:trHeight w:val="301"/>
          <w:jc w:val="center"/>
        </w:trPr>
        <w:tc>
          <w:tcPr>
            <w:tcW w:w="2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1585F5C" w14:textId="77777777" w:rsidR="00671BE6" w:rsidRPr="00671BE6" w:rsidRDefault="00671BE6" w:rsidP="00671BE6">
            <w:pPr>
              <w:spacing w:after="0"/>
              <w:ind w:hanging="6"/>
              <w:rPr>
                <w:rFonts w:asciiTheme="minorHAnsi" w:hAnsiTheme="minorHAnsi" w:cstheme="minorHAnsi"/>
                <w:b/>
                <w:bCs/>
                <w:sz w:val="20"/>
                <w:szCs w:val="20"/>
              </w:rPr>
            </w:pPr>
            <w:r w:rsidRPr="00671BE6">
              <w:rPr>
                <w:rFonts w:asciiTheme="minorHAnsi" w:hAnsiTheme="minorHAnsi" w:cstheme="minorHAnsi"/>
                <w:b/>
                <w:bCs/>
                <w:sz w:val="20"/>
                <w:szCs w:val="20"/>
              </w:rPr>
              <w:t>76 - 100 UoZ</w:t>
            </w:r>
          </w:p>
        </w:tc>
        <w:tc>
          <w:tcPr>
            <w:tcW w:w="2101" w:type="dxa"/>
            <w:tcBorders>
              <w:top w:val="nil"/>
              <w:left w:val="nil"/>
              <w:bottom w:val="single" w:sz="4" w:space="0" w:color="auto"/>
              <w:right w:val="single" w:sz="4" w:space="0" w:color="auto"/>
            </w:tcBorders>
            <w:shd w:val="clear" w:color="auto" w:fill="auto"/>
            <w:noWrap/>
            <w:vAlign w:val="center"/>
            <w:hideMark/>
          </w:tcPr>
          <w:p w14:paraId="764F134D"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€ 8,80</w:t>
            </w:r>
          </w:p>
        </w:tc>
        <w:tc>
          <w:tcPr>
            <w:tcW w:w="2155" w:type="dxa"/>
            <w:tcBorders>
              <w:top w:val="nil"/>
              <w:left w:val="nil"/>
              <w:bottom w:val="single" w:sz="4" w:space="0" w:color="auto"/>
              <w:right w:val="single" w:sz="4" w:space="0" w:color="auto"/>
            </w:tcBorders>
            <w:shd w:val="clear" w:color="auto" w:fill="auto"/>
            <w:noWrap/>
            <w:vAlign w:val="center"/>
            <w:hideMark/>
          </w:tcPr>
          <w:p w14:paraId="52A46ABB"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€ 8,80</w:t>
            </w:r>
          </w:p>
        </w:tc>
        <w:tc>
          <w:tcPr>
            <w:tcW w:w="2128" w:type="dxa"/>
            <w:tcBorders>
              <w:top w:val="nil"/>
              <w:left w:val="nil"/>
              <w:bottom w:val="single" w:sz="4" w:space="0" w:color="auto"/>
              <w:right w:val="single" w:sz="4" w:space="0" w:color="auto"/>
            </w:tcBorders>
            <w:shd w:val="clear" w:color="auto" w:fill="auto"/>
            <w:noWrap/>
            <w:vAlign w:val="center"/>
            <w:hideMark/>
          </w:tcPr>
          <w:p w14:paraId="089F6838"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€ 17,60</w:t>
            </w:r>
          </w:p>
        </w:tc>
      </w:tr>
      <w:tr w:rsidR="00671BE6" w:rsidRPr="00671BE6" w14:paraId="6FADE1BC" w14:textId="77777777" w:rsidTr="006E616C">
        <w:trPr>
          <w:trHeight w:val="301"/>
          <w:jc w:val="center"/>
        </w:trPr>
        <w:tc>
          <w:tcPr>
            <w:tcW w:w="2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28911EF" w14:textId="77777777" w:rsidR="00671BE6" w:rsidRPr="00671BE6" w:rsidRDefault="00671BE6" w:rsidP="00671BE6">
            <w:pPr>
              <w:spacing w:after="0"/>
              <w:ind w:hanging="6"/>
              <w:rPr>
                <w:rFonts w:asciiTheme="minorHAnsi" w:hAnsiTheme="minorHAnsi" w:cstheme="minorHAnsi"/>
                <w:b/>
                <w:bCs/>
                <w:sz w:val="20"/>
                <w:szCs w:val="20"/>
              </w:rPr>
            </w:pPr>
            <w:r w:rsidRPr="00671BE6">
              <w:rPr>
                <w:rFonts w:asciiTheme="minorHAnsi" w:hAnsiTheme="minorHAnsi" w:cstheme="minorHAnsi"/>
                <w:b/>
                <w:bCs/>
                <w:sz w:val="20"/>
                <w:szCs w:val="20"/>
              </w:rPr>
              <w:t>101 UoZ a viac</w:t>
            </w:r>
          </w:p>
        </w:tc>
        <w:tc>
          <w:tcPr>
            <w:tcW w:w="2101" w:type="dxa"/>
            <w:tcBorders>
              <w:top w:val="nil"/>
              <w:left w:val="nil"/>
              <w:bottom w:val="single" w:sz="4" w:space="0" w:color="auto"/>
              <w:right w:val="single" w:sz="4" w:space="0" w:color="auto"/>
            </w:tcBorders>
            <w:shd w:val="clear" w:color="auto" w:fill="auto"/>
            <w:noWrap/>
            <w:vAlign w:val="center"/>
            <w:hideMark/>
          </w:tcPr>
          <w:p w14:paraId="7F81C5E7"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€ 7,10</w:t>
            </w:r>
          </w:p>
        </w:tc>
        <w:tc>
          <w:tcPr>
            <w:tcW w:w="2155" w:type="dxa"/>
            <w:tcBorders>
              <w:top w:val="nil"/>
              <w:left w:val="nil"/>
              <w:bottom w:val="single" w:sz="4" w:space="0" w:color="auto"/>
              <w:right w:val="single" w:sz="4" w:space="0" w:color="auto"/>
            </w:tcBorders>
            <w:shd w:val="clear" w:color="auto" w:fill="auto"/>
            <w:noWrap/>
            <w:vAlign w:val="center"/>
            <w:hideMark/>
          </w:tcPr>
          <w:p w14:paraId="30922515"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€ 7,10</w:t>
            </w:r>
          </w:p>
        </w:tc>
        <w:tc>
          <w:tcPr>
            <w:tcW w:w="2128" w:type="dxa"/>
            <w:tcBorders>
              <w:top w:val="nil"/>
              <w:left w:val="nil"/>
              <w:bottom w:val="single" w:sz="4" w:space="0" w:color="auto"/>
              <w:right w:val="single" w:sz="4" w:space="0" w:color="auto"/>
            </w:tcBorders>
            <w:shd w:val="clear" w:color="auto" w:fill="auto"/>
            <w:noWrap/>
            <w:vAlign w:val="center"/>
            <w:hideMark/>
          </w:tcPr>
          <w:p w14:paraId="71A55B56" w14:textId="77777777" w:rsidR="00671BE6" w:rsidRPr="00671BE6" w:rsidRDefault="00671BE6" w:rsidP="00671BE6">
            <w:pPr>
              <w:spacing w:after="0"/>
              <w:ind w:hanging="6"/>
              <w:jc w:val="center"/>
              <w:rPr>
                <w:rFonts w:asciiTheme="minorHAnsi" w:hAnsiTheme="minorHAnsi" w:cstheme="minorHAnsi"/>
                <w:sz w:val="20"/>
                <w:szCs w:val="20"/>
              </w:rPr>
            </w:pPr>
            <w:r w:rsidRPr="00671BE6">
              <w:rPr>
                <w:rFonts w:asciiTheme="minorHAnsi" w:hAnsiTheme="minorHAnsi" w:cstheme="minorHAnsi"/>
                <w:sz w:val="20"/>
                <w:szCs w:val="20"/>
              </w:rPr>
              <w:t>€ 14,20</w:t>
            </w:r>
          </w:p>
        </w:tc>
      </w:tr>
    </w:tbl>
    <w:p w14:paraId="367B0A8E" w14:textId="3DA2B0CB" w:rsidR="00671BE6" w:rsidRPr="00671BE6" w:rsidRDefault="00671BE6" w:rsidP="00671BE6">
      <w:pPr>
        <w:numPr>
          <w:ilvl w:val="0"/>
          <w:numId w:val="35"/>
        </w:numPr>
        <w:spacing w:before="120" w:after="0"/>
        <w:ind w:left="426" w:hanging="284"/>
      </w:pPr>
      <w:r w:rsidRPr="00671BE6">
        <w:rPr>
          <w:rFonts w:eastAsia="Calibri"/>
          <w:b/>
          <w:bCs/>
          <w:lang w:eastAsia="en-US"/>
        </w:rPr>
        <w:t>na úhradu časti celkovej ceny práce zamestnanca</w:t>
      </w:r>
      <w:r w:rsidRPr="00671BE6">
        <w:rPr>
          <w:rFonts w:eastAsia="Calibri"/>
          <w:lang w:eastAsia="en-US"/>
        </w:rPr>
        <w:t>, ktorý organizuje aktivačnú činnosť v rámci projektu</w:t>
      </w:r>
      <w:r w:rsidRPr="00671BE6">
        <w:rPr>
          <w:rFonts w:eastAsia="Calibri"/>
          <w:b/>
          <w:bCs/>
          <w:lang w:eastAsia="en-US"/>
        </w:rPr>
        <w:t xml:space="preserve"> najviac vo výške</w:t>
      </w:r>
      <w:r w:rsidRPr="00671BE6">
        <w:rPr>
          <w:rFonts w:eastAsia="Calibri"/>
          <w:lang w:eastAsia="en-US"/>
        </w:rPr>
        <w:t xml:space="preserve"> </w:t>
      </w:r>
      <w:r w:rsidRPr="00671BE6">
        <w:rPr>
          <w:rFonts w:eastAsia="Calibri"/>
          <w:b/>
          <w:lang w:eastAsia="en-US"/>
        </w:rPr>
        <w:t>1</w:t>
      </w:r>
      <w:r w:rsidRPr="00671BE6">
        <w:rPr>
          <w:rFonts w:eastAsia="Calibri"/>
          <w:b/>
          <w:bCs/>
          <w:lang w:eastAsia="en-US"/>
        </w:rPr>
        <w:t xml:space="preserve"> % z celkovej ceny práce</w:t>
      </w:r>
      <w:r w:rsidRPr="00671BE6">
        <w:rPr>
          <w:rFonts w:eastAsia="Calibri"/>
          <w:lang w:eastAsia="en-US"/>
        </w:rPr>
        <w:t xml:space="preserve"> podľa § 49 ods. 4 zákona o službách zamestnanosti vypočítanej z priemernej mzdy zamestnanca v hospodárstve Slovenskej republiky za prvý až tretí štvrťrok kalendárneho roka, ktorý predchádza kalendárnemu roku, v ktorom sa príspevok poskytuje, </w:t>
      </w:r>
      <w:r w:rsidRPr="00671BE6">
        <w:rPr>
          <w:rFonts w:eastAsia="Calibri"/>
          <w:b/>
          <w:bCs/>
          <w:lang w:eastAsia="en-US"/>
        </w:rPr>
        <w:t xml:space="preserve">na jedného UoZ z cieľovej skupiny </w:t>
      </w:r>
      <w:r w:rsidRPr="00671BE6">
        <w:rPr>
          <w:rFonts w:eastAsia="Calibri"/>
          <w:lang w:eastAsia="en-US"/>
        </w:rPr>
        <w:t>vykonávajúceho menšie obecné služby pre obec alebo menšie služby pre samosprávny kraj</w:t>
      </w:r>
      <w:r w:rsidRPr="00671BE6">
        <w:t>.</w:t>
      </w:r>
    </w:p>
    <w:p w14:paraId="2950CA52" w14:textId="77777777" w:rsidR="00671BE6" w:rsidRPr="00671BE6" w:rsidRDefault="00671BE6" w:rsidP="00671BE6">
      <w:pPr>
        <w:spacing w:before="120" w:after="0"/>
        <w:ind w:firstLine="0"/>
        <w:rPr>
          <w:b/>
          <w:lang w:eastAsia="cs-CZ"/>
        </w:rPr>
      </w:pPr>
      <w:r w:rsidRPr="00671BE6">
        <w:rPr>
          <w:rFonts w:eastAsia="Calibri"/>
        </w:rPr>
        <w:t>Výška príspevku v závislosti od dohodnutého týždenného rozsahu hodín a od dohodnutého počtu UoZ, ktorí vykonávajú aktivačnú činnosť.</w:t>
      </w:r>
      <w:r w:rsidRPr="00671BE6">
        <w:rPr>
          <w:lang w:eastAsia="cs-CZ"/>
        </w:rPr>
        <w:t xml:space="preserve"> Na finančný príspevok nie </w:t>
      </w:r>
      <w:r w:rsidRPr="00671BE6">
        <w:rPr>
          <w:b/>
          <w:lang w:eastAsia="cs-CZ"/>
        </w:rPr>
        <w:t>je právny nárok</w:t>
      </w:r>
    </w:p>
    <w:p w14:paraId="77268465" w14:textId="08384432" w:rsidR="00671BE6" w:rsidRPr="00671BE6" w:rsidRDefault="00671BE6" w:rsidP="00671BE6">
      <w:pPr>
        <w:spacing w:before="120" w:after="0"/>
      </w:pPr>
      <w:r w:rsidRPr="00671BE6">
        <w:t xml:space="preserve">Dohodnutá výška príspevku sa po celú dobu trvania aktivačnej činnosti nebude meniť (nevalorizuje sa). </w:t>
      </w:r>
    </w:p>
    <w:p w14:paraId="17D21BA3" w14:textId="11DB0FFC" w:rsidR="00671BE6" w:rsidRPr="00671BE6" w:rsidRDefault="00671BE6" w:rsidP="00671BE6">
      <w:pPr>
        <w:spacing w:before="120" w:after="0"/>
        <w:ind w:firstLine="0"/>
        <w:rPr>
          <w:lang w:eastAsia="en-US"/>
        </w:rPr>
      </w:pPr>
      <w:r w:rsidRPr="00671BE6">
        <w:rPr>
          <w:lang w:eastAsia="en-US"/>
        </w:rPr>
        <w:t>V roku 2023 bolo prijatých 3150</w:t>
      </w:r>
      <w:r w:rsidRPr="00671BE6">
        <w:rPr>
          <w:bCs/>
          <w:lang w:eastAsia="en-US"/>
        </w:rPr>
        <w:t xml:space="preserve"> žiadostí zamestnávateľov</w:t>
      </w:r>
      <w:r w:rsidRPr="00671BE6">
        <w:rPr>
          <w:lang w:eastAsia="en-US"/>
        </w:rPr>
        <w:t xml:space="preserve"> o poskytnutie finančného príspevku na aktivačnú činnosť formou menších obecných služieb pre UoZ na účely zabezpečenia vykonávania aktivačnej činnosti, z toho bolo </w:t>
      </w:r>
      <w:r w:rsidRPr="00671BE6">
        <w:rPr>
          <w:bCs/>
          <w:lang w:eastAsia="en-US"/>
        </w:rPr>
        <w:t xml:space="preserve">schválených 3 075 </w:t>
      </w:r>
      <w:r w:rsidRPr="00671BE6">
        <w:rPr>
          <w:lang w:eastAsia="en-US"/>
        </w:rPr>
        <w:t xml:space="preserve">žiadostí na 29 208 PM, z toho pre organizátora 704 PM </w:t>
      </w:r>
      <w:r w:rsidRPr="00671BE6">
        <w:rPr>
          <w:rFonts w:eastAsia="Calibri"/>
          <w:lang w:eastAsia="en-US"/>
        </w:rPr>
        <w:t>s čerpaním finančných prostriedkov vo výške 1 162 820</w:t>
      </w:r>
      <w:r w:rsidRPr="00671BE6">
        <w:rPr>
          <w:rFonts w:eastAsia="Batang"/>
          <w:bCs/>
        </w:rPr>
        <w:t xml:space="preserve"> eur</w:t>
      </w:r>
      <w:r w:rsidRPr="00671BE6">
        <w:rPr>
          <w:rFonts w:eastAsia="Calibri"/>
          <w:bCs/>
          <w:lang w:eastAsia="en-US"/>
        </w:rPr>
        <w:t>.</w:t>
      </w:r>
      <w:r w:rsidRPr="00671BE6">
        <w:rPr>
          <w:lang w:eastAsia="en-US"/>
        </w:rPr>
        <w:t xml:space="preserve"> </w:t>
      </w:r>
    </w:p>
    <w:p w14:paraId="7294BC19" w14:textId="2AE99B7C" w:rsidR="00671BE6" w:rsidRPr="00671BE6" w:rsidRDefault="00671BE6" w:rsidP="00671BE6">
      <w:pPr>
        <w:spacing w:before="120" w:after="0"/>
        <w:rPr>
          <w:lang w:eastAsia="en-US"/>
        </w:rPr>
      </w:pPr>
      <w:r w:rsidRPr="00671BE6">
        <w:rPr>
          <w:lang w:eastAsia="en-US"/>
        </w:rPr>
        <w:t xml:space="preserve">Do projektu bolo v roku 2023 (od apríla 2023) </w:t>
      </w:r>
      <w:r w:rsidRPr="00671BE6">
        <w:rPr>
          <w:bCs/>
          <w:lang w:eastAsia="en-US"/>
        </w:rPr>
        <w:t>zaradených 28 007 UoZ,</w:t>
      </w:r>
      <w:r w:rsidRPr="00671BE6">
        <w:rPr>
          <w:lang w:eastAsia="en-US"/>
        </w:rPr>
        <w:t xml:space="preserve"> z toho 16 712 žien, 11 293 mužov a 2 neurčený.</w:t>
      </w:r>
    </w:p>
    <w:p w14:paraId="4F00FD59" w14:textId="3B6F7CE7" w:rsidR="00671BE6" w:rsidRPr="00671BE6" w:rsidRDefault="00671BE6" w:rsidP="00671BE6">
      <w:pPr>
        <w:spacing w:before="120" w:after="0"/>
        <w:ind w:firstLine="0"/>
      </w:pPr>
      <w:r w:rsidRPr="00671BE6">
        <w:rPr>
          <w:bCs/>
        </w:rPr>
        <w:t>Z hľadiska doby evidencie</w:t>
      </w:r>
      <w:r w:rsidRPr="00671BE6">
        <w:t>, pred zaradením na vykonávanie aktivačnej činnosti bolo v roku 2023 (od 1. apríla 2023) najviac –20 086 UoZ (71,72 %) v evidencii UoZ nad 24 mesiacov, od 13 do 24 mesiacov bolo v evidencii 4 066 UoZ (14,52 %), od 7 do 12 mesiacov bolo v evidencii 2 290 UoZ (8,18 %) , od 4 do 6 mesiacov v evidencii 978 UoZ (3,49 %), do 3 mesiacov v evidencii 587 UoZ(2,10 %), čo znázorňuje graf.</w:t>
      </w:r>
    </w:p>
    <w:p w14:paraId="74041951" w14:textId="2462DCAD" w:rsidR="00671BE6" w:rsidRPr="00671BE6" w:rsidRDefault="00671BE6" w:rsidP="00671BE6">
      <w:pPr>
        <w:spacing w:after="0"/>
        <w:ind w:firstLine="0"/>
      </w:pPr>
      <w:r w:rsidRPr="00671BE6">
        <w:rPr>
          <w:sz w:val="20"/>
          <w:szCs w:val="20"/>
          <w:highlight w:val="yellow"/>
        </w:rPr>
        <w:t xml:space="preserve"> </w:t>
      </w:r>
    </w:p>
    <w:p w14:paraId="5C4C3E65" w14:textId="77777777" w:rsidR="00671BE6" w:rsidRPr="00C67497" w:rsidRDefault="00671BE6" w:rsidP="00671BE6">
      <w:pPr>
        <w:spacing w:before="120" w:after="0"/>
        <w:ind w:firstLine="0"/>
        <w:rPr>
          <w:noProof/>
          <w:color w:val="FF0000"/>
          <w:sz w:val="20"/>
          <w:szCs w:val="20"/>
        </w:rPr>
      </w:pPr>
      <w:r w:rsidRPr="00C67497">
        <w:rPr>
          <w:noProof/>
          <w:color w:val="FF0000"/>
          <w:sz w:val="20"/>
          <w:szCs w:val="20"/>
        </w:rPr>
        <w:lastRenderedPageBreak/>
        <w:drawing>
          <wp:anchor distT="0" distB="0" distL="114300" distR="114300" simplePos="0" relativeHeight="252582400" behindDoc="0" locked="0" layoutInCell="1" allowOverlap="1" wp14:anchorId="29F9AE66" wp14:editId="678E7495">
            <wp:simplePos x="0" y="0"/>
            <wp:positionH relativeFrom="margin">
              <wp:posOffset>-2540</wp:posOffset>
            </wp:positionH>
            <wp:positionV relativeFrom="paragraph">
              <wp:posOffset>220345</wp:posOffset>
            </wp:positionV>
            <wp:extent cx="5862955" cy="2965450"/>
            <wp:effectExtent l="0" t="0" r="4445" b="6350"/>
            <wp:wrapTopAndBottom/>
            <wp:docPr id="5" name="Graf 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p>
    <w:p w14:paraId="668F3E81" w14:textId="362C74ED" w:rsidR="00671BE6" w:rsidRPr="00B6468E" w:rsidRDefault="00671BE6" w:rsidP="00B6468E">
      <w:pPr>
        <w:autoSpaceDE w:val="0"/>
        <w:autoSpaceDN w:val="0"/>
        <w:adjustRightInd w:val="0"/>
        <w:spacing w:before="120" w:after="120"/>
        <w:ind w:firstLine="0"/>
        <w:rPr>
          <w:rFonts w:eastAsiaTheme="minorHAnsi"/>
          <w:lang w:eastAsia="en-US"/>
        </w:rPr>
      </w:pPr>
      <w:r w:rsidRPr="00B6468E">
        <w:rPr>
          <w:rFonts w:eastAsiaTheme="minorHAnsi"/>
          <w:lang w:eastAsia="en-US"/>
        </w:rPr>
        <w:t>Najväčší podiel zaradených UoZ bol vo veku od 30 do 49 rokov a to v počte 14 670 UoZ (52,38 %). Nasledovali UoZ vo veku 50 rokov a viac, ktorých bolo 10 093 (36,04 %), a vo veku od 25 do 29 rokov a to v počte 2 021 UoZ (7,22 %). Najmenší podiel zaradených v tomto projekte boli UoZ vo veku do 24 rokov v počte 1 223 UoZ (4,37 %) - v štruktúre podľa grafu</w:t>
      </w:r>
      <w:r w:rsidR="00B6468E" w:rsidRPr="00B6468E">
        <w:rPr>
          <w:rFonts w:eastAsiaTheme="minorHAnsi"/>
          <w:lang w:eastAsia="en-US"/>
        </w:rPr>
        <w:t xml:space="preserve">. </w:t>
      </w:r>
    </w:p>
    <w:p w14:paraId="205DD84C" w14:textId="77777777" w:rsidR="00671BE6" w:rsidRPr="00C67497" w:rsidRDefault="00671BE6" w:rsidP="00671BE6">
      <w:pPr>
        <w:autoSpaceDE w:val="0"/>
        <w:autoSpaceDN w:val="0"/>
        <w:adjustRightInd w:val="0"/>
        <w:spacing w:before="60" w:after="0"/>
        <w:ind w:hanging="6"/>
        <w:rPr>
          <w:rFonts w:eastAsiaTheme="minorHAnsi"/>
          <w:color w:val="FF0000"/>
          <w:highlight w:val="yellow"/>
          <w:lang w:eastAsia="en-US"/>
        </w:rPr>
      </w:pPr>
      <w:r w:rsidRPr="00C67497">
        <w:rPr>
          <w:rFonts w:ascii="Calibri" w:eastAsia="Calibri" w:hAnsi="Calibri"/>
          <w:bCs/>
          <w:iCs/>
          <w:noProof/>
          <w:color w:val="FF0000"/>
          <w:sz w:val="22"/>
          <w:szCs w:val="22"/>
        </w:rPr>
        <w:drawing>
          <wp:inline distT="0" distB="0" distL="0" distR="0" wp14:anchorId="3D3B2324" wp14:editId="45159AA5">
            <wp:extent cx="5850890" cy="2981739"/>
            <wp:effectExtent l="0" t="0" r="16510"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0C2CC44" w14:textId="2F4949D9" w:rsidR="00671BE6" w:rsidRPr="00B6468E" w:rsidRDefault="00671BE6" w:rsidP="00B6468E">
      <w:pPr>
        <w:autoSpaceDE w:val="0"/>
        <w:autoSpaceDN w:val="0"/>
        <w:adjustRightInd w:val="0"/>
        <w:spacing w:before="120" w:after="0"/>
        <w:ind w:firstLine="0"/>
        <w:rPr>
          <w:rFonts w:eastAsiaTheme="minorHAnsi"/>
          <w:lang w:eastAsia="en-US"/>
        </w:rPr>
      </w:pPr>
      <w:r w:rsidRPr="00B6468E">
        <w:rPr>
          <w:rFonts w:eastAsiaTheme="minorHAnsi"/>
          <w:lang w:eastAsia="en-US"/>
        </w:rPr>
        <w:t xml:space="preserve">Z hľadiska znevýhodnenia, najvyšší počet tvorili občania, ktorí boli dlhodobo nezamestnaný v počte 24 127 UoZ (30,74 %), ďalšiu skupiny tvorili občania, ktorí najmenej 12 po sebe nasledujúcich kalendárnych mesiacov pred zaradením do evidencie UoZ nemali pravidelne platené zamestnanie a to v počte 22 009 UoZ (28,04 %), ďalej nasledovali občania, ktorí dosiahli vzdelanie nižšie ako stredné odborné bolo 20 547 UoZ (26,18 %), UoZ starší ako 50 rokov 9 954 UoZ (12,68 </w:t>
      </w:r>
      <w:r w:rsidRPr="00B6468E">
        <w:rPr>
          <w:rFonts w:eastAsiaTheme="minorHAnsi"/>
          <w:lang w:val="en-GB" w:eastAsia="en-US"/>
        </w:rPr>
        <w:t>%</w:t>
      </w:r>
      <w:r w:rsidRPr="00B6468E">
        <w:rPr>
          <w:rFonts w:eastAsiaTheme="minorHAnsi"/>
          <w:lang w:eastAsia="en-US"/>
        </w:rPr>
        <w:t xml:space="preserve">), UoZ, ktorí ukončili poberanie materského alebo poberanie rodičovského príspevku 1 088 UoZ (1,39 %), občania so zdravotným postihnutím 384 UoZ (00,49 </w:t>
      </w:r>
      <w:r w:rsidRPr="00B6468E">
        <w:rPr>
          <w:rFonts w:eastAsiaTheme="minorHAnsi"/>
          <w:lang w:val="en-GB" w:eastAsia="en-US"/>
        </w:rPr>
        <w:t>%</w:t>
      </w:r>
      <w:r w:rsidRPr="00B6468E">
        <w:rPr>
          <w:rFonts w:eastAsiaTheme="minorHAnsi"/>
          <w:lang w:eastAsia="en-US"/>
        </w:rPr>
        <w:t>), osamelý občan – starostlivosť o odkázanú osobu/starajúci sa o dieťa 307 UoZ (00,39 %) absolventi škôl 70 UoZ (0,09 %) a štátny príslušníci tretej krajiny 0 UoZ (0,00 %) v štruktúre podľa grafu</w:t>
      </w:r>
      <w:r w:rsidR="00B6468E">
        <w:rPr>
          <w:rFonts w:eastAsiaTheme="minorHAnsi"/>
          <w:lang w:eastAsia="en-US"/>
        </w:rPr>
        <w:t xml:space="preserve"> nižšie</w:t>
      </w:r>
      <w:r w:rsidRPr="00B6468E">
        <w:rPr>
          <w:rFonts w:eastAsiaTheme="minorHAnsi"/>
          <w:lang w:eastAsia="en-US"/>
        </w:rPr>
        <w:t>.</w:t>
      </w:r>
    </w:p>
    <w:p w14:paraId="00E69435" w14:textId="4932645B" w:rsidR="00671BE6" w:rsidRPr="00B6468E" w:rsidRDefault="00B6468E" w:rsidP="00671BE6">
      <w:pPr>
        <w:spacing w:before="120" w:after="0"/>
        <w:ind w:firstLine="0"/>
        <w:rPr>
          <w:rFonts w:eastAsiaTheme="minorHAnsi"/>
          <w:highlight w:val="yellow"/>
          <w:lang w:eastAsia="en-US"/>
        </w:rPr>
      </w:pPr>
      <w:r w:rsidRPr="00C67497">
        <w:rPr>
          <w:noProof/>
          <w:color w:val="FF0000"/>
          <w:sz w:val="20"/>
          <w:szCs w:val="20"/>
        </w:rPr>
        <w:lastRenderedPageBreak/>
        <w:drawing>
          <wp:anchor distT="0" distB="0" distL="114300" distR="114300" simplePos="0" relativeHeight="252584448" behindDoc="0" locked="0" layoutInCell="1" allowOverlap="1" wp14:anchorId="3FDFB312" wp14:editId="09416C26">
            <wp:simplePos x="0" y="0"/>
            <wp:positionH relativeFrom="margin">
              <wp:posOffset>-73660</wp:posOffset>
            </wp:positionH>
            <wp:positionV relativeFrom="paragraph">
              <wp:posOffset>5492115</wp:posOffset>
            </wp:positionV>
            <wp:extent cx="5862955" cy="3466465"/>
            <wp:effectExtent l="0" t="0" r="4445" b="635"/>
            <wp:wrapTopAndBottom/>
            <wp:docPr id="14" name="Graf 1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00671BE6" w:rsidRPr="00B6468E">
        <w:rPr>
          <w:noProof/>
          <w:sz w:val="20"/>
          <w:szCs w:val="20"/>
        </w:rPr>
        <w:drawing>
          <wp:anchor distT="0" distB="0" distL="114300" distR="114300" simplePos="0" relativeHeight="252583424" behindDoc="0" locked="0" layoutInCell="1" allowOverlap="1" wp14:anchorId="7E80D318" wp14:editId="641A13CF">
            <wp:simplePos x="0" y="0"/>
            <wp:positionH relativeFrom="margin">
              <wp:posOffset>-40640</wp:posOffset>
            </wp:positionH>
            <wp:positionV relativeFrom="paragraph">
              <wp:posOffset>172223</wp:posOffset>
            </wp:positionV>
            <wp:extent cx="5833745" cy="3340100"/>
            <wp:effectExtent l="0" t="0" r="14605" b="12700"/>
            <wp:wrapTopAndBottom/>
            <wp:docPr id="13" name="Graf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00671BE6" w:rsidRPr="00B6468E">
        <w:rPr>
          <w:rFonts w:eastAsiaTheme="minorHAnsi"/>
          <w:lang w:eastAsia="en-US"/>
        </w:rPr>
        <w:t xml:space="preserve">Podľa dosiahnutého stupňa vzdelania, najväčšiu skupinu zaradených UoZ tvorili so základným vzdelaním 14 977 UoZ (53,53 %) druhú skupinu predstavujú UoZ, ktorí dosiahli stredné odborné vzdelanie a to v počte 5 856 UoZ (20,93 %) a významne zastúpená bola aj skupina UoZ s neukončeným základným vzdelaním v počte 5 175 UoZ (18,50 %) a s úplným stredným odborným vzdelaním – 1 230 UoZ (4,40 %), ďalšími skupinami boli UoZ s úplným stredným všeobecným vzdelaním v počte 157 UoZ (0,56 %), s nižším odborným vzdelaním v počte 427 UoZ (1,53 %),s vyšším odborným vzdelaním v počte 10 UoZ (0,04 %), s vysokoškolským vzdelaním prvého stupňa v počte 27 UoZ (00,10 %), s vysokoškolským vzdelaním druhého stupňa v počte 115 UoZ (0,41 %) a s vysokoškolským vzdelaním tretieho stupňa v počte 4 UoZ (0,01 </w:t>
      </w:r>
      <w:r>
        <w:rPr>
          <w:rFonts w:eastAsiaTheme="minorHAnsi"/>
          <w:lang w:eastAsia="en-US"/>
        </w:rPr>
        <w:t>%), v štruktúre podľa grafu dolu.</w:t>
      </w:r>
    </w:p>
    <w:p w14:paraId="08741280" w14:textId="25272310" w:rsidR="00671BE6" w:rsidRDefault="00671BE6" w:rsidP="00671BE6">
      <w:pPr>
        <w:spacing w:before="120" w:after="120"/>
        <w:ind w:firstLine="0"/>
        <w:rPr>
          <w:rFonts w:eastAsiaTheme="minorHAnsi"/>
          <w:lang w:eastAsia="en-US"/>
        </w:rPr>
      </w:pPr>
      <w:r w:rsidRPr="00B6468E">
        <w:rPr>
          <w:rFonts w:eastAsiaTheme="minorHAnsi"/>
          <w:lang w:eastAsia="en-US"/>
        </w:rPr>
        <w:lastRenderedPageBreak/>
        <w:t>Do projektu sa zapojilo 3 075 zamestnávateľov. Z hľadiska právnej formy zamestnávateľa, najväčší záujem o výkon aktivačnej činnosti prejavili obce a mestá – 2 977 (96,81 %) za nimi nasledovali rozpočtové organizácie, ktorých bolo 77 (2,50 %) a príspevkové organizácie, ktorý</w:t>
      </w:r>
      <w:r w:rsidR="001E230D">
        <w:rPr>
          <w:rFonts w:eastAsiaTheme="minorHAnsi"/>
          <w:lang w:eastAsia="en-US"/>
        </w:rPr>
        <w:t xml:space="preserve">ch bolo 21 (0,68 %), </w:t>
      </w:r>
      <w:r w:rsidR="00B6468E">
        <w:rPr>
          <w:rFonts w:eastAsiaTheme="minorHAnsi"/>
          <w:lang w:eastAsia="en-US"/>
        </w:rPr>
        <w:t>v štruktúre podľa grafu</w:t>
      </w:r>
      <w:r w:rsidR="001E230D">
        <w:rPr>
          <w:rFonts w:eastAsiaTheme="minorHAnsi"/>
          <w:lang w:eastAsia="en-US"/>
        </w:rPr>
        <w:t xml:space="preserve"> nižšie.</w:t>
      </w:r>
    </w:p>
    <w:p w14:paraId="6978D2FC" w14:textId="4A086260" w:rsidR="006E616C" w:rsidRDefault="006E616C" w:rsidP="00671BE6">
      <w:pPr>
        <w:spacing w:before="120" w:after="120"/>
        <w:ind w:firstLine="0"/>
        <w:rPr>
          <w:rFonts w:eastAsiaTheme="minorHAnsi"/>
          <w:lang w:eastAsia="en-US"/>
        </w:rPr>
      </w:pPr>
      <w:r w:rsidRPr="00C67497">
        <w:rPr>
          <w:rFonts w:eastAsiaTheme="minorHAnsi"/>
          <w:noProof/>
          <w:color w:val="FF0000"/>
        </w:rPr>
        <w:drawing>
          <wp:anchor distT="0" distB="0" distL="114300" distR="114300" simplePos="0" relativeHeight="252585472" behindDoc="1" locked="0" layoutInCell="1" allowOverlap="1" wp14:anchorId="1AB55201" wp14:editId="2C58814D">
            <wp:simplePos x="0" y="0"/>
            <wp:positionH relativeFrom="margin">
              <wp:posOffset>-9912</wp:posOffset>
            </wp:positionH>
            <wp:positionV relativeFrom="paragraph">
              <wp:posOffset>18112</wp:posOffset>
            </wp:positionV>
            <wp:extent cx="5828030" cy="2918129"/>
            <wp:effectExtent l="0" t="0" r="1270" b="15875"/>
            <wp:wrapNone/>
            <wp:docPr id="17" name="Graf 1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3278EEAF" w14:textId="7224CDCC" w:rsidR="006E616C" w:rsidRPr="00B6468E" w:rsidRDefault="006E616C" w:rsidP="00671BE6">
      <w:pPr>
        <w:spacing w:before="120" w:after="120"/>
        <w:ind w:firstLine="0"/>
        <w:rPr>
          <w:rFonts w:eastAsiaTheme="minorHAnsi"/>
          <w:lang w:eastAsia="en-US"/>
        </w:rPr>
      </w:pPr>
    </w:p>
    <w:p w14:paraId="67F678DC" w14:textId="38164957" w:rsidR="00671BE6" w:rsidRDefault="00671BE6" w:rsidP="00671BE6">
      <w:pPr>
        <w:spacing w:before="120" w:after="120"/>
        <w:ind w:firstLine="0"/>
      </w:pPr>
    </w:p>
    <w:p w14:paraId="162B8EF2" w14:textId="65CCE97A" w:rsidR="00B6468E" w:rsidRDefault="00B6468E" w:rsidP="00671BE6">
      <w:pPr>
        <w:spacing w:before="120" w:after="120"/>
        <w:ind w:firstLine="0"/>
      </w:pPr>
    </w:p>
    <w:p w14:paraId="0125EAAF" w14:textId="47D87223" w:rsidR="00B6468E" w:rsidRDefault="00B6468E" w:rsidP="00671BE6">
      <w:pPr>
        <w:spacing w:before="120" w:after="120"/>
        <w:ind w:firstLine="0"/>
      </w:pPr>
    </w:p>
    <w:p w14:paraId="559F784A" w14:textId="6EE539DC" w:rsidR="00B6468E" w:rsidRDefault="00B6468E" w:rsidP="00671BE6">
      <w:pPr>
        <w:spacing w:before="120" w:after="120"/>
        <w:ind w:firstLine="0"/>
      </w:pPr>
    </w:p>
    <w:p w14:paraId="6AE99F56" w14:textId="0D0DA142" w:rsidR="00B6468E" w:rsidRDefault="00B6468E" w:rsidP="00671BE6">
      <w:pPr>
        <w:spacing w:before="120" w:after="120"/>
        <w:ind w:firstLine="0"/>
      </w:pPr>
    </w:p>
    <w:p w14:paraId="5EF0095D" w14:textId="6666FAF4" w:rsidR="00B6468E" w:rsidRDefault="00B6468E" w:rsidP="00671BE6">
      <w:pPr>
        <w:spacing w:before="120" w:after="120"/>
        <w:ind w:firstLine="0"/>
      </w:pPr>
    </w:p>
    <w:p w14:paraId="17B65582" w14:textId="6780B4E3" w:rsidR="00B6468E" w:rsidRDefault="00B6468E" w:rsidP="00671BE6">
      <w:pPr>
        <w:spacing w:before="120" w:after="120"/>
        <w:ind w:firstLine="0"/>
      </w:pPr>
    </w:p>
    <w:p w14:paraId="4FA84620" w14:textId="02DB7B1B" w:rsidR="00B6468E" w:rsidRDefault="00B6468E" w:rsidP="00671BE6">
      <w:pPr>
        <w:spacing w:before="120" w:after="120"/>
        <w:ind w:firstLine="0"/>
      </w:pPr>
    </w:p>
    <w:p w14:paraId="390E69B7" w14:textId="48317F9A" w:rsidR="00B6468E" w:rsidRDefault="00B6468E" w:rsidP="00671BE6">
      <w:pPr>
        <w:spacing w:before="120" w:after="120"/>
        <w:ind w:firstLine="0"/>
      </w:pPr>
    </w:p>
    <w:p w14:paraId="2DF912E2" w14:textId="454112EB" w:rsidR="00B6468E" w:rsidRDefault="00B6468E" w:rsidP="00671BE6">
      <w:pPr>
        <w:spacing w:before="120" w:after="120"/>
        <w:ind w:firstLine="0"/>
      </w:pPr>
    </w:p>
    <w:p w14:paraId="7587913F" w14:textId="77777777" w:rsidR="00671BE6" w:rsidRPr="001E230D" w:rsidRDefault="00671BE6" w:rsidP="006E616C">
      <w:pPr>
        <w:pStyle w:val="Nadpis30"/>
        <w:spacing w:before="360" w:after="0"/>
        <w:ind w:hanging="6"/>
        <w:rPr>
          <w:color w:val="auto"/>
        </w:rPr>
      </w:pPr>
      <w:bookmarkStart w:id="205" w:name="_Toc173741588"/>
      <w:r w:rsidRPr="001E230D">
        <w:rPr>
          <w:color w:val="auto"/>
        </w:rPr>
        <w:t>6.4.5 Projekt „Podpora obcí zasiahnutých zemetrasením“</w:t>
      </w:r>
      <w:bookmarkEnd w:id="205"/>
    </w:p>
    <w:p w14:paraId="6CDC0B5B" w14:textId="51987E03" w:rsidR="00671BE6" w:rsidRPr="001E230D" w:rsidRDefault="00671BE6" w:rsidP="001E230D">
      <w:pPr>
        <w:spacing w:before="120" w:after="0"/>
      </w:pPr>
      <w:r w:rsidRPr="001E230D">
        <w:rPr>
          <w:bCs/>
        </w:rPr>
        <w:t>Cieľom projektu „</w:t>
      </w:r>
      <w:r w:rsidRPr="001E230D">
        <w:rPr>
          <w:bCs/>
          <w:lang w:eastAsia="en-US"/>
        </w:rPr>
        <w:t>Podpora obcí zasiahnutých zemetrasením</w:t>
      </w:r>
      <w:r w:rsidRPr="001E230D">
        <w:rPr>
          <w:bCs/>
        </w:rPr>
        <w:t>“</w:t>
      </w:r>
      <w:r w:rsidRPr="001E230D">
        <w:t xml:space="preserve"> </w:t>
      </w:r>
      <w:r w:rsidR="001E230D">
        <w:t>bola/</w:t>
      </w:r>
      <w:r w:rsidRPr="001E230D">
        <w:t xml:space="preserve">je pomoc obciam zasiahnutým prírodnou katastrofou (zemetrasením) pri obnove poškodenej infraštruktúry, budov a verejného majetku obcí. Splnenie stanoveného cieľa sa zabezpečí prostredníctvom podpory vytvorenia pracovného miesta na dobu určitú pre obyvateľov dotknutých obcí za účelom pomoci pri obnove verejného majetku. Projekt je financovaný zo štátneho rozpočtu. </w:t>
      </w:r>
    </w:p>
    <w:p w14:paraId="50AC8A6F" w14:textId="77777777" w:rsidR="00671BE6" w:rsidRPr="001E230D" w:rsidRDefault="00671BE6" w:rsidP="001E230D">
      <w:pPr>
        <w:spacing w:before="120" w:after="0"/>
      </w:pPr>
      <w:r w:rsidRPr="001E230D">
        <w:t xml:space="preserve">Za </w:t>
      </w:r>
      <w:r w:rsidRPr="001E230D">
        <w:rPr>
          <w:bCs/>
        </w:rPr>
        <w:t>oprávneného žiadateľa</w:t>
      </w:r>
      <w:r w:rsidRPr="001E230D">
        <w:t xml:space="preserve"> sa považuje obec, ktorá bola </w:t>
      </w:r>
      <w:r w:rsidRPr="001E230D">
        <w:rPr>
          <w:bCs/>
        </w:rPr>
        <w:t xml:space="preserve">zasiahnutá prírodnou katastrofou (zemetrasením) </w:t>
      </w:r>
      <w:r w:rsidRPr="001E230D">
        <w:t xml:space="preserve">v rámci okresov </w:t>
      </w:r>
      <w:r w:rsidRPr="001E230D">
        <w:rPr>
          <w:bCs/>
        </w:rPr>
        <w:t>Humenné, Stropkov a Vranov nad Topľou</w:t>
      </w:r>
      <w:r w:rsidRPr="001E230D">
        <w:t>.</w:t>
      </w:r>
    </w:p>
    <w:p w14:paraId="06479F37" w14:textId="77777777" w:rsidR="00671BE6" w:rsidRPr="001E230D" w:rsidRDefault="00671BE6" w:rsidP="001E230D">
      <w:pPr>
        <w:pStyle w:val="Normlnywebov"/>
        <w:shd w:val="clear" w:color="auto" w:fill="FFFFFF"/>
        <w:spacing w:before="120" w:beforeAutospacing="0" w:after="0" w:afterAutospacing="0"/>
        <w:rPr>
          <w:rFonts w:ascii="Times New Roman" w:hAnsi="Times New Roman" w:cs="Times New Roman"/>
          <w:sz w:val="24"/>
          <w:szCs w:val="24"/>
          <w:lang w:val="sk-SK"/>
        </w:rPr>
      </w:pPr>
      <w:r w:rsidRPr="001E230D">
        <w:rPr>
          <w:rFonts w:ascii="Times New Roman" w:hAnsi="Times New Roman" w:cs="Times New Roman"/>
          <w:bCs/>
          <w:sz w:val="24"/>
          <w:szCs w:val="24"/>
          <w:lang w:val="sk-SK"/>
        </w:rPr>
        <w:t xml:space="preserve">Oprávnenou cieľovou skupinou projektu je uchádzač o zamestnanie </w:t>
      </w:r>
      <w:r w:rsidRPr="001E230D">
        <w:rPr>
          <w:rFonts w:ascii="Times New Roman" w:hAnsi="Times New Roman" w:cs="Times New Roman"/>
          <w:sz w:val="24"/>
          <w:szCs w:val="24"/>
          <w:lang w:val="sk-SK"/>
        </w:rPr>
        <w:t xml:space="preserve">podľa § 6 zákona o službách zamestnanosti, </w:t>
      </w:r>
      <w:r w:rsidRPr="001E230D">
        <w:rPr>
          <w:rFonts w:ascii="Times New Roman" w:hAnsi="Times New Roman" w:cs="Times New Roman"/>
          <w:bCs/>
          <w:sz w:val="24"/>
          <w:szCs w:val="24"/>
          <w:lang w:val="sk-SK"/>
        </w:rPr>
        <w:t xml:space="preserve">ktorý nie je poberateľom dávky v hmotnej núdzi a príspevkov k dávke v hmotnej núdzi </w:t>
      </w:r>
      <w:r w:rsidRPr="001E230D">
        <w:rPr>
          <w:rFonts w:ascii="Times New Roman" w:hAnsi="Times New Roman" w:cs="Times New Roman"/>
          <w:sz w:val="24"/>
          <w:szCs w:val="24"/>
          <w:lang w:val="sk-SK"/>
        </w:rPr>
        <w:t>v zmysle zákona č. 417/2013 Z. z. o pomoci v hmotnej núdzi a o zmene a doplnení niektorých zákonov.</w:t>
      </w:r>
    </w:p>
    <w:p w14:paraId="04B3C11F" w14:textId="77777777" w:rsidR="00671BE6" w:rsidRPr="001E230D" w:rsidRDefault="00671BE6" w:rsidP="001E230D">
      <w:pPr>
        <w:spacing w:before="120" w:after="0"/>
        <w:rPr>
          <w:bCs/>
        </w:rPr>
      </w:pPr>
      <w:r w:rsidRPr="001E230D">
        <w:rPr>
          <w:spacing w:val="4"/>
        </w:rPr>
        <w:t xml:space="preserve">Finančné príspevky poskytuje zamestnávateľovi (obci) úrad práce, sociálnych vecí a rodiny, v ktorého územnom obvode zamestnávateľ vytvorí pracovné miesto a </w:t>
      </w:r>
      <w:r w:rsidRPr="001E230D">
        <w:rPr>
          <w:bCs/>
          <w:spacing w:val="4"/>
        </w:rPr>
        <w:t xml:space="preserve">príjme na vytvorené pracovné miesto UoZ </w:t>
      </w:r>
      <w:r w:rsidRPr="001E230D">
        <w:rPr>
          <w:spacing w:val="4"/>
        </w:rPr>
        <w:t>z oprávnenej cieľovej skupiny,</w:t>
      </w:r>
      <w:r w:rsidRPr="001E230D">
        <w:rPr>
          <w:bCs/>
          <w:spacing w:val="4"/>
        </w:rPr>
        <w:t xml:space="preserve"> ak pracovný pomer je dohodnutý v rozsahu najmenej polovice ustanoveného týždenného pracovného času,</w:t>
      </w:r>
      <w:r w:rsidRPr="001E230D">
        <w:rPr>
          <w:spacing w:val="4"/>
        </w:rPr>
        <w:t xml:space="preserve"> </w:t>
      </w:r>
      <w:r w:rsidRPr="001E230D">
        <w:t>na dobu určitú s podmienkou zamestnávania po dobu minimálne 6 mesiacov, resp. na neurčitý čas.</w:t>
      </w:r>
      <w:r w:rsidRPr="001E230D">
        <w:rPr>
          <w:bCs/>
        </w:rPr>
        <w:t xml:space="preserve"> Finančné príspevky sa </w:t>
      </w:r>
      <w:r w:rsidRPr="001E230D">
        <w:t>poskytujú</w:t>
      </w:r>
      <w:r w:rsidRPr="001E230D">
        <w:rPr>
          <w:bCs/>
        </w:rPr>
        <w:t xml:space="preserve"> </w:t>
      </w:r>
      <w:r w:rsidRPr="001E230D">
        <w:t>najdlhšie po dobu 6</w:t>
      </w:r>
      <w:r w:rsidRPr="001E230D">
        <w:rPr>
          <w:bCs/>
        </w:rPr>
        <w:t xml:space="preserve"> mesiacov. </w:t>
      </w:r>
    </w:p>
    <w:p w14:paraId="7F048851" w14:textId="77777777" w:rsidR="00671BE6" w:rsidRPr="001E230D" w:rsidRDefault="00671BE6" w:rsidP="001E230D">
      <w:pPr>
        <w:pStyle w:val="Odsekzoznamu"/>
        <w:spacing w:after="0"/>
        <w:ind w:firstLine="0"/>
        <w:rPr>
          <w:rFonts w:cs="Times New Roman"/>
          <w:szCs w:val="24"/>
        </w:rPr>
      </w:pPr>
      <w:r w:rsidRPr="001E230D">
        <w:rPr>
          <w:rFonts w:cs="Times New Roman"/>
          <w:szCs w:val="24"/>
        </w:rPr>
        <w:t xml:space="preserve">Finančný príspevok poskytuje úrad formou refundácie uhradených oprávnených výdavkov mesačne na základe predloženej žiadosti o úhradu platby (spolu s účtovnými dokladmi preukazujúcimi skutočnú výšku oprávnených výdavkov) vo výške </w:t>
      </w:r>
      <w:r w:rsidRPr="001E230D">
        <w:rPr>
          <w:rFonts w:cs="Times New Roman"/>
          <w:bCs/>
          <w:szCs w:val="24"/>
        </w:rPr>
        <w:t xml:space="preserve">90 % z minimálnej celkovej ceny práce </w:t>
      </w:r>
      <w:r w:rsidRPr="001E230D">
        <w:rPr>
          <w:rFonts w:cs="Times New Roman"/>
          <w:szCs w:val="24"/>
        </w:rPr>
        <w:t>(ďalej len „MCCP“)</w:t>
      </w:r>
      <w:r w:rsidRPr="001E230D">
        <w:rPr>
          <w:rFonts w:cs="Times New Roman"/>
          <w:bCs/>
          <w:szCs w:val="24"/>
        </w:rPr>
        <w:t xml:space="preserve"> </w:t>
      </w:r>
      <w:r w:rsidRPr="001E230D">
        <w:rPr>
          <w:rFonts w:cs="Times New Roman"/>
          <w:szCs w:val="24"/>
        </w:rPr>
        <w:t xml:space="preserve">ustanovenej na príslušný kalendárny rok, v ktorom sa príspevok poskytuje. Pre rok </w:t>
      </w:r>
      <w:r w:rsidRPr="001E230D">
        <w:rPr>
          <w:rFonts w:cs="Times New Roman"/>
          <w:bCs/>
          <w:szCs w:val="24"/>
        </w:rPr>
        <w:t>2023</w:t>
      </w:r>
      <w:r w:rsidRPr="001E230D">
        <w:rPr>
          <w:rFonts w:cs="Times New Roman"/>
          <w:szCs w:val="24"/>
        </w:rPr>
        <w:t xml:space="preserve"> je príspevok najviac vo výške </w:t>
      </w:r>
      <w:r w:rsidRPr="001E230D">
        <w:rPr>
          <w:rFonts w:cs="Times New Roman"/>
          <w:bCs/>
          <w:szCs w:val="24"/>
        </w:rPr>
        <w:t xml:space="preserve">851,76 € </w:t>
      </w:r>
      <w:r w:rsidRPr="001E230D">
        <w:rPr>
          <w:rFonts w:cs="Times New Roman"/>
          <w:szCs w:val="24"/>
        </w:rPr>
        <w:t xml:space="preserve">mesačne na podporené miesto. </w:t>
      </w:r>
    </w:p>
    <w:p w14:paraId="387B1C4E" w14:textId="70CABEC9" w:rsidR="00671BE6" w:rsidRPr="001E230D" w:rsidRDefault="00671BE6" w:rsidP="001E230D">
      <w:pPr>
        <w:spacing w:before="120" w:after="0"/>
        <w:ind w:firstLine="0"/>
        <w:rPr>
          <w:rFonts w:eastAsia="Calibri"/>
          <w:lang w:eastAsia="en-US"/>
        </w:rPr>
      </w:pPr>
      <w:r w:rsidRPr="001E230D">
        <w:rPr>
          <w:lang w:eastAsia="en-US"/>
        </w:rPr>
        <w:t>V roku 2023 bolo prijatých</w:t>
      </w:r>
      <w:r w:rsidRPr="001E230D">
        <w:rPr>
          <w:bCs/>
          <w:lang w:eastAsia="en-US"/>
        </w:rPr>
        <w:t xml:space="preserve"> 36 žiadostí zamestnávateľov</w:t>
      </w:r>
      <w:r w:rsidRPr="001E230D">
        <w:rPr>
          <w:lang w:eastAsia="en-US"/>
        </w:rPr>
        <w:t xml:space="preserve">, z toho bolo </w:t>
      </w:r>
      <w:r w:rsidRPr="001E230D">
        <w:rPr>
          <w:bCs/>
          <w:lang w:eastAsia="en-US"/>
        </w:rPr>
        <w:t xml:space="preserve">schválených 36 </w:t>
      </w:r>
      <w:r w:rsidRPr="001E230D">
        <w:rPr>
          <w:lang w:eastAsia="en-US"/>
        </w:rPr>
        <w:t xml:space="preserve">žiadostí (100 %) na 65 PM. Do projektu bolo v roku 2023 </w:t>
      </w:r>
      <w:r w:rsidRPr="001E230D">
        <w:rPr>
          <w:bCs/>
          <w:lang w:eastAsia="en-US"/>
        </w:rPr>
        <w:t>zaradených 58 UoZ,</w:t>
      </w:r>
      <w:r w:rsidRPr="001E230D">
        <w:rPr>
          <w:lang w:eastAsia="en-US"/>
        </w:rPr>
        <w:t xml:space="preserve"> z toho 22 žien a 36 mužov. </w:t>
      </w:r>
    </w:p>
    <w:p w14:paraId="34D7D02A" w14:textId="739B918D" w:rsidR="00671BE6" w:rsidRPr="001E230D" w:rsidRDefault="00671BE6" w:rsidP="001E230D">
      <w:pPr>
        <w:spacing w:before="120" w:after="0"/>
        <w:rPr>
          <w:rFonts w:eastAsia="Calibri"/>
        </w:rPr>
      </w:pPr>
      <w:r w:rsidRPr="001E230D">
        <w:lastRenderedPageBreak/>
        <w:t xml:space="preserve">Z hľadiska vekovej štruktúry, najväčšiu skupinu tvorili UoZ vo veku od 30 do 49 rokov  25 </w:t>
      </w:r>
      <w:r w:rsidRPr="001E230D">
        <w:rPr>
          <w:bCs/>
        </w:rPr>
        <w:t>UoZ</w:t>
      </w:r>
      <w:r w:rsidRPr="001E230D">
        <w:t xml:space="preserve">, čo je 43,10 % zo všetkých zaradených UoZ. Druhou skupinou bolo 22 UoZ vo veku od 50 rokov  (37,93 %). </w:t>
      </w:r>
      <w:r w:rsidRPr="001E230D">
        <w:rPr>
          <w:rFonts w:eastAsia="Calibri"/>
        </w:rPr>
        <w:t>Počet zaradených UoZ  podľa vekovej štruktúry je vyja</w:t>
      </w:r>
      <w:r w:rsidR="001E230D">
        <w:rPr>
          <w:rFonts w:eastAsia="Calibri"/>
        </w:rPr>
        <w:t>drený v nasledujúcom grafe.</w:t>
      </w:r>
    </w:p>
    <w:p w14:paraId="56599C12" w14:textId="77777777" w:rsidR="00671BE6" w:rsidRDefault="00671BE6" w:rsidP="00671BE6">
      <w:pPr>
        <w:kinsoku w:val="0"/>
        <w:overflowPunct w:val="0"/>
        <w:spacing w:before="120" w:after="0"/>
        <w:ind w:firstLine="0"/>
        <w:textAlignment w:val="baseline"/>
        <w:rPr>
          <w:rFonts w:eastAsia="Calibri"/>
        </w:rPr>
      </w:pPr>
      <w:r>
        <w:rPr>
          <w:noProof/>
        </w:rPr>
        <w:drawing>
          <wp:inline distT="0" distB="0" distL="0" distR="0" wp14:anchorId="5F6A6D6F" wp14:editId="5373D8A5">
            <wp:extent cx="5852160" cy="3013075"/>
            <wp:effectExtent l="0" t="0" r="15240" b="15875"/>
            <wp:docPr id="19" name="Graf 19">
              <a:extLst xmlns:a="http://schemas.openxmlformats.org/drawingml/2006/main">
                <a:ext uri="{FF2B5EF4-FFF2-40B4-BE49-F238E27FC236}">
                  <a16:creationId xmlns:a16="http://schemas.microsoft.com/office/drawing/2014/main" id="{0B87CC50-89DE-853A-942C-3998104EA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7C00B06" w14:textId="56524D0D" w:rsidR="00671BE6" w:rsidRPr="001E230D" w:rsidRDefault="00671BE6" w:rsidP="001E230D">
      <w:pPr>
        <w:spacing w:before="120" w:after="120"/>
        <w:ind w:firstLine="0"/>
      </w:pPr>
      <w:r w:rsidRPr="001E230D">
        <w:rPr>
          <w:bCs/>
        </w:rPr>
        <w:t>Z hľadiska doby evidencie</w:t>
      </w:r>
      <w:r w:rsidRPr="001E230D">
        <w:t xml:space="preserve"> bolo v roku 2023  najviac – 18 UoZ (31,03 %) v evidencii UoZ do 3 mesiacov, 24 UoZ bolo v evidencii nad 24 mesiacov (24,14 %), od 7 do 12 mesiacov bolo v evidencii 8 UoZ (13,79 %), od 13 do 24 mesiacov bolo v evidencii 7 UoZ (12,07%), od 4 do 6 mesiacov bolo v evidencii 11 UoZ (18,97 %), čo znázorňuje graf </w:t>
      </w:r>
      <w:r w:rsidR="001E230D">
        <w:t>pod textom.</w:t>
      </w:r>
    </w:p>
    <w:p w14:paraId="3D73A95D" w14:textId="77777777" w:rsidR="00671BE6" w:rsidRDefault="00671BE6" w:rsidP="00671BE6">
      <w:pPr>
        <w:spacing w:before="120" w:after="0"/>
        <w:ind w:hanging="6"/>
      </w:pPr>
      <w:r>
        <w:rPr>
          <w:rFonts w:asciiTheme="minorHAnsi" w:hAnsiTheme="minorHAnsi"/>
          <w:noProof/>
        </w:rPr>
        <w:drawing>
          <wp:inline distT="0" distB="0" distL="0" distR="0" wp14:anchorId="2730C74D" wp14:editId="646B4B19">
            <wp:extent cx="5852160" cy="3339465"/>
            <wp:effectExtent l="0" t="0" r="15240" b="13335"/>
            <wp:docPr id="57" name="Graf 57">
              <a:extLst xmlns:a="http://schemas.openxmlformats.org/drawingml/2006/main">
                <a:ext uri="{FF2B5EF4-FFF2-40B4-BE49-F238E27FC236}">
                  <a16:creationId xmlns:a16="http://schemas.microsoft.com/office/drawing/2014/main" id="{7E89C702-14E9-706F-E1F2-035269984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93539DE" w14:textId="3C49AD0A" w:rsidR="00671BE6" w:rsidRPr="00F751DA" w:rsidRDefault="00671BE6" w:rsidP="00671BE6">
      <w:pPr>
        <w:spacing w:before="120" w:after="120"/>
        <w:ind w:firstLine="0"/>
        <w:rPr>
          <w:rFonts w:eastAsiaTheme="minorHAnsi"/>
          <w:lang w:eastAsia="en-US"/>
        </w:rPr>
      </w:pPr>
      <w:r w:rsidRPr="001E230D">
        <w:rPr>
          <w:rFonts w:eastAsiaTheme="minorHAnsi"/>
          <w:lang w:eastAsia="en-US"/>
        </w:rPr>
        <w:t xml:space="preserve">Do projektu sa zapojilo 36 obcí a s dohodnutou sumou 337 764,24 eur. V rámci roka 2023 sa finančné prostriedky nečerpali z dôvodu, že realizácia </w:t>
      </w:r>
      <w:r w:rsidR="001E230D" w:rsidRPr="001E230D">
        <w:rPr>
          <w:rFonts w:eastAsiaTheme="minorHAnsi"/>
          <w:lang w:eastAsia="en-US"/>
        </w:rPr>
        <w:t>aktivity</w:t>
      </w:r>
      <w:r w:rsidRPr="001E230D">
        <w:rPr>
          <w:rFonts w:eastAsiaTheme="minorHAnsi"/>
          <w:lang w:eastAsia="en-US"/>
        </w:rPr>
        <w:t xml:space="preserve"> projektu začala až v decembri 2023.</w:t>
      </w:r>
    </w:p>
    <w:p w14:paraId="27C84B98" w14:textId="77777777" w:rsidR="00056FE1" w:rsidRDefault="00056FE1" w:rsidP="005258C1">
      <w:pPr>
        <w:autoSpaceDE w:val="0"/>
        <w:autoSpaceDN w:val="0"/>
        <w:adjustRightInd w:val="0"/>
        <w:spacing w:before="120" w:after="120"/>
        <w:ind w:firstLine="0"/>
        <w:jc w:val="left"/>
        <w:rPr>
          <w:lang w:eastAsia="cs-CZ"/>
        </w:rPr>
      </w:pPr>
    </w:p>
    <w:bookmarkEnd w:id="196"/>
    <w:bookmarkEnd w:id="197"/>
    <w:p w14:paraId="099E22B6" w14:textId="345B6421" w:rsidR="00056FE1" w:rsidRDefault="00056FE1" w:rsidP="005258C1">
      <w:pPr>
        <w:autoSpaceDE w:val="0"/>
        <w:autoSpaceDN w:val="0"/>
        <w:adjustRightInd w:val="0"/>
        <w:spacing w:before="120" w:after="120"/>
        <w:ind w:firstLine="0"/>
        <w:jc w:val="left"/>
        <w:rPr>
          <w:lang w:eastAsia="cs-CZ"/>
        </w:rPr>
      </w:pPr>
    </w:p>
    <w:sectPr w:rsidR="00056FE1" w:rsidSect="00BB4336">
      <w:footerReference w:type="default" r:id="rId120"/>
      <w:pgSz w:w="11906" w:h="16838" w:code="9"/>
      <w:pgMar w:top="992" w:right="127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CD450" w14:textId="77777777" w:rsidR="00212CDE" w:rsidRDefault="00212CDE" w:rsidP="00F97718">
      <w:pPr>
        <w:spacing w:after="0"/>
      </w:pPr>
      <w:r>
        <w:separator/>
      </w:r>
    </w:p>
  </w:endnote>
  <w:endnote w:type="continuationSeparator" w:id="0">
    <w:p w14:paraId="2BF8BD95" w14:textId="77777777" w:rsidR="00212CDE" w:rsidRDefault="00212CDE" w:rsidP="00F97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ahnschrift SemiLigh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45585"/>
      <w:docPartObj>
        <w:docPartGallery w:val="Page Numbers (Bottom of Page)"/>
        <w:docPartUnique/>
      </w:docPartObj>
    </w:sdtPr>
    <w:sdtContent>
      <w:p w14:paraId="10A846B7" w14:textId="2BA5F7EB" w:rsidR="00D64CEB" w:rsidRDefault="00D64CEB">
        <w:pPr>
          <w:pStyle w:val="Pta"/>
          <w:jc w:val="center"/>
        </w:pPr>
        <w:r>
          <w:fldChar w:fldCharType="begin"/>
        </w:r>
        <w:r>
          <w:instrText>PAGE   \* MERGEFORMAT</w:instrText>
        </w:r>
        <w:r>
          <w:fldChar w:fldCharType="separate"/>
        </w:r>
        <w:r w:rsidR="00E4417B">
          <w:rPr>
            <w:noProof/>
          </w:rPr>
          <w:t>30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2B55E" w14:textId="77777777" w:rsidR="00212CDE" w:rsidRDefault="00212CDE" w:rsidP="00F97718">
      <w:pPr>
        <w:spacing w:after="0"/>
      </w:pPr>
      <w:r>
        <w:separator/>
      </w:r>
    </w:p>
  </w:footnote>
  <w:footnote w:type="continuationSeparator" w:id="0">
    <w:p w14:paraId="2D39CBD8" w14:textId="77777777" w:rsidR="00212CDE" w:rsidRDefault="00212CDE" w:rsidP="00F97718">
      <w:pPr>
        <w:spacing w:after="0"/>
      </w:pPr>
      <w:r>
        <w:continuationSeparator/>
      </w:r>
    </w:p>
  </w:footnote>
  <w:footnote w:id="1">
    <w:p w14:paraId="54FE4E4C" w14:textId="77777777" w:rsidR="00D64CEB" w:rsidRPr="001007F6" w:rsidRDefault="00D64CEB" w:rsidP="008831A4">
      <w:pPr>
        <w:pStyle w:val="Textpoznmkypodiarou"/>
        <w:rPr>
          <w:rFonts w:ascii="Arial" w:hAnsi="Arial" w:cs="Arial"/>
          <w:sz w:val="14"/>
          <w:szCs w:val="14"/>
        </w:rPr>
      </w:pPr>
      <w:r w:rsidRPr="001007F6">
        <w:rPr>
          <w:rStyle w:val="Odkaznapoznmkupodiarou"/>
          <w:rFonts w:ascii="Arial" w:hAnsi="Arial" w:cs="Arial"/>
          <w:sz w:val="14"/>
          <w:szCs w:val="14"/>
        </w:rPr>
        <w:footnoteRef/>
      </w:r>
      <w:r w:rsidRPr="001007F6">
        <w:rPr>
          <w:rFonts w:ascii="Arial" w:hAnsi="Arial" w:cs="Arial"/>
          <w:sz w:val="14"/>
          <w:szCs w:val="14"/>
        </w:rPr>
        <w:t xml:space="preserve"> Zákon č. 5/2004 Z. z. o službách zamestnanosti o zmene a doplnení niektorých zákonov v znení neskorších predpisov </w:t>
      </w:r>
    </w:p>
  </w:footnote>
  <w:footnote w:id="2">
    <w:p w14:paraId="13379357" w14:textId="77777777" w:rsidR="00D64CEB" w:rsidRPr="00FD21F1" w:rsidRDefault="00D64CEB" w:rsidP="008A34AD">
      <w:pPr>
        <w:ind w:left="142" w:hanging="142"/>
        <w:rPr>
          <w:sz w:val="18"/>
          <w:szCs w:val="14"/>
        </w:rPr>
      </w:pPr>
      <w:r>
        <w:rPr>
          <w:rStyle w:val="Odkaznapoznmkupodiarou"/>
          <w:rFonts w:eastAsia="Arial"/>
          <w:sz w:val="18"/>
          <w:szCs w:val="14"/>
        </w:rPr>
        <w:footnoteRef/>
      </w:r>
      <w:r>
        <w:rPr>
          <w:rFonts w:ascii="Arial" w:hAnsi="Arial" w:cs="Arial"/>
          <w:sz w:val="18"/>
          <w:szCs w:val="14"/>
        </w:rPr>
        <w:t xml:space="preserve"> </w:t>
      </w:r>
      <w:r w:rsidRPr="00FD21F1">
        <w:rPr>
          <w:sz w:val="18"/>
          <w:szCs w:val="14"/>
        </w:rPr>
        <w:t>Poskytovateľom regionálnej investičnej pomoci a pomoci na podporu zamestnanosti vo forme príspevku na vytvorenie nového pracovného miesta je Ministerstvo práce, sociálnych vecí a rodiny Slovenskej republiky prostredníctvom ústredia práce, sociálnych vecí a rodiny podľa § 2 ods. 5 písm. d) zákona  č. 561/2007 Z. z. o investičnej pomoci a o zmene a doplnení niektorých zákonov v znení neskorších predpisov, ktorý bol platný do 31. 3. 2018 a od 1. 4. 2018 podľa § 3 ods. c) zákona č. 57/2018 Z .z. o regionálnej investičnej pomoci a o zmene a doplnení niektorých zákonov.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BD15057_"/>
      </v:shape>
    </w:pict>
  </w:numPicBullet>
  <w:abstractNum w:abstractNumId="0" w15:restartNumberingAfterBreak="0">
    <w:nsid w:val="00567E92"/>
    <w:multiLevelType w:val="hybridMultilevel"/>
    <w:tmpl w:val="1602D05A"/>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81F4E4C"/>
    <w:multiLevelType w:val="hybridMultilevel"/>
    <w:tmpl w:val="120813E8"/>
    <w:lvl w:ilvl="0" w:tplc="041B000B">
      <w:start w:val="1"/>
      <w:numFmt w:val="bullet"/>
      <w:lvlText w:val=""/>
      <w:lvlJc w:val="left"/>
      <w:pPr>
        <w:ind w:left="502"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3597EE8"/>
    <w:multiLevelType w:val="hybridMultilevel"/>
    <w:tmpl w:val="5D9A75F6"/>
    <w:lvl w:ilvl="0" w:tplc="DCCAD9C0">
      <w:start w:val="5"/>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77725E"/>
    <w:multiLevelType w:val="hybridMultilevel"/>
    <w:tmpl w:val="8E4ED92A"/>
    <w:lvl w:ilvl="0" w:tplc="466292FE">
      <w:start w:val="1"/>
      <w:numFmt w:val="bullet"/>
      <w:lvlText w:val="-"/>
      <w:lvlJc w:val="left"/>
      <w:pPr>
        <w:ind w:left="720" w:hanging="360"/>
      </w:pPr>
      <w:rPr>
        <w:rFonts w:ascii="Calibri" w:eastAsia="Calibri"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7823D7"/>
    <w:multiLevelType w:val="hybridMultilevel"/>
    <w:tmpl w:val="2D5C769C"/>
    <w:lvl w:ilvl="0" w:tplc="466292FE">
      <w:start w:val="1"/>
      <w:numFmt w:val="bullet"/>
      <w:lvlText w:val="-"/>
      <w:lvlJc w:val="left"/>
      <w:pPr>
        <w:ind w:left="502"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3DC0848"/>
    <w:multiLevelType w:val="hybridMultilevel"/>
    <w:tmpl w:val="CA12B1D0"/>
    <w:lvl w:ilvl="0" w:tplc="466292FE">
      <w:start w:val="1"/>
      <w:numFmt w:val="bullet"/>
      <w:lvlText w:val="-"/>
      <w:lvlJc w:val="left"/>
      <w:pPr>
        <w:ind w:left="715" w:hanging="360"/>
      </w:pPr>
      <w:rPr>
        <w:rFonts w:ascii="Calibri" w:eastAsia="Calibri" w:hAnsi="Calibri" w:cs="Times New Roman" w:hint="default"/>
        <w:color w:val="auto"/>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6" w15:restartNumberingAfterBreak="0">
    <w:nsid w:val="1C9D604E"/>
    <w:multiLevelType w:val="hybridMultilevel"/>
    <w:tmpl w:val="697E83D4"/>
    <w:lvl w:ilvl="0" w:tplc="99A4A044">
      <w:numFmt w:val="bullet"/>
      <w:lvlText w:val="-"/>
      <w:lvlJc w:val="left"/>
      <w:pPr>
        <w:ind w:left="502"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56B3A2D"/>
    <w:multiLevelType w:val="hybridMultilevel"/>
    <w:tmpl w:val="D7DA6542"/>
    <w:lvl w:ilvl="0" w:tplc="466292FE">
      <w:start w:val="1"/>
      <w:numFmt w:val="bullet"/>
      <w:lvlText w:val="-"/>
      <w:lvlJc w:val="left"/>
      <w:pPr>
        <w:ind w:left="715" w:hanging="360"/>
      </w:pPr>
      <w:rPr>
        <w:rFonts w:ascii="Calibri" w:eastAsia="Calibri" w:hAnsi="Calibri" w:cs="Times New Roman" w:hint="default"/>
        <w:color w:val="auto"/>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8" w15:restartNumberingAfterBreak="0">
    <w:nsid w:val="26431C95"/>
    <w:multiLevelType w:val="hybridMultilevel"/>
    <w:tmpl w:val="DA906FFA"/>
    <w:lvl w:ilvl="0" w:tplc="5E8EF51E">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A926CEA"/>
    <w:multiLevelType w:val="hybridMultilevel"/>
    <w:tmpl w:val="B89A686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3DF2316"/>
    <w:multiLevelType w:val="hybridMultilevel"/>
    <w:tmpl w:val="79E6FD9C"/>
    <w:lvl w:ilvl="0" w:tplc="041B0005">
      <w:start w:val="1"/>
      <w:numFmt w:val="bullet"/>
      <w:lvlText w:val=""/>
      <w:lvlJc w:val="left"/>
      <w:pPr>
        <w:ind w:left="644" w:hanging="360"/>
      </w:pPr>
      <w:rPr>
        <w:rFonts w:ascii="Wingdings" w:hAnsi="Wingdings"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11" w15:restartNumberingAfterBreak="0">
    <w:nsid w:val="35F41C50"/>
    <w:multiLevelType w:val="hybridMultilevel"/>
    <w:tmpl w:val="49B0611A"/>
    <w:lvl w:ilvl="0" w:tplc="9C2E1A28">
      <w:start w:val="1"/>
      <w:numFmt w:val="bullet"/>
      <w:lvlText w:val=""/>
      <w:lvlPicBulletId w:val="0"/>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9081DC2"/>
    <w:multiLevelType w:val="hybridMultilevel"/>
    <w:tmpl w:val="E6A2597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CEF6190"/>
    <w:multiLevelType w:val="hybridMultilevel"/>
    <w:tmpl w:val="26981B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DE005EF"/>
    <w:multiLevelType w:val="multilevel"/>
    <w:tmpl w:val="0E0AF7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5" w15:restartNumberingAfterBreak="0">
    <w:nsid w:val="3FF1498A"/>
    <w:multiLevelType w:val="hybridMultilevel"/>
    <w:tmpl w:val="0D946884"/>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424801BA"/>
    <w:multiLevelType w:val="hybridMultilevel"/>
    <w:tmpl w:val="85B631D6"/>
    <w:lvl w:ilvl="0" w:tplc="523058FC">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7C22091"/>
    <w:multiLevelType w:val="hybridMultilevel"/>
    <w:tmpl w:val="611AA8B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89666DE"/>
    <w:multiLevelType w:val="hybridMultilevel"/>
    <w:tmpl w:val="6024C470"/>
    <w:lvl w:ilvl="0" w:tplc="21EE24FC">
      <w:start w:val="1"/>
      <w:numFmt w:val="bullet"/>
      <w:lvlText w:val=""/>
      <w:lvlJc w:val="left"/>
      <w:pPr>
        <w:ind w:left="1080" w:hanging="360"/>
      </w:pPr>
      <w:rPr>
        <w:rFonts w:ascii="Wingdings 2" w:hAnsi="Wingdings 2" w:hint="default"/>
        <w:color w:val="B7194A"/>
        <w:sz w:val="20"/>
      </w:rPr>
    </w:lvl>
    <w:lvl w:ilvl="1" w:tplc="8D2EC2FA">
      <w:start w:val="1"/>
      <w:numFmt w:val="bullet"/>
      <w:lvlText w:val=""/>
      <w:lvlJc w:val="left"/>
      <w:pPr>
        <w:ind w:left="1800" w:hanging="360"/>
      </w:pPr>
      <w:rPr>
        <w:rFonts w:ascii="Symbol" w:hAnsi="Symbol" w:hint="default"/>
        <w:color w:val="1F497D" w:themeColor="text2"/>
      </w:rPr>
    </w:lvl>
    <w:lvl w:ilvl="2" w:tplc="E4CAB614">
      <w:start w:val="1"/>
      <w:numFmt w:val="lowerLetter"/>
      <w:lvlText w:val="%3)"/>
      <w:lvlJc w:val="left"/>
      <w:pPr>
        <w:ind w:left="2520" w:hanging="360"/>
      </w:pPr>
      <w:rPr>
        <w:rFont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15:restartNumberingAfterBreak="0">
    <w:nsid w:val="48994A85"/>
    <w:multiLevelType w:val="hybridMultilevel"/>
    <w:tmpl w:val="94E8F3E2"/>
    <w:lvl w:ilvl="0" w:tplc="041B000D">
      <w:start w:val="1"/>
      <w:numFmt w:val="bullet"/>
      <w:lvlText w:val=""/>
      <w:lvlJc w:val="left"/>
      <w:pPr>
        <w:ind w:left="715" w:hanging="360"/>
      </w:pPr>
      <w:rPr>
        <w:rFonts w:ascii="Wingdings" w:hAnsi="Wingdings" w:hint="default"/>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20" w15:restartNumberingAfterBreak="0">
    <w:nsid w:val="4E1B210E"/>
    <w:multiLevelType w:val="hybridMultilevel"/>
    <w:tmpl w:val="9F3405EE"/>
    <w:lvl w:ilvl="0" w:tplc="041B000D">
      <w:start w:val="1"/>
      <w:numFmt w:val="bullet"/>
      <w:lvlText w:val=""/>
      <w:lvlJc w:val="left"/>
      <w:pPr>
        <w:ind w:left="715" w:hanging="360"/>
      </w:pPr>
      <w:rPr>
        <w:rFonts w:ascii="Wingdings" w:hAnsi="Wingdings" w:hint="default"/>
        <w:color w:val="auto"/>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21" w15:restartNumberingAfterBreak="0">
    <w:nsid w:val="51432BC9"/>
    <w:multiLevelType w:val="hybridMultilevel"/>
    <w:tmpl w:val="135AA1E2"/>
    <w:lvl w:ilvl="0" w:tplc="6B6CB0FE">
      <w:start w:val="1"/>
      <w:numFmt w:val="decimal"/>
      <w:pStyle w:val="Nadpis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3E53ABC"/>
    <w:multiLevelType w:val="hybridMultilevel"/>
    <w:tmpl w:val="AEC67F72"/>
    <w:lvl w:ilvl="0" w:tplc="67906D18">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4BD0BEC"/>
    <w:multiLevelType w:val="singleLevel"/>
    <w:tmpl w:val="72D6F376"/>
    <w:lvl w:ilvl="0">
      <w:start w:val="1"/>
      <w:numFmt w:val="bullet"/>
      <w:pStyle w:val="Zoznamsodrkami"/>
      <w:lvlText w:val=""/>
      <w:lvlJc w:val="left"/>
      <w:pPr>
        <w:tabs>
          <w:tab w:val="num" w:pos="283"/>
        </w:tabs>
        <w:ind w:left="283" w:hanging="283"/>
      </w:pPr>
      <w:rPr>
        <w:rFonts w:ascii="Symbol" w:hAnsi="Symbol"/>
      </w:rPr>
    </w:lvl>
  </w:abstractNum>
  <w:abstractNum w:abstractNumId="24" w15:restartNumberingAfterBreak="0">
    <w:nsid w:val="5B0C36CD"/>
    <w:multiLevelType w:val="hybridMultilevel"/>
    <w:tmpl w:val="84EE2EE8"/>
    <w:lvl w:ilvl="0" w:tplc="0AB2A90A">
      <w:start w:val="1"/>
      <w:numFmt w:val="bullet"/>
      <w:lvlText w:val="-"/>
      <w:lvlJc w:val="left"/>
      <w:pPr>
        <w:ind w:left="480" w:hanging="360"/>
      </w:pPr>
      <w:rPr>
        <w:rFonts w:ascii="Times New Roman" w:eastAsia="Times New Roman" w:hAnsi="Times New Roman" w:cs="Times New Roman" w:hint="default"/>
      </w:rPr>
    </w:lvl>
    <w:lvl w:ilvl="1" w:tplc="041B0003" w:tentative="1">
      <w:start w:val="1"/>
      <w:numFmt w:val="bullet"/>
      <w:lvlText w:val="o"/>
      <w:lvlJc w:val="left"/>
      <w:pPr>
        <w:ind w:left="1200" w:hanging="360"/>
      </w:pPr>
      <w:rPr>
        <w:rFonts w:ascii="Courier New" w:hAnsi="Courier New" w:cs="Courier New" w:hint="default"/>
      </w:rPr>
    </w:lvl>
    <w:lvl w:ilvl="2" w:tplc="041B0005" w:tentative="1">
      <w:start w:val="1"/>
      <w:numFmt w:val="bullet"/>
      <w:lvlText w:val=""/>
      <w:lvlJc w:val="left"/>
      <w:pPr>
        <w:ind w:left="1920" w:hanging="360"/>
      </w:pPr>
      <w:rPr>
        <w:rFonts w:ascii="Wingdings" w:hAnsi="Wingdings" w:hint="default"/>
      </w:rPr>
    </w:lvl>
    <w:lvl w:ilvl="3" w:tplc="041B0001" w:tentative="1">
      <w:start w:val="1"/>
      <w:numFmt w:val="bullet"/>
      <w:lvlText w:val=""/>
      <w:lvlJc w:val="left"/>
      <w:pPr>
        <w:ind w:left="2640" w:hanging="360"/>
      </w:pPr>
      <w:rPr>
        <w:rFonts w:ascii="Symbol" w:hAnsi="Symbol" w:hint="default"/>
      </w:rPr>
    </w:lvl>
    <w:lvl w:ilvl="4" w:tplc="041B0003" w:tentative="1">
      <w:start w:val="1"/>
      <w:numFmt w:val="bullet"/>
      <w:lvlText w:val="o"/>
      <w:lvlJc w:val="left"/>
      <w:pPr>
        <w:ind w:left="3360" w:hanging="360"/>
      </w:pPr>
      <w:rPr>
        <w:rFonts w:ascii="Courier New" w:hAnsi="Courier New" w:cs="Courier New" w:hint="default"/>
      </w:rPr>
    </w:lvl>
    <w:lvl w:ilvl="5" w:tplc="041B0005" w:tentative="1">
      <w:start w:val="1"/>
      <w:numFmt w:val="bullet"/>
      <w:lvlText w:val=""/>
      <w:lvlJc w:val="left"/>
      <w:pPr>
        <w:ind w:left="4080" w:hanging="360"/>
      </w:pPr>
      <w:rPr>
        <w:rFonts w:ascii="Wingdings" w:hAnsi="Wingdings" w:hint="default"/>
      </w:rPr>
    </w:lvl>
    <w:lvl w:ilvl="6" w:tplc="041B0001" w:tentative="1">
      <w:start w:val="1"/>
      <w:numFmt w:val="bullet"/>
      <w:lvlText w:val=""/>
      <w:lvlJc w:val="left"/>
      <w:pPr>
        <w:ind w:left="4800" w:hanging="360"/>
      </w:pPr>
      <w:rPr>
        <w:rFonts w:ascii="Symbol" w:hAnsi="Symbol" w:hint="default"/>
      </w:rPr>
    </w:lvl>
    <w:lvl w:ilvl="7" w:tplc="041B0003" w:tentative="1">
      <w:start w:val="1"/>
      <w:numFmt w:val="bullet"/>
      <w:lvlText w:val="o"/>
      <w:lvlJc w:val="left"/>
      <w:pPr>
        <w:ind w:left="5520" w:hanging="360"/>
      </w:pPr>
      <w:rPr>
        <w:rFonts w:ascii="Courier New" w:hAnsi="Courier New" w:cs="Courier New" w:hint="default"/>
      </w:rPr>
    </w:lvl>
    <w:lvl w:ilvl="8" w:tplc="041B0005" w:tentative="1">
      <w:start w:val="1"/>
      <w:numFmt w:val="bullet"/>
      <w:lvlText w:val=""/>
      <w:lvlJc w:val="left"/>
      <w:pPr>
        <w:ind w:left="6240" w:hanging="360"/>
      </w:pPr>
      <w:rPr>
        <w:rFonts w:ascii="Wingdings" w:hAnsi="Wingdings" w:hint="default"/>
      </w:rPr>
    </w:lvl>
  </w:abstractNum>
  <w:abstractNum w:abstractNumId="25" w15:restartNumberingAfterBreak="0">
    <w:nsid w:val="649D1D2D"/>
    <w:multiLevelType w:val="hybridMultilevel"/>
    <w:tmpl w:val="3C6A1324"/>
    <w:lvl w:ilvl="0" w:tplc="77348036">
      <w:start w:val="2"/>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665B0A74"/>
    <w:multiLevelType w:val="hybridMultilevel"/>
    <w:tmpl w:val="83CA7F20"/>
    <w:lvl w:ilvl="0" w:tplc="466292FE">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D2E4A69"/>
    <w:multiLevelType w:val="hybridMultilevel"/>
    <w:tmpl w:val="D2524128"/>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6D801F29"/>
    <w:multiLevelType w:val="multilevel"/>
    <w:tmpl w:val="C1AA0A4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pStyle w:val="rove3"/>
      <w:lvlText w:val="%1.%2.%3"/>
      <w:lvlJc w:val="left"/>
      <w:pPr>
        <w:ind w:left="720" w:hanging="720"/>
      </w:pPr>
      <w:rPr>
        <w:rFonts w:hint="default"/>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3D92678"/>
    <w:multiLevelType w:val="hybridMultilevel"/>
    <w:tmpl w:val="A806604C"/>
    <w:lvl w:ilvl="0" w:tplc="041B000D">
      <w:start w:val="1"/>
      <w:numFmt w:val="bullet"/>
      <w:lvlText w:val=""/>
      <w:lvlJc w:val="left"/>
      <w:pPr>
        <w:ind w:left="715" w:hanging="360"/>
      </w:pPr>
      <w:rPr>
        <w:rFonts w:ascii="Wingdings" w:hAnsi="Wingdings" w:hint="default"/>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30" w15:restartNumberingAfterBreak="0">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
      <w:lvlText w:val="%1.%2."/>
      <w:lvlJc w:val="left"/>
      <w:pPr>
        <w:ind w:left="432" w:hanging="432"/>
      </w:pPr>
      <w:rPr>
        <w:rFonts w:cs="Times New Roman"/>
      </w:rPr>
    </w:lvl>
    <w:lvl w:ilvl="2">
      <w:start w:val="1"/>
      <w:numFmt w:val="decimal"/>
      <w:pStyle w:val="Nadpis3"/>
      <w:lvlText w:val="%1.%2.%3."/>
      <w:lvlJc w:val="left"/>
      <w:pPr>
        <w:ind w:left="122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76A443F9"/>
    <w:multiLevelType w:val="hybridMultilevel"/>
    <w:tmpl w:val="C23E79A8"/>
    <w:lvl w:ilvl="0" w:tplc="85D4B574">
      <w:start w:val="27"/>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70C5EFA"/>
    <w:multiLevelType w:val="hybridMultilevel"/>
    <w:tmpl w:val="BF76A8D0"/>
    <w:lvl w:ilvl="0" w:tplc="041B000B">
      <w:start w:val="1"/>
      <w:numFmt w:val="bullet"/>
      <w:lvlText w:val=""/>
      <w:lvlJc w:val="left"/>
      <w:pPr>
        <w:ind w:left="502"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A4F78D5"/>
    <w:multiLevelType w:val="hybridMultilevel"/>
    <w:tmpl w:val="904A0194"/>
    <w:lvl w:ilvl="0" w:tplc="27ECF398">
      <w:start w:val="1"/>
      <w:numFmt w:val="bullet"/>
      <w:lvlText w:val="-"/>
      <w:lvlJc w:val="left"/>
      <w:pPr>
        <w:ind w:left="644" w:hanging="360"/>
      </w:pPr>
      <w:rPr>
        <w:rFonts w:ascii="Calibri" w:eastAsiaTheme="minorHAnsi" w:hAnsi="Calibri"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4" w15:restartNumberingAfterBreak="0">
    <w:nsid w:val="7FEE2D6F"/>
    <w:multiLevelType w:val="hybridMultilevel"/>
    <w:tmpl w:val="8020ED3C"/>
    <w:lvl w:ilvl="0" w:tplc="27ECF398">
      <w:start w:val="1"/>
      <w:numFmt w:val="bullet"/>
      <w:lvlText w:val="-"/>
      <w:lvlJc w:val="left"/>
      <w:pPr>
        <w:ind w:left="720" w:hanging="360"/>
      </w:pPr>
      <w:rPr>
        <w:rFonts w:ascii="Calibri" w:eastAsiaTheme="minorHAns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8"/>
  </w:num>
  <w:num w:numId="4">
    <w:abstractNumId w:val="0"/>
  </w:num>
  <w:num w:numId="5">
    <w:abstractNumId w:val="15"/>
  </w:num>
  <w:num w:numId="6">
    <w:abstractNumId w:val="4"/>
  </w:num>
  <w:num w:numId="7">
    <w:abstractNumId w:val="6"/>
  </w:num>
  <w:num w:numId="8">
    <w:abstractNumId w:val="23"/>
  </w:num>
  <w:num w:numId="9">
    <w:abstractNumId w:val="11"/>
  </w:num>
  <w:num w:numId="10">
    <w:abstractNumId w:val="3"/>
  </w:num>
  <w:num w:numId="11">
    <w:abstractNumId w:val="26"/>
  </w:num>
  <w:num w:numId="12">
    <w:abstractNumId w:val="2"/>
  </w:num>
  <w:num w:numId="13">
    <w:abstractNumId w:val="13"/>
  </w:num>
  <w:num w:numId="14">
    <w:abstractNumId w:val="22"/>
  </w:num>
  <w:num w:numId="15">
    <w:abstractNumId w:val="32"/>
  </w:num>
  <w:num w:numId="16">
    <w:abstractNumId w:val="1"/>
  </w:num>
  <w:num w:numId="17">
    <w:abstractNumId w:val="27"/>
  </w:num>
  <w:num w:numId="18">
    <w:abstractNumId w:val="21"/>
  </w:num>
  <w:num w:numId="19">
    <w:abstractNumId w:val="25"/>
  </w:num>
  <w:num w:numId="20">
    <w:abstractNumId w:val="8"/>
  </w:num>
  <w:num w:numId="21">
    <w:abstractNumId w:val="34"/>
  </w:num>
  <w:num w:numId="22">
    <w:abstractNumId w:val="33"/>
  </w:num>
  <w:num w:numId="23">
    <w:abstractNumId w:val="18"/>
  </w:num>
  <w:num w:numId="24">
    <w:abstractNumId w:val="31"/>
  </w:num>
  <w:num w:numId="25">
    <w:abstractNumId w:val="17"/>
  </w:num>
  <w:num w:numId="26">
    <w:abstractNumId w:val="12"/>
  </w:num>
  <w:num w:numId="27">
    <w:abstractNumId w:val="29"/>
  </w:num>
  <w:num w:numId="28">
    <w:abstractNumId w:val="5"/>
  </w:num>
  <w:num w:numId="29">
    <w:abstractNumId w:val="7"/>
  </w:num>
  <w:num w:numId="30">
    <w:abstractNumId w:val="20"/>
  </w:num>
  <w:num w:numId="31">
    <w:abstractNumId w:val="19"/>
  </w:num>
  <w:num w:numId="32">
    <w:abstractNumId w:val="10"/>
  </w:num>
  <w:num w:numId="33">
    <w:abstractNumId w:val="9"/>
  </w:num>
  <w:num w:numId="34">
    <w:abstractNumId w:val="24"/>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57"/>
    <w:rsid w:val="00000276"/>
    <w:rsid w:val="000006F2"/>
    <w:rsid w:val="000008C8"/>
    <w:rsid w:val="00000F83"/>
    <w:rsid w:val="00001279"/>
    <w:rsid w:val="000016B5"/>
    <w:rsid w:val="00001900"/>
    <w:rsid w:val="00001A86"/>
    <w:rsid w:val="00002BA9"/>
    <w:rsid w:val="0000355B"/>
    <w:rsid w:val="00004CE0"/>
    <w:rsid w:val="00005922"/>
    <w:rsid w:val="00006096"/>
    <w:rsid w:val="00006278"/>
    <w:rsid w:val="00006761"/>
    <w:rsid w:val="00006875"/>
    <w:rsid w:val="000069B5"/>
    <w:rsid w:val="00007158"/>
    <w:rsid w:val="0000743B"/>
    <w:rsid w:val="000076CA"/>
    <w:rsid w:val="00007F6B"/>
    <w:rsid w:val="00010214"/>
    <w:rsid w:val="0001074B"/>
    <w:rsid w:val="00010BE2"/>
    <w:rsid w:val="000114C6"/>
    <w:rsid w:val="00011554"/>
    <w:rsid w:val="000121DD"/>
    <w:rsid w:val="000131CB"/>
    <w:rsid w:val="00013CB3"/>
    <w:rsid w:val="00014C07"/>
    <w:rsid w:val="00014D4D"/>
    <w:rsid w:val="000151F7"/>
    <w:rsid w:val="00015E0E"/>
    <w:rsid w:val="0001695B"/>
    <w:rsid w:val="000172DF"/>
    <w:rsid w:val="00017499"/>
    <w:rsid w:val="00017B12"/>
    <w:rsid w:val="00017B24"/>
    <w:rsid w:val="00021050"/>
    <w:rsid w:val="00021514"/>
    <w:rsid w:val="00021798"/>
    <w:rsid w:val="00021A3F"/>
    <w:rsid w:val="000221CB"/>
    <w:rsid w:val="00022280"/>
    <w:rsid w:val="0002257B"/>
    <w:rsid w:val="000236D6"/>
    <w:rsid w:val="00023D97"/>
    <w:rsid w:val="000240E7"/>
    <w:rsid w:val="00024841"/>
    <w:rsid w:val="000264F8"/>
    <w:rsid w:val="000265FA"/>
    <w:rsid w:val="000266B3"/>
    <w:rsid w:val="00027E12"/>
    <w:rsid w:val="00027F72"/>
    <w:rsid w:val="00027FFA"/>
    <w:rsid w:val="00030AFF"/>
    <w:rsid w:val="00030ED5"/>
    <w:rsid w:val="00031A35"/>
    <w:rsid w:val="00032575"/>
    <w:rsid w:val="000326FA"/>
    <w:rsid w:val="00032C5D"/>
    <w:rsid w:val="00033B93"/>
    <w:rsid w:val="000343A0"/>
    <w:rsid w:val="00034A9D"/>
    <w:rsid w:val="00034D64"/>
    <w:rsid w:val="000358BF"/>
    <w:rsid w:val="00035BCF"/>
    <w:rsid w:val="000365D9"/>
    <w:rsid w:val="00036883"/>
    <w:rsid w:val="00036B1A"/>
    <w:rsid w:val="000377DD"/>
    <w:rsid w:val="00037B58"/>
    <w:rsid w:val="0004032D"/>
    <w:rsid w:val="000406F6"/>
    <w:rsid w:val="00040C24"/>
    <w:rsid w:val="00041320"/>
    <w:rsid w:val="0004194C"/>
    <w:rsid w:val="00041FA5"/>
    <w:rsid w:val="00041FCB"/>
    <w:rsid w:val="00042807"/>
    <w:rsid w:val="00042F75"/>
    <w:rsid w:val="000431CF"/>
    <w:rsid w:val="00043495"/>
    <w:rsid w:val="000434AE"/>
    <w:rsid w:val="0004365E"/>
    <w:rsid w:val="000436D2"/>
    <w:rsid w:val="00043817"/>
    <w:rsid w:val="0004397E"/>
    <w:rsid w:val="0004436E"/>
    <w:rsid w:val="000447E8"/>
    <w:rsid w:val="00044839"/>
    <w:rsid w:val="00044D4E"/>
    <w:rsid w:val="00044E64"/>
    <w:rsid w:val="00044E98"/>
    <w:rsid w:val="0004561E"/>
    <w:rsid w:val="00045CF8"/>
    <w:rsid w:val="00046004"/>
    <w:rsid w:val="0004641C"/>
    <w:rsid w:val="00046C8B"/>
    <w:rsid w:val="00047229"/>
    <w:rsid w:val="00047DFE"/>
    <w:rsid w:val="00050BEA"/>
    <w:rsid w:val="000510DF"/>
    <w:rsid w:val="00051386"/>
    <w:rsid w:val="0005141C"/>
    <w:rsid w:val="00051B04"/>
    <w:rsid w:val="00052062"/>
    <w:rsid w:val="0005306D"/>
    <w:rsid w:val="000530F4"/>
    <w:rsid w:val="00053A25"/>
    <w:rsid w:val="00054AA2"/>
    <w:rsid w:val="00054DED"/>
    <w:rsid w:val="00054E3C"/>
    <w:rsid w:val="0005508F"/>
    <w:rsid w:val="000557FD"/>
    <w:rsid w:val="00055F80"/>
    <w:rsid w:val="000563DA"/>
    <w:rsid w:val="000565F6"/>
    <w:rsid w:val="00056FE1"/>
    <w:rsid w:val="00057969"/>
    <w:rsid w:val="00057E83"/>
    <w:rsid w:val="00060471"/>
    <w:rsid w:val="00061625"/>
    <w:rsid w:val="00061CC2"/>
    <w:rsid w:val="000624C5"/>
    <w:rsid w:val="000630CB"/>
    <w:rsid w:val="00063122"/>
    <w:rsid w:val="00063962"/>
    <w:rsid w:val="00064B9A"/>
    <w:rsid w:val="00065AD0"/>
    <w:rsid w:val="00065BFF"/>
    <w:rsid w:val="00067F22"/>
    <w:rsid w:val="00070158"/>
    <w:rsid w:val="000710DA"/>
    <w:rsid w:val="00071420"/>
    <w:rsid w:val="000728C5"/>
    <w:rsid w:val="00072A48"/>
    <w:rsid w:val="00072B63"/>
    <w:rsid w:val="00072BAB"/>
    <w:rsid w:val="00073281"/>
    <w:rsid w:val="000732C4"/>
    <w:rsid w:val="000737CD"/>
    <w:rsid w:val="00074449"/>
    <w:rsid w:val="00074C48"/>
    <w:rsid w:val="00074E66"/>
    <w:rsid w:val="000766EC"/>
    <w:rsid w:val="00076A6A"/>
    <w:rsid w:val="00076DEE"/>
    <w:rsid w:val="00077624"/>
    <w:rsid w:val="000776AF"/>
    <w:rsid w:val="00077817"/>
    <w:rsid w:val="0007788A"/>
    <w:rsid w:val="00077BEF"/>
    <w:rsid w:val="0008033D"/>
    <w:rsid w:val="00080A04"/>
    <w:rsid w:val="00080BD1"/>
    <w:rsid w:val="00080D21"/>
    <w:rsid w:val="000810A1"/>
    <w:rsid w:val="0008127A"/>
    <w:rsid w:val="000816EF"/>
    <w:rsid w:val="00081BD2"/>
    <w:rsid w:val="00082924"/>
    <w:rsid w:val="00082CF0"/>
    <w:rsid w:val="00082DD2"/>
    <w:rsid w:val="00082F90"/>
    <w:rsid w:val="0008313C"/>
    <w:rsid w:val="00083392"/>
    <w:rsid w:val="00083B43"/>
    <w:rsid w:val="000840F9"/>
    <w:rsid w:val="00084101"/>
    <w:rsid w:val="000843C5"/>
    <w:rsid w:val="0008563E"/>
    <w:rsid w:val="00085ED4"/>
    <w:rsid w:val="000865F3"/>
    <w:rsid w:val="00086763"/>
    <w:rsid w:val="0008685A"/>
    <w:rsid w:val="000877B5"/>
    <w:rsid w:val="00087E3A"/>
    <w:rsid w:val="00090F21"/>
    <w:rsid w:val="000916B5"/>
    <w:rsid w:val="000916B6"/>
    <w:rsid w:val="000918A8"/>
    <w:rsid w:val="00091A64"/>
    <w:rsid w:val="00092E38"/>
    <w:rsid w:val="00093EA3"/>
    <w:rsid w:val="00094CCD"/>
    <w:rsid w:val="00094E57"/>
    <w:rsid w:val="000954D9"/>
    <w:rsid w:val="00097F87"/>
    <w:rsid w:val="000A003C"/>
    <w:rsid w:val="000A0114"/>
    <w:rsid w:val="000A0490"/>
    <w:rsid w:val="000A0513"/>
    <w:rsid w:val="000A069A"/>
    <w:rsid w:val="000A08F9"/>
    <w:rsid w:val="000A0C57"/>
    <w:rsid w:val="000A0DF5"/>
    <w:rsid w:val="000A1B9B"/>
    <w:rsid w:val="000A1DC6"/>
    <w:rsid w:val="000A1DEB"/>
    <w:rsid w:val="000A29DD"/>
    <w:rsid w:val="000A3101"/>
    <w:rsid w:val="000A36F7"/>
    <w:rsid w:val="000A3A5C"/>
    <w:rsid w:val="000A3E2A"/>
    <w:rsid w:val="000A4083"/>
    <w:rsid w:val="000A47B5"/>
    <w:rsid w:val="000A5D89"/>
    <w:rsid w:val="000A6350"/>
    <w:rsid w:val="000A78BA"/>
    <w:rsid w:val="000A7D6F"/>
    <w:rsid w:val="000B0277"/>
    <w:rsid w:val="000B0B8C"/>
    <w:rsid w:val="000B125B"/>
    <w:rsid w:val="000B18B5"/>
    <w:rsid w:val="000B233A"/>
    <w:rsid w:val="000B32FF"/>
    <w:rsid w:val="000B3ACE"/>
    <w:rsid w:val="000B3AE8"/>
    <w:rsid w:val="000B419F"/>
    <w:rsid w:val="000B4C5A"/>
    <w:rsid w:val="000B5422"/>
    <w:rsid w:val="000B5E55"/>
    <w:rsid w:val="000B76CA"/>
    <w:rsid w:val="000B7755"/>
    <w:rsid w:val="000C0272"/>
    <w:rsid w:val="000C0FD1"/>
    <w:rsid w:val="000C1050"/>
    <w:rsid w:val="000C188C"/>
    <w:rsid w:val="000C208A"/>
    <w:rsid w:val="000C2174"/>
    <w:rsid w:val="000C2525"/>
    <w:rsid w:val="000C2530"/>
    <w:rsid w:val="000C29AF"/>
    <w:rsid w:val="000C3772"/>
    <w:rsid w:val="000C399B"/>
    <w:rsid w:val="000C39EE"/>
    <w:rsid w:val="000C3F05"/>
    <w:rsid w:val="000C40E6"/>
    <w:rsid w:val="000C420C"/>
    <w:rsid w:val="000C4463"/>
    <w:rsid w:val="000C51E8"/>
    <w:rsid w:val="000C5ABA"/>
    <w:rsid w:val="000C5C45"/>
    <w:rsid w:val="000C6B8F"/>
    <w:rsid w:val="000C7008"/>
    <w:rsid w:val="000C7917"/>
    <w:rsid w:val="000C7DD2"/>
    <w:rsid w:val="000D00B9"/>
    <w:rsid w:val="000D01BF"/>
    <w:rsid w:val="000D07DC"/>
    <w:rsid w:val="000D0C42"/>
    <w:rsid w:val="000D0CA6"/>
    <w:rsid w:val="000D0DFD"/>
    <w:rsid w:val="000D148B"/>
    <w:rsid w:val="000D14CC"/>
    <w:rsid w:val="000D16D0"/>
    <w:rsid w:val="000D1A4C"/>
    <w:rsid w:val="000D25C6"/>
    <w:rsid w:val="000D2FE4"/>
    <w:rsid w:val="000D3C7A"/>
    <w:rsid w:val="000D400B"/>
    <w:rsid w:val="000D5301"/>
    <w:rsid w:val="000D547C"/>
    <w:rsid w:val="000D6109"/>
    <w:rsid w:val="000D6721"/>
    <w:rsid w:val="000D68B4"/>
    <w:rsid w:val="000D68BF"/>
    <w:rsid w:val="000D7173"/>
    <w:rsid w:val="000D7655"/>
    <w:rsid w:val="000D791B"/>
    <w:rsid w:val="000D7D36"/>
    <w:rsid w:val="000E024E"/>
    <w:rsid w:val="000E03FB"/>
    <w:rsid w:val="000E07C8"/>
    <w:rsid w:val="000E093E"/>
    <w:rsid w:val="000E0A27"/>
    <w:rsid w:val="000E0A86"/>
    <w:rsid w:val="000E0E51"/>
    <w:rsid w:val="000E1785"/>
    <w:rsid w:val="000E18BC"/>
    <w:rsid w:val="000E1F53"/>
    <w:rsid w:val="000E2457"/>
    <w:rsid w:val="000E26AD"/>
    <w:rsid w:val="000E27EA"/>
    <w:rsid w:val="000E2FE7"/>
    <w:rsid w:val="000E32E8"/>
    <w:rsid w:val="000E33E1"/>
    <w:rsid w:val="000E3E8B"/>
    <w:rsid w:val="000E47AB"/>
    <w:rsid w:val="000E63B5"/>
    <w:rsid w:val="000E7AD6"/>
    <w:rsid w:val="000F074C"/>
    <w:rsid w:val="000F08EB"/>
    <w:rsid w:val="000F0B9D"/>
    <w:rsid w:val="000F0C0F"/>
    <w:rsid w:val="000F1583"/>
    <w:rsid w:val="000F164B"/>
    <w:rsid w:val="000F169C"/>
    <w:rsid w:val="000F1F81"/>
    <w:rsid w:val="000F2210"/>
    <w:rsid w:val="000F2229"/>
    <w:rsid w:val="000F2508"/>
    <w:rsid w:val="000F25F8"/>
    <w:rsid w:val="000F28B2"/>
    <w:rsid w:val="000F2FCF"/>
    <w:rsid w:val="000F3164"/>
    <w:rsid w:val="000F3CEE"/>
    <w:rsid w:val="000F42E3"/>
    <w:rsid w:val="000F4585"/>
    <w:rsid w:val="000F45D5"/>
    <w:rsid w:val="000F466D"/>
    <w:rsid w:val="000F4A03"/>
    <w:rsid w:val="000F4E32"/>
    <w:rsid w:val="000F51DC"/>
    <w:rsid w:val="000F7F25"/>
    <w:rsid w:val="000F7F91"/>
    <w:rsid w:val="00101634"/>
    <w:rsid w:val="00102145"/>
    <w:rsid w:val="00102212"/>
    <w:rsid w:val="0010246A"/>
    <w:rsid w:val="00103216"/>
    <w:rsid w:val="00103227"/>
    <w:rsid w:val="00103DC3"/>
    <w:rsid w:val="001041A9"/>
    <w:rsid w:val="00105D29"/>
    <w:rsid w:val="001069D0"/>
    <w:rsid w:val="00107272"/>
    <w:rsid w:val="001072D8"/>
    <w:rsid w:val="00107867"/>
    <w:rsid w:val="00107B46"/>
    <w:rsid w:val="001102EE"/>
    <w:rsid w:val="0011100B"/>
    <w:rsid w:val="00111038"/>
    <w:rsid w:val="0011106F"/>
    <w:rsid w:val="0011152A"/>
    <w:rsid w:val="00111E8B"/>
    <w:rsid w:val="00112670"/>
    <w:rsid w:val="001127D1"/>
    <w:rsid w:val="0011313F"/>
    <w:rsid w:val="001132D4"/>
    <w:rsid w:val="00113E68"/>
    <w:rsid w:val="001151AD"/>
    <w:rsid w:val="001153FF"/>
    <w:rsid w:val="00116259"/>
    <w:rsid w:val="00117983"/>
    <w:rsid w:val="00117C57"/>
    <w:rsid w:val="001202C4"/>
    <w:rsid w:val="00121577"/>
    <w:rsid w:val="0012272B"/>
    <w:rsid w:val="0012388B"/>
    <w:rsid w:val="0012393F"/>
    <w:rsid w:val="00123B15"/>
    <w:rsid w:val="001245D3"/>
    <w:rsid w:val="001252E5"/>
    <w:rsid w:val="00125625"/>
    <w:rsid w:val="001261C8"/>
    <w:rsid w:val="00130A2E"/>
    <w:rsid w:val="00131721"/>
    <w:rsid w:val="00131BAB"/>
    <w:rsid w:val="001323B0"/>
    <w:rsid w:val="0013242B"/>
    <w:rsid w:val="001324C3"/>
    <w:rsid w:val="001329F5"/>
    <w:rsid w:val="00132D1E"/>
    <w:rsid w:val="00132E18"/>
    <w:rsid w:val="0013324E"/>
    <w:rsid w:val="00133BCD"/>
    <w:rsid w:val="0013537E"/>
    <w:rsid w:val="00135B28"/>
    <w:rsid w:val="00136ECF"/>
    <w:rsid w:val="001373F7"/>
    <w:rsid w:val="001377B6"/>
    <w:rsid w:val="00137E10"/>
    <w:rsid w:val="00137F39"/>
    <w:rsid w:val="001400D1"/>
    <w:rsid w:val="00140212"/>
    <w:rsid w:val="00141267"/>
    <w:rsid w:val="0014209A"/>
    <w:rsid w:val="001420BB"/>
    <w:rsid w:val="00142480"/>
    <w:rsid w:val="001426D9"/>
    <w:rsid w:val="001428BF"/>
    <w:rsid w:val="001429D6"/>
    <w:rsid w:val="001436B2"/>
    <w:rsid w:val="00143842"/>
    <w:rsid w:val="001439A4"/>
    <w:rsid w:val="00144B0A"/>
    <w:rsid w:val="001462E0"/>
    <w:rsid w:val="0014750C"/>
    <w:rsid w:val="00147D01"/>
    <w:rsid w:val="00147F61"/>
    <w:rsid w:val="00150D6C"/>
    <w:rsid w:val="00150E76"/>
    <w:rsid w:val="00151809"/>
    <w:rsid w:val="00153DCD"/>
    <w:rsid w:val="001541AF"/>
    <w:rsid w:val="00154451"/>
    <w:rsid w:val="001547A6"/>
    <w:rsid w:val="00154B55"/>
    <w:rsid w:val="00154EBD"/>
    <w:rsid w:val="00155E64"/>
    <w:rsid w:val="00155F63"/>
    <w:rsid w:val="00157A0C"/>
    <w:rsid w:val="00157B53"/>
    <w:rsid w:val="00157B61"/>
    <w:rsid w:val="00157F51"/>
    <w:rsid w:val="001600E4"/>
    <w:rsid w:val="0016086D"/>
    <w:rsid w:val="001609ED"/>
    <w:rsid w:val="00160A44"/>
    <w:rsid w:val="00160E10"/>
    <w:rsid w:val="00161D6A"/>
    <w:rsid w:val="00162336"/>
    <w:rsid w:val="00164069"/>
    <w:rsid w:val="00164BE5"/>
    <w:rsid w:val="00165A6C"/>
    <w:rsid w:val="0016631E"/>
    <w:rsid w:val="0016648C"/>
    <w:rsid w:val="00167692"/>
    <w:rsid w:val="00167BCC"/>
    <w:rsid w:val="00170154"/>
    <w:rsid w:val="00170271"/>
    <w:rsid w:val="00171DCC"/>
    <w:rsid w:val="00172180"/>
    <w:rsid w:val="00172525"/>
    <w:rsid w:val="00172B16"/>
    <w:rsid w:val="00173D55"/>
    <w:rsid w:val="001765CF"/>
    <w:rsid w:val="00176B3F"/>
    <w:rsid w:val="00176E36"/>
    <w:rsid w:val="0017705D"/>
    <w:rsid w:val="0017780C"/>
    <w:rsid w:val="00177848"/>
    <w:rsid w:val="001800F1"/>
    <w:rsid w:val="00180FF1"/>
    <w:rsid w:val="00181702"/>
    <w:rsid w:val="00181D6A"/>
    <w:rsid w:val="0018253E"/>
    <w:rsid w:val="0018267C"/>
    <w:rsid w:val="00182907"/>
    <w:rsid w:val="001837FC"/>
    <w:rsid w:val="001845B2"/>
    <w:rsid w:val="0018489F"/>
    <w:rsid w:val="00184C00"/>
    <w:rsid w:val="0018596C"/>
    <w:rsid w:val="0018623B"/>
    <w:rsid w:val="00186424"/>
    <w:rsid w:val="00186434"/>
    <w:rsid w:val="00186A1C"/>
    <w:rsid w:val="00186B87"/>
    <w:rsid w:val="00186E24"/>
    <w:rsid w:val="0018721C"/>
    <w:rsid w:val="00190D50"/>
    <w:rsid w:val="0019139F"/>
    <w:rsid w:val="001914F4"/>
    <w:rsid w:val="00191EA6"/>
    <w:rsid w:val="001924A1"/>
    <w:rsid w:val="00194C72"/>
    <w:rsid w:val="00194CF0"/>
    <w:rsid w:val="00195F29"/>
    <w:rsid w:val="00196148"/>
    <w:rsid w:val="001965BB"/>
    <w:rsid w:val="00196896"/>
    <w:rsid w:val="00197708"/>
    <w:rsid w:val="00197B6B"/>
    <w:rsid w:val="001A0551"/>
    <w:rsid w:val="001A17B1"/>
    <w:rsid w:val="001A18A7"/>
    <w:rsid w:val="001A25B5"/>
    <w:rsid w:val="001A2E8D"/>
    <w:rsid w:val="001A2EF4"/>
    <w:rsid w:val="001A3519"/>
    <w:rsid w:val="001A3C5B"/>
    <w:rsid w:val="001A4ECE"/>
    <w:rsid w:val="001A54EB"/>
    <w:rsid w:val="001A5529"/>
    <w:rsid w:val="001A57A5"/>
    <w:rsid w:val="001A5F79"/>
    <w:rsid w:val="001A63DF"/>
    <w:rsid w:val="001A64EB"/>
    <w:rsid w:val="001A6DB1"/>
    <w:rsid w:val="001A6F00"/>
    <w:rsid w:val="001B2293"/>
    <w:rsid w:val="001B262A"/>
    <w:rsid w:val="001B273E"/>
    <w:rsid w:val="001B3201"/>
    <w:rsid w:val="001B3DA9"/>
    <w:rsid w:val="001B42BD"/>
    <w:rsid w:val="001B43E3"/>
    <w:rsid w:val="001B44F4"/>
    <w:rsid w:val="001B60EF"/>
    <w:rsid w:val="001B65AF"/>
    <w:rsid w:val="001B76D3"/>
    <w:rsid w:val="001B78B5"/>
    <w:rsid w:val="001C0048"/>
    <w:rsid w:val="001C219D"/>
    <w:rsid w:val="001C25B9"/>
    <w:rsid w:val="001C2AB9"/>
    <w:rsid w:val="001C2B23"/>
    <w:rsid w:val="001C2DD9"/>
    <w:rsid w:val="001C3DFD"/>
    <w:rsid w:val="001C410E"/>
    <w:rsid w:val="001C4753"/>
    <w:rsid w:val="001C55E6"/>
    <w:rsid w:val="001C6085"/>
    <w:rsid w:val="001C69FE"/>
    <w:rsid w:val="001C6B31"/>
    <w:rsid w:val="001C7759"/>
    <w:rsid w:val="001C7964"/>
    <w:rsid w:val="001C7999"/>
    <w:rsid w:val="001D0C28"/>
    <w:rsid w:val="001D10EA"/>
    <w:rsid w:val="001D138C"/>
    <w:rsid w:val="001D1DEC"/>
    <w:rsid w:val="001D3032"/>
    <w:rsid w:val="001D32C3"/>
    <w:rsid w:val="001D3CEF"/>
    <w:rsid w:val="001D4925"/>
    <w:rsid w:val="001D4CC1"/>
    <w:rsid w:val="001D62E7"/>
    <w:rsid w:val="001D661D"/>
    <w:rsid w:val="001D6748"/>
    <w:rsid w:val="001D684D"/>
    <w:rsid w:val="001D68B1"/>
    <w:rsid w:val="001D6CD0"/>
    <w:rsid w:val="001D7020"/>
    <w:rsid w:val="001E01E0"/>
    <w:rsid w:val="001E0F7E"/>
    <w:rsid w:val="001E1E5C"/>
    <w:rsid w:val="001E230D"/>
    <w:rsid w:val="001E2E00"/>
    <w:rsid w:val="001E33D5"/>
    <w:rsid w:val="001E40E9"/>
    <w:rsid w:val="001E43E7"/>
    <w:rsid w:val="001E490B"/>
    <w:rsid w:val="001E4A33"/>
    <w:rsid w:val="001E517D"/>
    <w:rsid w:val="001E5593"/>
    <w:rsid w:val="001E576C"/>
    <w:rsid w:val="001E677F"/>
    <w:rsid w:val="001E7228"/>
    <w:rsid w:val="001E7906"/>
    <w:rsid w:val="001E7A25"/>
    <w:rsid w:val="001F0725"/>
    <w:rsid w:val="001F0CC5"/>
    <w:rsid w:val="001F13A2"/>
    <w:rsid w:val="001F1454"/>
    <w:rsid w:val="001F1A68"/>
    <w:rsid w:val="001F298E"/>
    <w:rsid w:val="001F2E82"/>
    <w:rsid w:val="001F32FD"/>
    <w:rsid w:val="001F4810"/>
    <w:rsid w:val="001F4970"/>
    <w:rsid w:val="001F5B59"/>
    <w:rsid w:val="001F6480"/>
    <w:rsid w:val="001F7DD0"/>
    <w:rsid w:val="00200329"/>
    <w:rsid w:val="0020116A"/>
    <w:rsid w:val="002015A1"/>
    <w:rsid w:val="00202122"/>
    <w:rsid w:val="0020227F"/>
    <w:rsid w:val="00204668"/>
    <w:rsid w:val="00205F51"/>
    <w:rsid w:val="002060B6"/>
    <w:rsid w:val="0020655C"/>
    <w:rsid w:val="002066A5"/>
    <w:rsid w:val="00206E10"/>
    <w:rsid w:val="00206EB4"/>
    <w:rsid w:val="002070D1"/>
    <w:rsid w:val="00207B04"/>
    <w:rsid w:val="00207C91"/>
    <w:rsid w:val="00210557"/>
    <w:rsid w:val="00210AB7"/>
    <w:rsid w:val="00210B1A"/>
    <w:rsid w:val="0021240C"/>
    <w:rsid w:val="00212CDE"/>
    <w:rsid w:val="00212DBC"/>
    <w:rsid w:val="0021318B"/>
    <w:rsid w:val="002141E4"/>
    <w:rsid w:val="00214E96"/>
    <w:rsid w:val="00215BEC"/>
    <w:rsid w:val="00215D1D"/>
    <w:rsid w:val="00215F0B"/>
    <w:rsid w:val="002160D6"/>
    <w:rsid w:val="00217524"/>
    <w:rsid w:val="0021763F"/>
    <w:rsid w:val="002176C5"/>
    <w:rsid w:val="00217DCC"/>
    <w:rsid w:val="002213F6"/>
    <w:rsid w:val="00222A07"/>
    <w:rsid w:val="00222CF3"/>
    <w:rsid w:val="002241C0"/>
    <w:rsid w:val="00224535"/>
    <w:rsid w:val="00224CC0"/>
    <w:rsid w:val="0022521D"/>
    <w:rsid w:val="0022530E"/>
    <w:rsid w:val="00225597"/>
    <w:rsid w:val="00226C63"/>
    <w:rsid w:val="00226E42"/>
    <w:rsid w:val="00226FC0"/>
    <w:rsid w:val="0022751D"/>
    <w:rsid w:val="00230291"/>
    <w:rsid w:val="00230C68"/>
    <w:rsid w:val="002323EF"/>
    <w:rsid w:val="00232B4B"/>
    <w:rsid w:val="00232B96"/>
    <w:rsid w:val="0023394C"/>
    <w:rsid w:val="00233AD3"/>
    <w:rsid w:val="00233D91"/>
    <w:rsid w:val="00234D42"/>
    <w:rsid w:val="00235754"/>
    <w:rsid w:val="00236169"/>
    <w:rsid w:val="00236371"/>
    <w:rsid w:val="0023673A"/>
    <w:rsid w:val="00236C15"/>
    <w:rsid w:val="00236E1A"/>
    <w:rsid w:val="0023746A"/>
    <w:rsid w:val="00237DDF"/>
    <w:rsid w:val="0024019C"/>
    <w:rsid w:val="00240481"/>
    <w:rsid w:val="00240792"/>
    <w:rsid w:val="0024085F"/>
    <w:rsid w:val="00240DD0"/>
    <w:rsid w:val="0024104D"/>
    <w:rsid w:val="002415B3"/>
    <w:rsid w:val="00241C90"/>
    <w:rsid w:val="00242231"/>
    <w:rsid w:val="002428CD"/>
    <w:rsid w:val="0024364E"/>
    <w:rsid w:val="00243B95"/>
    <w:rsid w:val="00243C4D"/>
    <w:rsid w:val="0024411B"/>
    <w:rsid w:val="00244130"/>
    <w:rsid w:val="002445DA"/>
    <w:rsid w:val="00244B9D"/>
    <w:rsid w:val="00245642"/>
    <w:rsid w:val="00245A65"/>
    <w:rsid w:val="002461DF"/>
    <w:rsid w:val="002468CE"/>
    <w:rsid w:val="0024785D"/>
    <w:rsid w:val="00247C50"/>
    <w:rsid w:val="00250BAE"/>
    <w:rsid w:val="002510E9"/>
    <w:rsid w:val="00251503"/>
    <w:rsid w:val="00252004"/>
    <w:rsid w:val="00252192"/>
    <w:rsid w:val="002522BF"/>
    <w:rsid w:val="00252BDF"/>
    <w:rsid w:val="002530FB"/>
    <w:rsid w:val="0025347E"/>
    <w:rsid w:val="00253DBC"/>
    <w:rsid w:val="002543BA"/>
    <w:rsid w:val="00255BCB"/>
    <w:rsid w:val="00255FB5"/>
    <w:rsid w:val="002565A9"/>
    <w:rsid w:val="00257373"/>
    <w:rsid w:val="00257BD5"/>
    <w:rsid w:val="0026012B"/>
    <w:rsid w:val="00260A7D"/>
    <w:rsid w:val="0026128C"/>
    <w:rsid w:val="002613BC"/>
    <w:rsid w:val="002626F6"/>
    <w:rsid w:val="00263A44"/>
    <w:rsid w:val="002641C1"/>
    <w:rsid w:val="002646A2"/>
    <w:rsid w:val="00264B43"/>
    <w:rsid w:val="002651BD"/>
    <w:rsid w:val="00265A02"/>
    <w:rsid w:val="00265D93"/>
    <w:rsid w:val="00265E7A"/>
    <w:rsid w:val="0026714D"/>
    <w:rsid w:val="00267413"/>
    <w:rsid w:val="00270AD8"/>
    <w:rsid w:val="00271CC5"/>
    <w:rsid w:val="00272529"/>
    <w:rsid w:val="00272D95"/>
    <w:rsid w:val="0027347C"/>
    <w:rsid w:val="00273B8B"/>
    <w:rsid w:val="00274A12"/>
    <w:rsid w:val="00274B83"/>
    <w:rsid w:val="00275056"/>
    <w:rsid w:val="00275F20"/>
    <w:rsid w:val="00276210"/>
    <w:rsid w:val="00276984"/>
    <w:rsid w:val="00280876"/>
    <w:rsid w:val="00280968"/>
    <w:rsid w:val="00280A9D"/>
    <w:rsid w:val="00280C90"/>
    <w:rsid w:val="002811C1"/>
    <w:rsid w:val="00281221"/>
    <w:rsid w:val="002819A5"/>
    <w:rsid w:val="0028213E"/>
    <w:rsid w:val="00282F1A"/>
    <w:rsid w:val="00285CA1"/>
    <w:rsid w:val="00286567"/>
    <w:rsid w:val="00286EB3"/>
    <w:rsid w:val="00287071"/>
    <w:rsid w:val="002871A7"/>
    <w:rsid w:val="0028777C"/>
    <w:rsid w:val="00287D0F"/>
    <w:rsid w:val="00287E97"/>
    <w:rsid w:val="00290F0A"/>
    <w:rsid w:val="0029130E"/>
    <w:rsid w:val="0029181E"/>
    <w:rsid w:val="00291DA0"/>
    <w:rsid w:val="002927AD"/>
    <w:rsid w:val="00292AE9"/>
    <w:rsid w:val="00292C12"/>
    <w:rsid w:val="0029344C"/>
    <w:rsid w:val="00293F2F"/>
    <w:rsid w:val="00294770"/>
    <w:rsid w:val="00294A21"/>
    <w:rsid w:val="00295102"/>
    <w:rsid w:val="002954BF"/>
    <w:rsid w:val="002956B1"/>
    <w:rsid w:val="002978C4"/>
    <w:rsid w:val="002A03EE"/>
    <w:rsid w:val="002A0710"/>
    <w:rsid w:val="002A180D"/>
    <w:rsid w:val="002A1DEE"/>
    <w:rsid w:val="002A1F62"/>
    <w:rsid w:val="002A2DEA"/>
    <w:rsid w:val="002A3C35"/>
    <w:rsid w:val="002A4740"/>
    <w:rsid w:val="002A55FC"/>
    <w:rsid w:val="002A636F"/>
    <w:rsid w:val="002A64C8"/>
    <w:rsid w:val="002A7821"/>
    <w:rsid w:val="002A7E0C"/>
    <w:rsid w:val="002B038B"/>
    <w:rsid w:val="002B0542"/>
    <w:rsid w:val="002B0A6C"/>
    <w:rsid w:val="002B16DE"/>
    <w:rsid w:val="002B1F73"/>
    <w:rsid w:val="002B2AD8"/>
    <w:rsid w:val="002B2BF0"/>
    <w:rsid w:val="002B5CEE"/>
    <w:rsid w:val="002B6470"/>
    <w:rsid w:val="002B6E47"/>
    <w:rsid w:val="002B70D7"/>
    <w:rsid w:val="002B73EE"/>
    <w:rsid w:val="002B792C"/>
    <w:rsid w:val="002C0949"/>
    <w:rsid w:val="002C18D3"/>
    <w:rsid w:val="002C18E7"/>
    <w:rsid w:val="002C1D02"/>
    <w:rsid w:val="002C1D38"/>
    <w:rsid w:val="002C2487"/>
    <w:rsid w:val="002C2DDA"/>
    <w:rsid w:val="002C4204"/>
    <w:rsid w:val="002C4897"/>
    <w:rsid w:val="002C59B3"/>
    <w:rsid w:val="002C635E"/>
    <w:rsid w:val="002C64FC"/>
    <w:rsid w:val="002C657B"/>
    <w:rsid w:val="002C6E08"/>
    <w:rsid w:val="002C72AC"/>
    <w:rsid w:val="002C76DF"/>
    <w:rsid w:val="002D1AE8"/>
    <w:rsid w:val="002D5060"/>
    <w:rsid w:val="002D5EE6"/>
    <w:rsid w:val="002D6186"/>
    <w:rsid w:val="002D645E"/>
    <w:rsid w:val="002D7095"/>
    <w:rsid w:val="002D71A0"/>
    <w:rsid w:val="002D768D"/>
    <w:rsid w:val="002E0406"/>
    <w:rsid w:val="002E0B99"/>
    <w:rsid w:val="002E0C3C"/>
    <w:rsid w:val="002E0CEC"/>
    <w:rsid w:val="002E139A"/>
    <w:rsid w:val="002E1E19"/>
    <w:rsid w:val="002E1E1C"/>
    <w:rsid w:val="002E2ABD"/>
    <w:rsid w:val="002E2CAC"/>
    <w:rsid w:val="002E3039"/>
    <w:rsid w:val="002E4391"/>
    <w:rsid w:val="002E43F9"/>
    <w:rsid w:val="002E4B59"/>
    <w:rsid w:val="002E538D"/>
    <w:rsid w:val="002E53B5"/>
    <w:rsid w:val="002E6940"/>
    <w:rsid w:val="002E6ADB"/>
    <w:rsid w:val="002E7AFA"/>
    <w:rsid w:val="002E7E09"/>
    <w:rsid w:val="002F0D10"/>
    <w:rsid w:val="002F198F"/>
    <w:rsid w:val="002F1CC2"/>
    <w:rsid w:val="002F1E2F"/>
    <w:rsid w:val="002F2852"/>
    <w:rsid w:val="002F29FC"/>
    <w:rsid w:val="002F307B"/>
    <w:rsid w:val="002F33AA"/>
    <w:rsid w:val="002F3BDA"/>
    <w:rsid w:val="002F42B6"/>
    <w:rsid w:val="002F4FE3"/>
    <w:rsid w:val="002F5EA9"/>
    <w:rsid w:val="002F652F"/>
    <w:rsid w:val="002F6805"/>
    <w:rsid w:val="002F6950"/>
    <w:rsid w:val="002F69EF"/>
    <w:rsid w:val="002F7F0F"/>
    <w:rsid w:val="0030138D"/>
    <w:rsid w:val="00302839"/>
    <w:rsid w:val="00302D05"/>
    <w:rsid w:val="00302E61"/>
    <w:rsid w:val="00302EEF"/>
    <w:rsid w:val="00303A3C"/>
    <w:rsid w:val="00303AC1"/>
    <w:rsid w:val="0030524E"/>
    <w:rsid w:val="003053D6"/>
    <w:rsid w:val="0030745A"/>
    <w:rsid w:val="0030747C"/>
    <w:rsid w:val="00307567"/>
    <w:rsid w:val="00307861"/>
    <w:rsid w:val="003078C8"/>
    <w:rsid w:val="00310A8F"/>
    <w:rsid w:val="00310C8B"/>
    <w:rsid w:val="0031103A"/>
    <w:rsid w:val="0031214E"/>
    <w:rsid w:val="0031315F"/>
    <w:rsid w:val="00313754"/>
    <w:rsid w:val="00313DA1"/>
    <w:rsid w:val="00314649"/>
    <w:rsid w:val="003147D7"/>
    <w:rsid w:val="00314B0F"/>
    <w:rsid w:val="0031520C"/>
    <w:rsid w:val="00315402"/>
    <w:rsid w:val="00315B46"/>
    <w:rsid w:val="00316444"/>
    <w:rsid w:val="00316F8D"/>
    <w:rsid w:val="00316FB4"/>
    <w:rsid w:val="00317E84"/>
    <w:rsid w:val="003202C0"/>
    <w:rsid w:val="00320879"/>
    <w:rsid w:val="00321BCC"/>
    <w:rsid w:val="00322B5A"/>
    <w:rsid w:val="00322F60"/>
    <w:rsid w:val="00322FE6"/>
    <w:rsid w:val="00323304"/>
    <w:rsid w:val="00323A1F"/>
    <w:rsid w:val="003243C0"/>
    <w:rsid w:val="003245C5"/>
    <w:rsid w:val="00324988"/>
    <w:rsid w:val="00324DAD"/>
    <w:rsid w:val="00324FBD"/>
    <w:rsid w:val="003255EC"/>
    <w:rsid w:val="003259B0"/>
    <w:rsid w:val="00325B3B"/>
    <w:rsid w:val="00325DE8"/>
    <w:rsid w:val="00326B32"/>
    <w:rsid w:val="003272B2"/>
    <w:rsid w:val="00327B5D"/>
    <w:rsid w:val="00330611"/>
    <w:rsid w:val="0033091F"/>
    <w:rsid w:val="00330CF6"/>
    <w:rsid w:val="00330E5E"/>
    <w:rsid w:val="003313AE"/>
    <w:rsid w:val="00331450"/>
    <w:rsid w:val="003315BC"/>
    <w:rsid w:val="003316B9"/>
    <w:rsid w:val="003319B9"/>
    <w:rsid w:val="00332158"/>
    <w:rsid w:val="003325FA"/>
    <w:rsid w:val="0033383F"/>
    <w:rsid w:val="00333E6C"/>
    <w:rsid w:val="0033451D"/>
    <w:rsid w:val="00334555"/>
    <w:rsid w:val="0033508E"/>
    <w:rsid w:val="003352A7"/>
    <w:rsid w:val="00335B7D"/>
    <w:rsid w:val="00337A42"/>
    <w:rsid w:val="00337E75"/>
    <w:rsid w:val="00340914"/>
    <w:rsid w:val="00340D73"/>
    <w:rsid w:val="00340E3D"/>
    <w:rsid w:val="003416BE"/>
    <w:rsid w:val="003417B9"/>
    <w:rsid w:val="00341C91"/>
    <w:rsid w:val="003428FD"/>
    <w:rsid w:val="003434F6"/>
    <w:rsid w:val="0034370E"/>
    <w:rsid w:val="00343E1F"/>
    <w:rsid w:val="00344773"/>
    <w:rsid w:val="00344DBF"/>
    <w:rsid w:val="0034558A"/>
    <w:rsid w:val="003476D4"/>
    <w:rsid w:val="00347E2B"/>
    <w:rsid w:val="0035008A"/>
    <w:rsid w:val="00350DEC"/>
    <w:rsid w:val="00351F5B"/>
    <w:rsid w:val="003546B5"/>
    <w:rsid w:val="0035492F"/>
    <w:rsid w:val="00354AD6"/>
    <w:rsid w:val="00354F51"/>
    <w:rsid w:val="00355CD1"/>
    <w:rsid w:val="00356085"/>
    <w:rsid w:val="00356BCC"/>
    <w:rsid w:val="0036024F"/>
    <w:rsid w:val="00360588"/>
    <w:rsid w:val="00361823"/>
    <w:rsid w:val="00361D5C"/>
    <w:rsid w:val="00361E01"/>
    <w:rsid w:val="00361FF7"/>
    <w:rsid w:val="003626E4"/>
    <w:rsid w:val="00362C29"/>
    <w:rsid w:val="00365178"/>
    <w:rsid w:val="00365556"/>
    <w:rsid w:val="00366645"/>
    <w:rsid w:val="00366936"/>
    <w:rsid w:val="0036738A"/>
    <w:rsid w:val="003678B5"/>
    <w:rsid w:val="00367937"/>
    <w:rsid w:val="00370DBE"/>
    <w:rsid w:val="00371761"/>
    <w:rsid w:val="0037229B"/>
    <w:rsid w:val="0037291C"/>
    <w:rsid w:val="00372DD4"/>
    <w:rsid w:val="00373A7F"/>
    <w:rsid w:val="00374BBA"/>
    <w:rsid w:val="003758C1"/>
    <w:rsid w:val="003766CE"/>
    <w:rsid w:val="003767E2"/>
    <w:rsid w:val="0037687F"/>
    <w:rsid w:val="00377F2D"/>
    <w:rsid w:val="00377F78"/>
    <w:rsid w:val="003802BC"/>
    <w:rsid w:val="0038035E"/>
    <w:rsid w:val="00380685"/>
    <w:rsid w:val="00380C7A"/>
    <w:rsid w:val="00380CEB"/>
    <w:rsid w:val="00381A91"/>
    <w:rsid w:val="00381DFA"/>
    <w:rsid w:val="00382F64"/>
    <w:rsid w:val="00384150"/>
    <w:rsid w:val="0038482C"/>
    <w:rsid w:val="003850DA"/>
    <w:rsid w:val="003853D9"/>
    <w:rsid w:val="003856FF"/>
    <w:rsid w:val="00386172"/>
    <w:rsid w:val="003862E9"/>
    <w:rsid w:val="00386530"/>
    <w:rsid w:val="00386D39"/>
    <w:rsid w:val="00390CD7"/>
    <w:rsid w:val="00391E45"/>
    <w:rsid w:val="00393112"/>
    <w:rsid w:val="00393C2C"/>
    <w:rsid w:val="00394CE5"/>
    <w:rsid w:val="00396146"/>
    <w:rsid w:val="00396591"/>
    <w:rsid w:val="00397306"/>
    <w:rsid w:val="00397851"/>
    <w:rsid w:val="003A02B4"/>
    <w:rsid w:val="003A09D7"/>
    <w:rsid w:val="003A0E70"/>
    <w:rsid w:val="003A171D"/>
    <w:rsid w:val="003A194D"/>
    <w:rsid w:val="003A4932"/>
    <w:rsid w:val="003A4A96"/>
    <w:rsid w:val="003A55E6"/>
    <w:rsid w:val="003A5FF7"/>
    <w:rsid w:val="003A6791"/>
    <w:rsid w:val="003A6882"/>
    <w:rsid w:val="003A7128"/>
    <w:rsid w:val="003A752E"/>
    <w:rsid w:val="003B094E"/>
    <w:rsid w:val="003B09D5"/>
    <w:rsid w:val="003B1190"/>
    <w:rsid w:val="003B1C66"/>
    <w:rsid w:val="003B30B1"/>
    <w:rsid w:val="003B31E8"/>
    <w:rsid w:val="003B39AA"/>
    <w:rsid w:val="003B3A9E"/>
    <w:rsid w:val="003B3B1E"/>
    <w:rsid w:val="003B3DCF"/>
    <w:rsid w:val="003B4330"/>
    <w:rsid w:val="003B4C9A"/>
    <w:rsid w:val="003B6403"/>
    <w:rsid w:val="003B7078"/>
    <w:rsid w:val="003B755F"/>
    <w:rsid w:val="003B77E3"/>
    <w:rsid w:val="003B78FB"/>
    <w:rsid w:val="003C0771"/>
    <w:rsid w:val="003C0DE6"/>
    <w:rsid w:val="003C10AA"/>
    <w:rsid w:val="003C1475"/>
    <w:rsid w:val="003C1727"/>
    <w:rsid w:val="003C18E8"/>
    <w:rsid w:val="003C1D25"/>
    <w:rsid w:val="003C1DE8"/>
    <w:rsid w:val="003C2CEB"/>
    <w:rsid w:val="003C2D47"/>
    <w:rsid w:val="003C2E1F"/>
    <w:rsid w:val="003C3931"/>
    <w:rsid w:val="003C3A2C"/>
    <w:rsid w:val="003C447A"/>
    <w:rsid w:val="003C4989"/>
    <w:rsid w:val="003C4C97"/>
    <w:rsid w:val="003C4CF4"/>
    <w:rsid w:val="003C4E47"/>
    <w:rsid w:val="003C5C19"/>
    <w:rsid w:val="003C5E16"/>
    <w:rsid w:val="003C5F09"/>
    <w:rsid w:val="003D009B"/>
    <w:rsid w:val="003D0407"/>
    <w:rsid w:val="003D0835"/>
    <w:rsid w:val="003D0A37"/>
    <w:rsid w:val="003D0F32"/>
    <w:rsid w:val="003D14E9"/>
    <w:rsid w:val="003D17DF"/>
    <w:rsid w:val="003D2256"/>
    <w:rsid w:val="003D2C5F"/>
    <w:rsid w:val="003D2DA7"/>
    <w:rsid w:val="003D2E79"/>
    <w:rsid w:val="003D3BC1"/>
    <w:rsid w:val="003D3EDF"/>
    <w:rsid w:val="003D3FDA"/>
    <w:rsid w:val="003D489A"/>
    <w:rsid w:val="003D4955"/>
    <w:rsid w:val="003D4DC2"/>
    <w:rsid w:val="003D524D"/>
    <w:rsid w:val="003D573D"/>
    <w:rsid w:val="003D5FE4"/>
    <w:rsid w:val="003D6310"/>
    <w:rsid w:val="003D658B"/>
    <w:rsid w:val="003D72F6"/>
    <w:rsid w:val="003D7457"/>
    <w:rsid w:val="003D7785"/>
    <w:rsid w:val="003D7AB1"/>
    <w:rsid w:val="003E1027"/>
    <w:rsid w:val="003E1BDC"/>
    <w:rsid w:val="003E1CC3"/>
    <w:rsid w:val="003E21A1"/>
    <w:rsid w:val="003E23E4"/>
    <w:rsid w:val="003E243A"/>
    <w:rsid w:val="003E2DB6"/>
    <w:rsid w:val="003E36EA"/>
    <w:rsid w:val="003E386E"/>
    <w:rsid w:val="003E3DBF"/>
    <w:rsid w:val="003E3EC7"/>
    <w:rsid w:val="003E3F6B"/>
    <w:rsid w:val="003E3FDA"/>
    <w:rsid w:val="003E42F1"/>
    <w:rsid w:val="003E4D6C"/>
    <w:rsid w:val="003E4EC5"/>
    <w:rsid w:val="003E4FC9"/>
    <w:rsid w:val="003E5091"/>
    <w:rsid w:val="003E538C"/>
    <w:rsid w:val="003E5691"/>
    <w:rsid w:val="003E5BF3"/>
    <w:rsid w:val="003E6BCE"/>
    <w:rsid w:val="003E6FCA"/>
    <w:rsid w:val="003E7417"/>
    <w:rsid w:val="003E746D"/>
    <w:rsid w:val="003E7981"/>
    <w:rsid w:val="003F0500"/>
    <w:rsid w:val="003F09E5"/>
    <w:rsid w:val="003F0C22"/>
    <w:rsid w:val="003F1EDE"/>
    <w:rsid w:val="003F2B68"/>
    <w:rsid w:val="003F31CA"/>
    <w:rsid w:val="003F51C8"/>
    <w:rsid w:val="003F61FE"/>
    <w:rsid w:val="003F62E4"/>
    <w:rsid w:val="003F6737"/>
    <w:rsid w:val="003F6CA3"/>
    <w:rsid w:val="003F711B"/>
    <w:rsid w:val="003F7190"/>
    <w:rsid w:val="004004AD"/>
    <w:rsid w:val="00400AC3"/>
    <w:rsid w:val="00401170"/>
    <w:rsid w:val="00401A8E"/>
    <w:rsid w:val="004023A0"/>
    <w:rsid w:val="00403086"/>
    <w:rsid w:val="00403CAC"/>
    <w:rsid w:val="00404AF1"/>
    <w:rsid w:val="00404C25"/>
    <w:rsid w:val="00405470"/>
    <w:rsid w:val="004057ED"/>
    <w:rsid w:val="00405816"/>
    <w:rsid w:val="00407394"/>
    <w:rsid w:val="00407916"/>
    <w:rsid w:val="00407A74"/>
    <w:rsid w:val="00407C44"/>
    <w:rsid w:val="00407DB6"/>
    <w:rsid w:val="00410710"/>
    <w:rsid w:val="0041269B"/>
    <w:rsid w:val="00412B1D"/>
    <w:rsid w:val="00413882"/>
    <w:rsid w:val="00413C82"/>
    <w:rsid w:val="00413D51"/>
    <w:rsid w:val="00414D95"/>
    <w:rsid w:val="00416051"/>
    <w:rsid w:val="00416DCA"/>
    <w:rsid w:val="0041767F"/>
    <w:rsid w:val="00420200"/>
    <w:rsid w:val="004205DA"/>
    <w:rsid w:val="0042070D"/>
    <w:rsid w:val="00420AC5"/>
    <w:rsid w:val="00420B2C"/>
    <w:rsid w:val="0042106B"/>
    <w:rsid w:val="00421337"/>
    <w:rsid w:val="00421540"/>
    <w:rsid w:val="004219D8"/>
    <w:rsid w:val="00421B95"/>
    <w:rsid w:val="00421CEF"/>
    <w:rsid w:val="0042294B"/>
    <w:rsid w:val="00422D95"/>
    <w:rsid w:val="0042310F"/>
    <w:rsid w:val="0042378E"/>
    <w:rsid w:val="00423CA0"/>
    <w:rsid w:val="00424A50"/>
    <w:rsid w:val="00425542"/>
    <w:rsid w:val="00425781"/>
    <w:rsid w:val="004265AA"/>
    <w:rsid w:val="00426A43"/>
    <w:rsid w:val="0042795A"/>
    <w:rsid w:val="004301F6"/>
    <w:rsid w:val="004305E9"/>
    <w:rsid w:val="004307DE"/>
    <w:rsid w:val="00430881"/>
    <w:rsid w:val="00430F40"/>
    <w:rsid w:val="00431A36"/>
    <w:rsid w:val="004327F6"/>
    <w:rsid w:val="0043387F"/>
    <w:rsid w:val="00434918"/>
    <w:rsid w:val="0043491F"/>
    <w:rsid w:val="00434CAB"/>
    <w:rsid w:val="004350DE"/>
    <w:rsid w:val="0043515F"/>
    <w:rsid w:val="0043561B"/>
    <w:rsid w:val="00435B62"/>
    <w:rsid w:val="00436622"/>
    <w:rsid w:val="00436CCC"/>
    <w:rsid w:val="0043769B"/>
    <w:rsid w:val="00440EB8"/>
    <w:rsid w:val="00441138"/>
    <w:rsid w:val="0044163D"/>
    <w:rsid w:val="0044211E"/>
    <w:rsid w:val="004424EA"/>
    <w:rsid w:val="00442E8D"/>
    <w:rsid w:val="004431B1"/>
    <w:rsid w:val="00443CC4"/>
    <w:rsid w:val="00443D57"/>
    <w:rsid w:val="0044451D"/>
    <w:rsid w:val="004446D4"/>
    <w:rsid w:val="00444FC9"/>
    <w:rsid w:val="00445194"/>
    <w:rsid w:val="00445197"/>
    <w:rsid w:val="00445E3B"/>
    <w:rsid w:val="00445FAE"/>
    <w:rsid w:val="00446100"/>
    <w:rsid w:val="004463AD"/>
    <w:rsid w:val="00446FD4"/>
    <w:rsid w:val="00447201"/>
    <w:rsid w:val="00451DF1"/>
    <w:rsid w:val="004522A9"/>
    <w:rsid w:val="0045299F"/>
    <w:rsid w:val="0045329D"/>
    <w:rsid w:val="00453C32"/>
    <w:rsid w:val="00453CFC"/>
    <w:rsid w:val="00453E93"/>
    <w:rsid w:val="00454DFF"/>
    <w:rsid w:val="00455864"/>
    <w:rsid w:val="0045647E"/>
    <w:rsid w:val="00456EDA"/>
    <w:rsid w:val="004571AE"/>
    <w:rsid w:val="004571DE"/>
    <w:rsid w:val="0045722D"/>
    <w:rsid w:val="004579EE"/>
    <w:rsid w:val="00457ED0"/>
    <w:rsid w:val="00460AD9"/>
    <w:rsid w:val="004611AC"/>
    <w:rsid w:val="00461314"/>
    <w:rsid w:val="00462693"/>
    <w:rsid w:val="0046294C"/>
    <w:rsid w:val="00463BBE"/>
    <w:rsid w:val="004640A6"/>
    <w:rsid w:val="0046486B"/>
    <w:rsid w:val="00464BA6"/>
    <w:rsid w:val="004652BC"/>
    <w:rsid w:val="004655C4"/>
    <w:rsid w:val="004663D3"/>
    <w:rsid w:val="0046673A"/>
    <w:rsid w:val="004671A5"/>
    <w:rsid w:val="0046787A"/>
    <w:rsid w:val="004705D2"/>
    <w:rsid w:val="00470EFB"/>
    <w:rsid w:val="0047138B"/>
    <w:rsid w:val="004726CF"/>
    <w:rsid w:val="00472888"/>
    <w:rsid w:val="00473F00"/>
    <w:rsid w:val="00474D50"/>
    <w:rsid w:val="004757BD"/>
    <w:rsid w:val="00475FAD"/>
    <w:rsid w:val="00477790"/>
    <w:rsid w:val="00477914"/>
    <w:rsid w:val="00480034"/>
    <w:rsid w:val="004802E1"/>
    <w:rsid w:val="004809DF"/>
    <w:rsid w:val="00480ADF"/>
    <w:rsid w:val="00481360"/>
    <w:rsid w:val="00481CDF"/>
    <w:rsid w:val="00482408"/>
    <w:rsid w:val="004824CA"/>
    <w:rsid w:val="00482B31"/>
    <w:rsid w:val="004845B3"/>
    <w:rsid w:val="00484BC4"/>
    <w:rsid w:val="00484E5A"/>
    <w:rsid w:val="004852FB"/>
    <w:rsid w:val="0048552A"/>
    <w:rsid w:val="00485729"/>
    <w:rsid w:val="0048583A"/>
    <w:rsid w:val="00486407"/>
    <w:rsid w:val="00486927"/>
    <w:rsid w:val="0048705B"/>
    <w:rsid w:val="0048788F"/>
    <w:rsid w:val="004902A1"/>
    <w:rsid w:val="00490E9C"/>
    <w:rsid w:val="004912C7"/>
    <w:rsid w:val="004912FF"/>
    <w:rsid w:val="00491871"/>
    <w:rsid w:val="00491E8A"/>
    <w:rsid w:val="00491EDF"/>
    <w:rsid w:val="00492B5F"/>
    <w:rsid w:val="00493C16"/>
    <w:rsid w:val="00493D11"/>
    <w:rsid w:val="00493E09"/>
    <w:rsid w:val="00493E9B"/>
    <w:rsid w:val="00494019"/>
    <w:rsid w:val="0049412E"/>
    <w:rsid w:val="004947FB"/>
    <w:rsid w:val="00495797"/>
    <w:rsid w:val="00495B14"/>
    <w:rsid w:val="00496B83"/>
    <w:rsid w:val="00496E64"/>
    <w:rsid w:val="00497F93"/>
    <w:rsid w:val="004A046F"/>
    <w:rsid w:val="004A1903"/>
    <w:rsid w:val="004A1BE8"/>
    <w:rsid w:val="004A2012"/>
    <w:rsid w:val="004A20D3"/>
    <w:rsid w:val="004A2939"/>
    <w:rsid w:val="004A337E"/>
    <w:rsid w:val="004A34DC"/>
    <w:rsid w:val="004A37AA"/>
    <w:rsid w:val="004A3DE7"/>
    <w:rsid w:val="004A4330"/>
    <w:rsid w:val="004A4459"/>
    <w:rsid w:val="004A4485"/>
    <w:rsid w:val="004A5B50"/>
    <w:rsid w:val="004A6057"/>
    <w:rsid w:val="004A74C7"/>
    <w:rsid w:val="004A7828"/>
    <w:rsid w:val="004A7F46"/>
    <w:rsid w:val="004B007B"/>
    <w:rsid w:val="004B02A8"/>
    <w:rsid w:val="004B07E8"/>
    <w:rsid w:val="004B0A45"/>
    <w:rsid w:val="004B0AE4"/>
    <w:rsid w:val="004B0FEA"/>
    <w:rsid w:val="004B14B1"/>
    <w:rsid w:val="004B166D"/>
    <w:rsid w:val="004B2CAA"/>
    <w:rsid w:val="004B3096"/>
    <w:rsid w:val="004B35F8"/>
    <w:rsid w:val="004B371F"/>
    <w:rsid w:val="004B3A59"/>
    <w:rsid w:val="004B4179"/>
    <w:rsid w:val="004B435D"/>
    <w:rsid w:val="004B47FA"/>
    <w:rsid w:val="004B484D"/>
    <w:rsid w:val="004B4DD9"/>
    <w:rsid w:val="004B4DF0"/>
    <w:rsid w:val="004B5722"/>
    <w:rsid w:val="004B769D"/>
    <w:rsid w:val="004C06CB"/>
    <w:rsid w:val="004C076C"/>
    <w:rsid w:val="004C285D"/>
    <w:rsid w:val="004C2B6F"/>
    <w:rsid w:val="004C2B76"/>
    <w:rsid w:val="004C31AB"/>
    <w:rsid w:val="004C32C9"/>
    <w:rsid w:val="004C41FA"/>
    <w:rsid w:val="004C430E"/>
    <w:rsid w:val="004C443C"/>
    <w:rsid w:val="004C4447"/>
    <w:rsid w:val="004C4976"/>
    <w:rsid w:val="004C4AED"/>
    <w:rsid w:val="004C4DAB"/>
    <w:rsid w:val="004C53BA"/>
    <w:rsid w:val="004C5974"/>
    <w:rsid w:val="004C5DEF"/>
    <w:rsid w:val="004C60BD"/>
    <w:rsid w:val="004C6777"/>
    <w:rsid w:val="004C6BC7"/>
    <w:rsid w:val="004C74D5"/>
    <w:rsid w:val="004D002B"/>
    <w:rsid w:val="004D0C02"/>
    <w:rsid w:val="004D0DC9"/>
    <w:rsid w:val="004D0FDC"/>
    <w:rsid w:val="004D109F"/>
    <w:rsid w:val="004D1717"/>
    <w:rsid w:val="004D1986"/>
    <w:rsid w:val="004D1D34"/>
    <w:rsid w:val="004D1EDE"/>
    <w:rsid w:val="004D2109"/>
    <w:rsid w:val="004D2547"/>
    <w:rsid w:val="004D263D"/>
    <w:rsid w:val="004D2D01"/>
    <w:rsid w:val="004D3108"/>
    <w:rsid w:val="004D4A6B"/>
    <w:rsid w:val="004D4D4E"/>
    <w:rsid w:val="004D556E"/>
    <w:rsid w:val="004D5A1B"/>
    <w:rsid w:val="004D67BA"/>
    <w:rsid w:val="004D6948"/>
    <w:rsid w:val="004D7B13"/>
    <w:rsid w:val="004E1267"/>
    <w:rsid w:val="004E17A2"/>
    <w:rsid w:val="004E1FFB"/>
    <w:rsid w:val="004E261B"/>
    <w:rsid w:val="004E39A6"/>
    <w:rsid w:val="004E3CC3"/>
    <w:rsid w:val="004E3FAE"/>
    <w:rsid w:val="004E4101"/>
    <w:rsid w:val="004E412B"/>
    <w:rsid w:val="004E47FE"/>
    <w:rsid w:val="004E4968"/>
    <w:rsid w:val="004E5986"/>
    <w:rsid w:val="004E629C"/>
    <w:rsid w:val="004E71DE"/>
    <w:rsid w:val="004E7A7A"/>
    <w:rsid w:val="004E7B03"/>
    <w:rsid w:val="004E7B7B"/>
    <w:rsid w:val="004E7D37"/>
    <w:rsid w:val="004F1698"/>
    <w:rsid w:val="004F2A28"/>
    <w:rsid w:val="004F33A9"/>
    <w:rsid w:val="004F3C9C"/>
    <w:rsid w:val="004F3EC9"/>
    <w:rsid w:val="004F4DA5"/>
    <w:rsid w:val="004F51C2"/>
    <w:rsid w:val="004F54DF"/>
    <w:rsid w:val="004F59B6"/>
    <w:rsid w:val="004F5B53"/>
    <w:rsid w:val="004F63C1"/>
    <w:rsid w:val="004F6426"/>
    <w:rsid w:val="004F6C38"/>
    <w:rsid w:val="004F704F"/>
    <w:rsid w:val="004F70E8"/>
    <w:rsid w:val="004F7D23"/>
    <w:rsid w:val="005002DD"/>
    <w:rsid w:val="00500881"/>
    <w:rsid w:val="005009FA"/>
    <w:rsid w:val="00500D3B"/>
    <w:rsid w:val="00500F0E"/>
    <w:rsid w:val="00501897"/>
    <w:rsid w:val="00502CAF"/>
    <w:rsid w:val="00502DC2"/>
    <w:rsid w:val="0050451F"/>
    <w:rsid w:val="00504A21"/>
    <w:rsid w:val="0050556C"/>
    <w:rsid w:val="00505836"/>
    <w:rsid w:val="005062A3"/>
    <w:rsid w:val="0050630A"/>
    <w:rsid w:val="005066B8"/>
    <w:rsid w:val="00506A9F"/>
    <w:rsid w:val="00506FDE"/>
    <w:rsid w:val="005079E3"/>
    <w:rsid w:val="00507F14"/>
    <w:rsid w:val="00511608"/>
    <w:rsid w:val="00511690"/>
    <w:rsid w:val="00511C36"/>
    <w:rsid w:val="00511D2C"/>
    <w:rsid w:val="00512A86"/>
    <w:rsid w:val="00513E9E"/>
    <w:rsid w:val="0051448A"/>
    <w:rsid w:val="00514566"/>
    <w:rsid w:val="0051541D"/>
    <w:rsid w:val="0051652B"/>
    <w:rsid w:val="00516BC1"/>
    <w:rsid w:val="00520286"/>
    <w:rsid w:val="00520434"/>
    <w:rsid w:val="00520538"/>
    <w:rsid w:val="00520935"/>
    <w:rsid w:val="005214ED"/>
    <w:rsid w:val="00521FCB"/>
    <w:rsid w:val="00524825"/>
    <w:rsid w:val="005249E1"/>
    <w:rsid w:val="00524C86"/>
    <w:rsid w:val="0052513C"/>
    <w:rsid w:val="005258C1"/>
    <w:rsid w:val="00525C1D"/>
    <w:rsid w:val="00526698"/>
    <w:rsid w:val="00526F4A"/>
    <w:rsid w:val="005270E5"/>
    <w:rsid w:val="00527465"/>
    <w:rsid w:val="00527FD8"/>
    <w:rsid w:val="0053112A"/>
    <w:rsid w:val="005328DD"/>
    <w:rsid w:val="00535608"/>
    <w:rsid w:val="00535C78"/>
    <w:rsid w:val="00535F5B"/>
    <w:rsid w:val="0053696F"/>
    <w:rsid w:val="0053747C"/>
    <w:rsid w:val="00537502"/>
    <w:rsid w:val="0053785E"/>
    <w:rsid w:val="00537B9D"/>
    <w:rsid w:val="005400F5"/>
    <w:rsid w:val="005401F0"/>
    <w:rsid w:val="00540326"/>
    <w:rsid w:val="00540933"/>
    <w:rsid w:val="00540945"/>
    <w:rsid w:val="00540D03"/>
    <w:rsid w:val="00540D8A"/>
    <w:rsid w:val="00540F00"/>
    <w:rsid w:val="005414DF"/>
    <w:rsid w:val="00541591"/>
    <w:rsid w:val="00542232"/>
    <w:rsid w:val="0054234B"/>
    <w:rsid w:val="00542D3A"/>
    <w:rsid w:val="00542D61"/>
    <w:rsid w:val="00544204"/>
    <w:rsid w:val="00544B97"/>
    <w:rsid w:val="00544E8E"/>
    <w:rsid w:val="0054543F"/>
    <w:rsid w:val="00545F3D"/>
    <w:rsid w:val="00546386"/>
    <w:rsid w:val="00551EE3"/>
    <w:rsid w:val="00551F29"/>
    <w:rsid w:val="0055296B"/>
    <w:rsid w:val="00553CAB"/>
    <w:rsid w:val="00554268"/>
    <w:rsid w:val="00555459"/>
    <w:rsid w:val="005556CC"/>
    <w:rsid w:val="00557282"/>
    <w:rsid w:val="00557CD9"/>
    <w:rsid w:val="0056041E"/>
    <w:rsid w:val="005605C8"/>
    <w:rsid w:val="00560683"/>
    <w:rsid w:val="00560CC9"/>
    <w:rsid w:val="00561226"/>
    <w:rsid w:val="005619FB"/>
    <w:rsid w:val="00562820"/>
    <w:rsid w:val="005640EC"/>
    <w:rsid w:val="00564786"/>
    <w:rsid w:val="00565F75"/>
    <w:rsid w:val="005671DC"/>
    <w:rsid w:val="00570155"/>
    <w:rsid w:val="00570D8E"/>
    <w:rsid w:val="00571572"/>
    <w:rsid w:val="005719CE"/>
    <w:rsid w:val="00571EA3"/>
    <w:rsid w:val="005723B1"/>
    <w:rsid w:val="0057294B"/>
    <w:rsid w:val="0057375A"/>
    <w:rsid w:val="00573E3E"/>
    <w:rsid w:val="00573E96"/>
    <w:rsid w:val="00573F10"/>
    <w:rsid w:val="0057522D"/>
    <w:rsid w:val="00575D32"/>
    <w:rsid w:val="00575E65"/>
    <w:rsid w:val="00575FB1"/>
    <w:rsid w:val="005760F9"/>
    <w:rsid w:val="005771B2"/>
    <w:rsid w:val="00577483"/>
    <w:rsid w:val="0057796E"/>
    <w:rsid w:val="00577BEA"/>
    <w:rsid w:val="00577FD3"/>
    <w:rsid w:val="005801E9"/>
    <w:rsid w:val="0058065A"/>
    <w:rsid w:val="00580B14"/>
    <w:rsid w:val="0058159D"/>
    <w:rsid w:val="00581709"/>
    <w:rsid w:val="00582DAB"/>
    <w:rsid w:val="00583AA0"/>
    <w:rsid w:val="00583C25"/>
    <w:rsid w:val="0058403C"/>
    <w:rsid w:val="00584C9A"/>
    <w:rsid w:val="00584DD2"/>
    <w:rsid w:val="005851CF"/>
    <w:rsid w:val="00585A6C"/>
    <w:rsid w:val="00585D20"/>
    <w:rsid w:val="00585D46"/>
    <w:rsid w:val="00586D5E"/>
    <w:rsid w:val="00586E33"/>
    <w:rsid w:val="0058752C"/>
    <w:rsid w:val="00587843"/>
    <w:rsid w:val="00587BF6"/>
    <w:rsid w:val="00587D8F"/>
    <w:rsid w:val="00590181"/>
    <w:rsid w:val="00590436"/>
    <w:rsid w:val="00590B3E"/>
    <w:rsid w:val="00590C51"/>
    <w:rsid w:val="00592A56"/>
    <w:rsid w:val="00592E97"/>
    <w:rsid w:val="005932EE"/>
    <w:rsid w:val="005934D7"/>
    <w:rsid w:val="00595223"/>
    <w:rsid w:val="005961D3"/>
    <w:rsid w:val="00596254"/>
    <w:rsid w:val="00597395"/>
    <w:rsid w:val="005974F7"/>
    <w:rsid w:val="00597DDA"/>
    <w:rsid w:val="005A045E"/>
    <w:rsid w:val="005A06C8"/>
    <w:rsid w:val="005A0810"/>
    <w:rsid w:val="005A0B75"/>
    <w:rsid w:val="005A0F18"/>
    <w:rsid w:val="005A109E"/>
    <w:rsid w:val="005A10C8"/>
    <w:rsid w:val="005A21E0"/>
    <w:rsid w:val="005A2821"/>
    <w:rsid w:val="005A2E8E"/>
    <w:rsid w:val="005A2F05"/>
    <w:rsid w:val="005A3F0F"/>
    <w:rsid w:val="005A4DF0"/>
    <w:rsid w:val="005A5D48"/>
    <w:rsid w:val="005A65A6"/>
    <w:rsid w:val="005A6835"/>
    <w:rsid w:val="005A746C"/>
    <w:rsid w:val="005B1E3E"/>
    <w:rsid w:val="005B2733"/>
    <w:rsid w:val="005B3569"/>
    <w:rsid w:val="005B370F"/>
    <w:rsid w:val="005B3C85"/>
    <w:rsid w:val="005B3EA0"/>
    <w:rsid w:val="005B42B6"/>
    <w:rsid w:val="005B510A"/>
    <w:rsid w:val="005B5187"/>
    <w:rsid w:val="005B560B"/>
    <w:rsid w:val="005B70A4"/>
    <w:rsid w:val="005C09D5"/>
    <w:rsid w:val="005C0FD6"/>
    <w:rsid w:val="005C12E7"/>
    <w:rsid w:val="005C1323"/>
    <w:rsid w:val="005C19B5"/>
    <w:rsid w:val="005C1CF2"/>
    <w:rsid w:val="005C20CA"/>
    <w:rsid w:val="005C2670"/>
    <w:rsid w:val="005C3479"/>
    <w:rsid w:val="005C3B1F"/>
    <w:rsid w:val="005C3EAD"/>
    <w:rsid w:val="005C48AA"/>
    <w:rsid w:val="005C4D41"/>
    <w:rsid w:val="005C570E"/>
    <w:rsid w:val="005C6959"/>
    <w:rsid w:val="005C759F"/>
    <w:rsid w:val="005C7607"/>
    <w:rsid w:val="005C7652"/>
    <w:rsid w:val="005C7CEC"/>
    <w:rsid w:val="005D01BC"/>
    <w:rsid w:val="005D0671"/>
    <w:rsid w:val="005D084F"/>
    <w:rsid w:val="005D0B71"/>
    <w:rsid w:val="005D2318"/>
    <w:rsid w:val="005D29B9"/>
    <w:rsid w:val="005D29E8"/>
    <w:rsid w:val="005D2E60"/>
    <w:rsid w:val="005D35C5"/>
    <w:rsid w:val="005D4045"/>
    <w:rsid w:val="005D51A0"/>
    <w:rsid w:val="005D650D"/>
    <w:rsid w:val="005D66C9"/>
    <w:rsid w:val="005D6BB1"/>
    <w:rsid w:val="005D6E27"/>
    <w:rsid w:val="005D704C"/>
    <w:rsid w:val="005D7286"/>
    <w:rsid w:val="005D7640"/>
    <w:rsid w:val="005E00F7"/>
    <w:rsid w:val="005E0CA6"/>
    <w:rsid w:val="005E1461"/>
    <w:rsid w:val="005E16FA"/>
    <w:rsid w:val="005E24B6"/>
    <w:rsid w:val="005E2551"/>
    <w:rsid w:val="005E2582"/>
    <w:rsid w:val="005E2815"/>
    <w:rsid w:val="005E28DA"/>
    <w:rsid w:val="005E2FFA"/>
    <w:rsid w:val="005E380C"/>
    <w:rsid w:val="005E38CB"/>
    <w:rsid w:val="005E3E22"/>
    <w:rsid w:val="005E4CAA"/>
    <w:rsid w:val="005E5A10"/>
    <w:rsid w:val="005E5CBC"/>
    <w:rsid w:val="005E5D25"/>
    <w:rsid w:val="005E6B14"/>
    <w:rsid w:val="005E711D"/>
    <w:rsid w:val="005E7E1E"/>
    <w:rsid w:val="005F05DB"/>
    <w:rsid w:val="005F1FC1"/>
    <w:rsid w:val="005F2728"/>
    <w:rsid w:val="005F30BC"/>
    <w:rsid w:val="005F314F"/>
    <w:rsid w:val="005F39CD"/>
    <w:rsid w:val="005F4F8C"/>
    <w:rsid w:val="005F5759"/>
    <w:rsid w:val="005F587E"/>
    <w:rsid w:val="005F5DA8"/>
    <w:rsid w:val="005F6640"/>
    <w:rsid w:val="005F6697"/>
    <w:rsid w:val="005F7814"/>
    <w:rsid w:val="005F7B53"/>
    <w:rsid w:val="005F7FD3"/>
    <w:rsid w:val="00601083"/>
    <w:rsid w:val="00601091"/>
    <w:rsid w:val="0060190A"/>
    <w:rsid w:val="00601C78"/>
    <w:rsid w:val="00602F41"/>
    <w:rsid w:val="0060330A"/>
    <w:rsid w:val="006043E9"/>
    <w:rsid w:val="00604523"/>
    <w:rsid w:val="006054EF"/>
    <w:rsid w:val="00605F04"/>
    <w:rsid w:val="0060629F"/>
    <w:rsid w:val="00606882"/>
    <w:rsid w:val="0060691D"/>
    <w:rsid w:val="00606ABC"/>
    <w:rsid w:val="00606CFA"/>
    <w:rsid w:val="00606D15"/>
    <w:rsid w:val="00607F78"/>
    <w:rsid w:val="006106CB"/>
    <w:rsid w:val="00610D1A"/>
    <w:rsid w:val="00610E7A"/>
    <w:rsid w:val="0061143C"/>
    <w:rsid w:val="00611DF1"/>
    <w:rsid w:val="00612446"/>
    <w:rsid w:val="00612CD9"/>
    <w:rsid w:val="0061305E"/>
    <w:rsid w:val="006131C6"/>
    <w:rsid w:val="00613732"/>
    <w:rsid w:val="00613E82"/>
    <w:rsid w:val="00613F58"/>
    <w:rsid w:val="006150AE"/>
    <w:rsid w:val="0061579F"/>
    <w:rsid w:val="00615EC2"/>
    <w:rsid w:val="00615F92"/>
    <w:rsid w:val="0061693E"/>
    <w:rsid w:val="006176A9"/>
    <w:rsid w:val="006177EF"/>
    <w:rsid w:val="00617892"/>
    <w:rsid w:val="00621363"/>
    <w:rsid w:val="006224D6"/>
    <w:rsid w:val="00622FE2"/>
    <w:rsid w:val="0062334D"/>
    <w:rsid w:val="006234C1"/>
    <w:rsid w:val="00623B02"/>
    <w:rsid w:val="006241D5"/>
    <w:rsid w:val="006244B9"/>
    <w:rsid w:val="00624E0D"/>
    <w:rsid w:val="006251D4"/>
    <w:rsid w:val="0062554E"/>
    <w:rsid w:val="006257F7"/>
    <w:rsid w:val="00626069"/>
    <w:rsid w:val="00627A2C"/>
    <w:rsid w:val="00627B5E"/>
    <w:rsid w:val="0063019A"/>
    <w:rsid w:val="00630763"/>
    <w:rsid w:val="006316FE"/>
    <w:rsid w:val="00631E10"/>
    <w:rsid w:val="006325E6"/>
    <w:rsid w:val="00633271"/>
    <w:rsid w:val="006332D8"/>
    <w:rsid w:val="006332F1"/>
    <w:rsid w:val="00633BDB"/>
    <w:rsid w:val="006353F3"/>
    <w:rsid w:val="006362BA"/>
    <w:rsid w:val="00637766"/>
    <w:rsid w:val="00637F4E"/>
    <w:rsid w:val="006411D5"/>
    <w:rsid w:val="00641564"/>
    <w:rsid w:val="00642916"/>
    <w:rsid w:val="00642B93"/>
    <w:rsid w:val="00643B3E"/>
    <w:rsid w:val="00643B95"/>
    <w:rsid w:val="0064596B"/>
    <w:rsid w:val="006460F8"/>
    <w:rsid w:val="00646218"/>
    <w:rsid w:val="006466CB"/>
    <w:rsid w:val="00646C57"/>
    <w:rsid w:val="0064702A"/>
    <w:rsid w:val="00650460"/>
    <w:rsid w:val="00650566"/>
    <w:rsid w:val="00650974"/>
    <w:rsid w:val="00650CC1"/>
    <w:rsid w:val="00650FEE"/>
    <w:rsid w:val="00651133"/>
    <w:rsid w:val="006514DC"/>
    <w:rsid w:val="00651ED8"/>
    <w:rsid w:val="006534A9"/>
    <w:rsid w:val="00653799"/>
    <w:rsid w:val="00653893"/>
    <w:rsid w:val="00653B76"/>
    <w:rsid w:val="00654581"/>
    <w:rsid w:val="00654CD9"/>
    <w:rsid w:val="00655AA8"/>
    <w:rsid w:val="00656EBF"/>
    <w:rsid w:val="006572B3"/>
    <w:rsid w:val="0065758E"/>
    <w:rsid w:val="00657C79"/>
    <w:rsid w:val="00660142"/>
    <w:rsid w:val="006602D6"/>
    <w:rsid w:val="00660F84"/>
    <w:rsid w:val="0066290D"/>
    <w:rsid w:val="006630AE"/>
    <w:rsid w:val="0066375D"/>
    <w:rsid w:val="00663ECF"/>
    <w:rsid w:val="00664DDE"/>
    <w:rsid w:val="0066501D"/>
    <w:rsid w:val="00665E48"/>
    <w:rsid w:val="00667027"/>
    <w:rsid w:val="00667554"/>
    <w:rsid w:val="006677DB"/>
    <w:rsid w:val="00667F59"/>
    <w:rsid w:val="00670113"/>
    <w:rsid w:val="0067082A"/>
    <w:rsid w:val="00670DAF"/>
    <w:rsid w:val="00671BE6"/>
    <w:rsid w:val="0067351C"/>
    <w:rsid w:val="006748BC"/>
    <w:rsid w:val="00674C58"/>
    <w:rsid w:val="00675D2C"/>
    <w:rsid w:val="006763C4"/>
    <w:rsid w:val="00676AAA"/>
    <w:rsid w:val="00676B95"/>
    <w:rsid w:val="0068164C"/>
    <w:rsid w:val="00682942"/>
    <w:rsid w:val="00682EA9"/>
    <w:rsid w:val="006830BB"/>
    <w:rsid w:val="006841B5"/>
    <w:rsid w:val="00684BBD"/>
    <w:rsid w:val="00685236"/>
    <w:rsid w:val="00685AEB"/>
    <w:rsid w:val="00685C11"/>
    <w:rsid w:val="00686968"/>
    <w:rsid w:val="0068705C"/>
    <w:rsid w:val="006872F9"/>
    <w:rsid w:val="00690610"/>
    <w:rsid w:val="00690699"/>
    <w:rsid w:val="006911DF"/>
    <w:rsid w:val="00691996"/>
    <w:rsid w:val="006921AB"/>
    <w:rsid w:val="006929F6"/>
    <w:rsid w:val="00692CD3"/>
    <w:rsid w:val="00693077"/>
    <w:rsid w:val="00693DD4"/>
    <w:rsid w:val="00693E49"/>
    <w:rsid w:val="006942D9"/>
    <w:rsid w:val="006946C7"/>
    <w:rsid w:val="00694DC9"/>
    <w:rsid w:val="00695501"/>
    <w:rsid w:val="00695DF0"/>
    <w:rsid w:val="00696336"/>
    <w:rsid w:val="006965C8"/>
    <w:rsid w:val="00696AA6"/>
    <w:rsid w:val="00696B26"/>
    <w:rsid w:val="006974F7"/>
    <w:rsid w:val="00697594"/>
    <w:rsid w:val="006977CE"/>
    <w:rsid w:val="00697BA3"/>
    <w:rsid w:val="00697F41"/>
    <w:rsid w:val="006A074D"/>
    <w:rsid w:val="006A08C7"/>
    <w:rsid w:val="006A0969"/>
    <w:rsid w:val="006A0C1E"/>
    <w:rsid w:val="006A0E19"/>
    <w:rsid w:val="006A12BC"/>
    <w:rsid w:val="006A1566"/>
    <w:rsid w:val="006A1970"/>
    <w:rsid w:val="006A2E40"/>
    <w:rsid w:val="006A3164"/>
    <w:rsid w:val="006A36B3"/>
    <w:rsid w:val="006A3A8E"/>
    <w:rsid w:val="006A3F17"/>
    <w:rsid w:val="006A41F2"/>
    <w:rsid w:val="006A4482"/>
    <w:rsid w:val="006A5B7A"/>
    <w:rsid w:val="006A6CEB"/>
    <w:rsid w:val="006A7139"/>
    <w:rsid w:val="006A742D"/>
    <w:rsid w:val="006A7577"/>
    <w:rsid w:val="006A7E6B"/>
    <w:rsid w:val="006B01CF"/>
    <w:rsid w:val="006B075F"/>
    <w:rsid w:val="006B0E85"/>
    <w:rsid w:val="006B0F9D"/>
    <w:rsid w:val="006B113A"/>
    <w:rsid w:val="006B162D"/>
    <w:rsid w:val="006B20B2"/>
    <w:rsid w:val="006B24CB"/>
    <w:rsid w:val="006B28C7"/>
    <w:rsid w:val="006B4215"/>
    <w:rsid w:val="006B51C8"/>
    <w:rsid w:val="006B58F9"/>
    <w:rsid w:val="006B634C"/>
    <w:rsid w:val="006B6495"/>
    <w:rsid w:val="006B6B7F"/>
    <w:rsid w:val="006B71C0"/>
    <w:rsid w:val="006B745E"/>
    <w:rsid w:val="006B763F"/>
    <w:rsid w:val="006B766B"/>
    <w:rsid w:val="006C02D7"/>
    <w:rsid w:val="006C0930"/>
    <w:rsid w:val="006C0E6B"/>
    <w:rsid w:val="006C147D"/>
    <w:rsid w:val="006C17DE"/>
    <w:rsid w:val="006C1A60"/>
    <w:rsid w:val="006C2919"/>
    <w:rsid w:val="006C2B5D"/>
    <w:rsid w:val="006C2EE3"/>
    <w:rsid w:val="006C32DE"/>
    <w:rsid w:val="006C33D2"/>
    <w:rsid w:val="006C3DC8"/>
    <w:rsid w:val="006C42E6"/>
    <w:rsid w:val="006C504F"/>
    <w:rsid w:val="006C526F"/>
    <w:rsid w:val="006C57ED"/>
    <w:rsid w:val="006C5A35"/>
    <w:rsid w:val="006C5A86"/>
    <w:rsid w:val="006C5D39"/>
    <w:rsid w:val="006C5F17"/>
    <w:rsid w:val="006C6462"/>
    <w:rsid w:val="006C7C46"/>
    <w:rsid w:val="006D0099"/>
    <w:rsid w:val="006D0703"/>
    <w:rsid w:val="006D0A19"/>
    <w:rsid w:val="006D1FC5"/>
    <w:rsid w:val="006D1FCD"/>
    <w:rsid w:val="006D23AB"/>
    <w:rsid w:val="006D3899"/>
    <w:rsid w:val="006D3E5D"/>
    <w:rsid w:val="006D477C"/>
    <w:rsid w:val="006D6792"/>
    <w:rsid w:val="006D69AF"/>
    <w:rsid w:val="006D6D96"/>
    <w:rsid w:val="006D6EBB"/>
    <w:rsid w:val="006D77CF"/>
    <w:rsid w:val="006D7F49"/>
    <w:rsid w:val="006E0229"/>
    <w:rsid w:val="006E135E"/>
    <w:rsid w:val="006E1A0D"/>
    <w:rsid w:val="006E1A3B"/>
    <w:rsid w:val="006E21DE"/>
    <w:rsid w:val="006E2350"/>
    <w:rsid w:val="006E28D8"/>
    <w:rsid w:val="006E29B4"/>
    <w:rsid w:val="006E2B7C"/>
    <w:rsid w:val="006E2E15"/>
    <w:rsid w:val="006E332C"/>
    <w:rsid w:val="006E33A8"/>
    <w:rsid w:val="006E35E5"/>
    <w:rsid w:val="006E39CE"/>
    <w:rsid w:val="006E425B"/>
    <w:rsid w:val="006E4DBF"/>
    <w:rsid w:val="006E5E2D"/>
    <w:rsid w:val="006E616C"/>
    <w:rsid w:val="006E64B1"/>
    <w:rsid w:val="006E65F1"/>
    <w:rsid w:val="006E6EDE"/>
    <w:rsid w:val="006E7188"/>
    <w:rsid w:val="006E77BB"/>
    <w:rsid w:val="006F0BE3"/>
    <w:rsid w:val="006F10EE"/>
    <w:rsid w:val="006F17E6"/>
    <w:rsid w:val="006F2610"/>
    <w:rsid w:val="006F26F9"/>
    <w:rsid w:val="006F2BB1"/>
    <w:rsid w:val="006F5639"/>
    <w:rsid w:val="006F642B"/>
    <w:rsid w:val="006F6448"/>
    <w:rsid w:val="006F6BB6"/>
    <w:rsid w:val="006F7361"/>
    <w:rsid w:val="007008AC"/>
    <w:rsid w:val="00700A33"/>
    <w:rsid w:val="00700BB5"/>
    <w:rsid w:val="00700DDE"/>
    <w:rsid w:val="00700EDD"/>
    <w:rsid w:val="00700F6B"/>
    <w:rsid w:val="007011A4"/>
    <w:rsid w:val="00701CF6"/>
    <w:rsid w:val="00701FCD"/>
    <w:rsid w:val="00702DE3"/>
    <w:rsid w:val="007035CB"/>
    <w:rsid w:val="00703844"/>
    <w:rsid w:val="00704035"/>
    <w:rsid w:val="0070494B"/>
    <w:rsid w:val="00704BAD"/>
    <w:rsid w:val="00704F35"/>
    <w:rsid w:val="00705425"/>
    <w:rsid w:val="0070669C"/>
    <w:rsid w:val="00707101"/>
    <w:rsid w:val="0070757B"/>
    <w:rsid w:val="00707F5B"/>
    <w:rsid w:val="00710311"/>
    <w:rsid w:val="00711005"/>
    <w:rsid w:val="00711FCE"/>
    <w:rsid w:val="00712781"/>
    <w:rsid w:val="0071302A"/>
    <w:rsid w:val="007143C1"/>
    <w:rsid w:val="00714AC6"/>
    <w:rsid w:val="00715274"/>
    <w:rsid w:val="00715375"/>
    <w:rsid w:val="00715B29"/>
    <w:rsid w:val="0071726A"/>
    <w:rsid w:val="007176AE"/>
    <w:rsid w:val="00720842"/>
    <w:rsid w:val="00721E97"/>
    <w:rsid w:val="00722B3A"/>
    <w:rsid w:val="00722B44"/>
    <w:rsid w:val="007233F6"/>
    <w:rsid w:val="00723A90"/>
    <w:rsid w:val="007255C8"/>
    <w:rsid w:val="00725E9C"/>
    <w:rsid w:val="00727A80"/>
    <w:rsid w:val="00727FEA"/>
    <w:rsid w:val="00730080"/>
    <w:rsid w:val="007314AB"/>
    <w:rsid w:val="0073158E"/>
    <w:rsid w:val="00731914"/>
    <w:rsid w:val="0073212A"/>
    <w:rsid w:val="00732956"/>
    <w:rsid w:val="00732D6C"/>
    <w:rsid w:val="0073373F"/>
    <w:rsid w:val="00733A96"/>
    <w:rsid w:val="00733B33"/>
    <w:rsid w:val="00733C40"/>
    <w:rsid w:val="00733ECC"/>
    <w:rsid w:val="007346D8"/>
    <w:rsid w:val="00735110"/>
    <w:rsid w:val="007356AD"/>
    <w:rsid w:val="0073604B"/>
    <w:rsid w:val="00736331"/>
    <w:rsid w:val="00736674"/>
    <w:rsid w:val="00736995"/>
    <w:rsid w:val="00736FCF"/>
    <w:rsid w:val="00737E8B"/>
    <w:rsid w:val="007400C9"/>
    <w:rsid w:val="00740E6B"/>
    <w:rsid w:val="00742396"/>
    <w:rsid w:val="0074378F"/>
    <w:rsid w:val="0074381C"/>
    <w:rsid w:val="00743B41"/>
    <w:rsid w:val="0074440A"/>
    <w:rsid w:val="00744B04"/>
    <w:rsid w:val="00744D9F"/>
    <w:rsid w:val="007466F0"/>
    <w:rsid w:val="00746C85"/>
    <w:rsid w:val="0074708D"/>
    <w:rsid w:val="007477FE"/>
    <w:rsid w:val="007479D5"/>
    <w:rsid w:val="00747A96"/>
    <w:rsid w:val="00747CD1"/>
    <w:rsid w:val="0075015D"/>
    <w:rsid w:val="007513A5"/>
    <w:rsid w:val="00751427"/>
    <w:rsid w:val="0075232E"/>
    <w:rsid w:val="0075335A"/>
    <w:rsid w:val="007533C6"/>
    <w:rsid w:val="00753EA9"/>
    <w:rsid w:val="00754BB2"/>
    <w:rsid w:val="007562A5"/>
    <w:rsid w:val="00756D19"/>
    <w:rsid w:val="007570D8"/>
    <w:rsid w:val="007571A8"/>
    <w:rsid w:val="0075721B"/>
    <w:rsid w:val="007577D8"/>
    <w:rsid w:val="0075782F"/>
    <w:rsid w:val="007604C5"/>
    <w:rsid w:val="00760797"/>
    <w:rsid w:val="00761084"/>
    <w:rsid w:val="00761E96"/>
    <w:rsid w:val="007628CF"/>
    <w:rsid w:val="00762906"/>
    <w:rsid w:val="00762C26"/>
    <w:rsid w:val="00762C4C"/>
    <w:rsid w:val="00762DB4"/>
    <w:rsid w:val="00763BF0"/>
    <w:rsid w:val="007647AA"/>
    <w:rsid w:val="00765035"/>
    <w:rsid w:val="00765E56"/>
    <w:rsid w:val="00766AA3"/>
    <w:rsid w:val="00767C8C"/>
    <w:rsid w:val="00770234"/>
    <w:rsid w:val="0077100D"/>
    <w:rsid w:val="007710E3"/>
    <w:rsid w:val="00771383"/>
    <w:rsid w:val="00771388"/>
    <w:rsid w:val="00771510"/>
    <w:rsid w:val="00771584"/>
    <w:rsid w:val="00771ECD"/>
    <w:rsid w:val="00771F4A"/>
    <w:rsid w:val="0077211A"/>
    <w:rsid w:val="00772C1A"/>
    <w:rsid w:val="00772DE6"/>
    <w:rsid w:val="00773C2F"/>
    <w:rsid w:val="00776E3A"/>
    <w:rsid w:val="00777134"/>
    <w:rsid w:val="00777725"/>
    <w:rsid w:val="00777B45"/>
    <w:rsid w:val="00781374"/>
    <w:rsid w:val="007819B0"/>
    <w:rsid w:val="00781AFF"/>
    <w:rsid w:val="00781B0F"/>
    <w:rsid w:val="00781C80"/>
    <w:rsid w:val="00783035"/>
    <w:rsid w:val="007836E3"/>
    <w:rsid w:val="0078408C"/>
    <w:rsid w:val="007844C0"/>
    <w:rsid w:val="007847D0"/>
    <w:rsid w:val="00785AB8"/>
    <w:rsid w:val="00785BE0"/>
    <w:rsid w:val="00785F0E"/>
    <w:rsid w:val="00786346"/>
    <w:rsid w:val="00786788"/>
    <w:rsid w:val="007867ED"/>
    <w:rsid w:val="00786866"/>
    <w:rsid w:val="007869E2"/>
    <w:rsid w:val="00786B1A"/>
    <w:rsid w:val="00786CC6"/>
    <w:rsid w:val="00786D4C"/>
    <w:rsid w:val="00786E1B"/>
    <w:rsid w:val="00787783"/>
    <w:rsid w:val="007900A0"/>
    <w:rsid w:val="00790F0E"/>
    <w:rsid w:val="00792370"/>
    <w:rsid w:val="00792907"/>
    <w:rsid w:val="007933A3"/>
    <w:rsid w:val="00793D7C"/>
    <w:rsid w:val="00795053"/>
    <w:rsid w:val="00795606"/>
    <w:rsid w:val="00795857"/>
    <w:rsid w:val="00795931"/>
    <w:rsid w:val="00796734"/>
    <w:rsid w:val="0079741C"/>
    <w:rsid w:val="00797980"/>
    <w:rsid w:val="00797DB6"/>
    <w:rsid w:val="007A008C"/>
    <w:rsid w:val="007A02FB"/>
    <w:rsid w:val="007A0483"/>
    <w:rsid w:val="007A0490"/>
    <w:rsid w:val="007A081E"/>
    <w:rsid w:val="007A14EF"/>
    <w:rsid w:val="007A17F8"/>
    <w:rsid w:val="007A1CCD"/>
    <w:rsid w:val="007A2E90"/>
    <w:rsid w:val="007A312B"/>
    <w:rsid w:val="007A3795"/>
    <w:rsid w:val="007A3979"/>
    <w:rsid w:val="007A488E"/>
    <w:rsid w:val="007A490F"/>
    <w:rsid w:val="007A4C3E"/>
    <w:rsid w:val="007A5DF1"/>
    <w:rsid w:val="007A6EA8"/>
    <w:rsid w:val="007B1723"/>
    <w:rsid w:val="007B1D57"/>
    <w:rsid w:val="007B2173"/>
    <w:rsid w:val="007B25C6"/>
    <w:rsid w:val="007B290B"/>
    <w:rsid w:val="007B2A40"/>
    <w:rsid w:val="007B3012"/>
    <w:rsid w:val="007B444F"/>
    <w:rsid w:val="007B4EA6"/>
    <w:rsid w:val="007B6A2F"/>
    <w:rsid w:val="007B6C4A"/>
    <w:rsid w:val="007B7334"/>
    <w:rsid w:val="007B742E"/>
    <w:rsid w:val="007C06B1"/>
    <w:rsid w:val="007C0A9B"/>
    <w:rsid w:val="007C0F51"/>
    <w:rsid w:val="007C10F4"/>
    <w:rsid w:val="007C1401"/>
    <w:rsid w:val="007C2431"/>
    <w:rsid w:val="007C250D"/>
    <w:rsid w:val="007C29B8"/>
    <w:rsid w:val="007C2F24"/>
    <w:rsid w:val="007C3D43"/>
    <w:rsid w:val="007C4C16"/>
    <w:rsid w:val="007C4D52"/>
    <w:rsid w:val="007C55E3"/>
    <w:rsid w:val="007C73B0"/>
    <w:rsid w:val="007C7489"/>
    <w:rsid w:val="007C7F4E"/>
    <w:rsid w:val="007D07C5"/>
    <w:rsid w:val="007D134B"/>
    <w:rsid w:val="007D15A5"/>
    <w:rsid w:val="007D1D81"/>
    <w:rsid w:val="007D2EF6"/>
    <w:rsid w:val="007D3065"/>
    <w:rsid w:val="007D389F"/>
    <w:rsid w:val="007D39C0"/>
    <w:rsid w:val="007D3D53"/>
    <w:rsid w:val="007D3DAC"/>
    <w:rsid w:val="007D45CC"/>
    <w:rsid w:val="007D4A43"/>
    <w:rsid w:val="007D4EA2"/>
    <w:rsid w:val="007D5578"/>
    <w:rsid w:val="007D55B7"/>
    <w:rsid w:val="007D610E"/>
    <w:rsid w:val="007D7366"/>
    <w:rsid w:val="007E05B2"/>
    <w:rsid w:val="007E1821"/>
    <w:rsid w:val="007E395C"/>
    <w:rsid w:val="007E3AFC"/>
    <w:rsid w:val="007E3DFD"/>
    <w:rsid w:val="007E3EC7"/>
    <w:rsid w:val="007E48CB"/>
    <w:rsid w:val="007E54A9"/>
    <w:rsid w:val="007E5531"/>
    <w:rsid w:val="007E561C"/>
    <w:rsid w:val="007E56A1"/>
    <w:rsid w:val="007E5CE0"/>
    <w:rsid w:val="007E656D"/>
    <w:rsid w:val="007E7103"/>
    <w:rsid w:val="007E7109"/>
    <w:rsid w:val="007E75BB"/>
    <w:rsid w:val="007E7837"/>
    <w:rsid w:val="007F0601"/>
    <w:rsid w:val="007F0ACA"/>
    <w:rsid w:val="007F102E"/>
    <w:rsid w:val="007F1A21"/>
    <w:rsid w:val="007F1ED8"/>
    <w:rsid w:val="007F2D2A"/>
    <w:rsid w:val="007F3335"/>
    <w:rsid w:val="007F5C8A"/>
    <w:rsid w:val="007F5EA8"/>
    <w:rsid w:val="007F5F08"/>
    <w:rsid w:val="007F6099"/>
    <w:rsid w:val="007F6EFD"/>
    <w:rsid w:val="00800D5D"/>
    <w:rsid w:val="00800F64"/>
    <w:rsid w:val="0080145C"/>
    <w:rsid w:val="00801719"/>
    <w:rsid w:val="00802237"/>
    <w:rsid w:val="00802C89"/>
    <w:rsid w:val="00804095"/>
    <w:rsid w:val="0080554B"/>
    <w:rsid w:val="00805AAE"/>
    <w:rsid w:val="00805E87"/>
    <w:rsid w:val="00805F40"/>
    <w:rsid w:val="008062F2"/>
    <w:rsid w:val="008063DF"/>
    <w:rsid w:val="00806B9A"/>
    <w:rsid w:val="00806F97"/>
    <w:rsid w:val="0080717F"/>
    <w:rsid w:val="00807A3A"/>
    <w:rsid w:val="00807E1B"/>
    <w:rsid w:val="008102A7"/>
    <w:rsid w:val="00810655"/>
    <w:rsid w:val="00811839"/>
    <w:rsid w:val="00812044"/>
    <w:rsid w:val="008120B0"/>
    <w:rsid w:val="00812B73"/>
    <w:rsid w:val="00814533"/>
    <w:rsid w:val="00814856"/>
    <w:rsid w:val="00814B75"/>
    <w:rsid w:val="00814D04"/>
    <w:rsid w:val="00814FA9"/>
    <w:rsid w:val="00815390"/>
    <w:rsid w:val="008160E8"/>
    <w:rsid w:val="00816DEF"/>
    <w:rsid w:val="00816E16"/>
    <w:rsid w:val="00817608"/>
    <w:rsid w:val="008179CB"/>
    <w:rsid w:val="00817E35"/>
    <w:rsid w:val="0082055B"/>
    <w:rsid w:val="00820EDD"/>
    <w:rsid w:val="0082187F"/>
    <w:rsid w:val="00821B1C"/>
    <w:rsid w:val="008220D0"/>
    <w:rsid w:val="00822276"/>
    <w:rsid w:val="00822F4B"/>
    <w:rsid w:val="00823401"/>
    <w:rsid w:val="00825D2C"/>
    <w:rsid w:val="00825D40"/>
    <w:rsid w:val="008272BC"/>
    <w:rsid w:val="00827DF1"/>
    <w:rsid w:val="008300F6"/>
    <w:rsid w:val="00830227"/>
    <w:rsid w:val="0083168F"/>
    <w:rsid w:val="00831AFE"/>
    <w:rsid w:val="00831D05"/>
    <w:rsid w:val="0083246C"/>
    <w:rsid w:val="008327CA"/>
    <w:rsid w:val="008330F7"/>
    <w:rsid w:val="00834062"/>
    <w:rsid w:val="00834526"/>
    <w:rsid w:val="00834CF5"/>
    <w:rsid w:val="00835846"/>
    <w:rsid w:val="008358C0"/>
    <w:rsid w:val="00836FF9"/>
    <w:rsid w:val="00837986"/>
    <w:rsid w:val="00837ECA"/>
    <w:rsid w:val="00840288"/>
    <w:rsid w:val="0084049E"/>
    <w:rsid w:val="0084197E"/>
    <w:rsid w:val="00842150"/>
    <w:rsid w:val="00842CF7"/>
    <w:rsid w:val="00842D30"/>
    <w:rsid w:val="00842E20"/>
    <w:rsid w:val="0084303F"/>
    <w:rsid w:val="008434C1"/>
    <w:rsid w:val="008439DA"/>
    <w:rsid w:val="00843B17"/>
    <w:rsid w:val="00844BD9"/>
    <w:rsid w:val="0084659E"/>
    <w:rsid w:val="00847E10"/>
    <w:rsid w:val="00850365"/>
    <w:rsid w:val="008509A7"/>
    <w:rsid w:val="0085183A"/>
    <w:rsid w:val="00851B4D"/>
    <w:rsid w:val="008525AD"/>
    <w:rsid w:val="00852848"/>
    <w:rsid w:val="00852C23"/>
    <w:rsid w:val="00852CD0"/>
    <w:rsid w:val="00852DEC"/>
    <w:rsid w:val="00854809"/>
    <w:rsid w:val="008549F6"/>
    <w:rsid w:val="008556DA"/>
    <w:rsid w:val="008568EE"/>
    <w:rsid w:val="0085765E"/>
    <w:rsid w:val="0086048F"/>
    <w:rsid w:val="00860CA1"/>
    <w:rsid w:val="00860CE0"/>
    <w:rsid w:val="00860F0D"/>
    <w:rsid w:val="00860F9E"/>
    <w:rsid w:val="008611D9"/>
    <w:rsid w:val="00861389"/>
    <w:rsid w:val="008617C0"/>
    <w:rsid w:val="00862362"/>
    <w:rsid w:val="00862F0C"/>
    <w:rsid w:val="00863262"/>
    <w:rsid w:val="00863DA7"/>
    <w:rsid w:val="00863DEB"/>
    <w:rsid w:val="008647BC"/>
    <w:rsid w:val="00864B07"/>
    <w:rsid w:val="00864DE9"/>
    <w:rsid w:val="00864FA0"/>
    <w:rsid w:val="00865383"/>
    <w:rsid w:val="00866B32"/>
    <w:rsid w:val="00867390"/>
    <w:rsid w:val="008706A2"/>
    <w:rsid w:val="008706D2"/>
    <w:rsid w:val="00870DD7"/>
    <w:rsid w:val="00871DDB"/>
    <w:rsid w:val="00872470"/>
    <w:rsid w:val="00872EC2"/>
    <w:rsid w:val="00872EEB"/>
    <w:rsid w:val="00873B42"/>
    <w:rsid w:val="00873EC2"/>
    <w:rsid w:val="00874AFE"/>
    <w:rsid w:val="008756D6"/>
    <w:rsid w:val="00875B34"/>
    <w:rsid w:val="00875BC1"/>
    <w:rsid w:val="00875D34"/>
    <w:rsid w:val="00875E48"/>
    <w:rsid w:val="00876B97"/>
    <w:rsid w:val="0088079E"/>
    <w:rsid w:val="00880AB6"/>
    <w:rsid w:val="008818F0"/>
    <w:rsid w:val="00881B75"/>
    <w:rsid w:val="00882052"/>
    <w:rsid w:val="0088239F"/>
    <w:rsid w:val="0088301E"/>
    <w:rsid w:val="008831A4"/>
    <w:rsid w:val="0088348B"/>
    <w:rsid w:val="008835F3"/>
    <w:rsid w:val="00883B40"/>
    <w:rsid w:val="008843E0"/>
    <w:rsid w:val="00884EDE"/>
    <w:rsid w:val="0088559C"/>
    <w:rsid w:val="00885A44"/>
    <w:rsid w:val="00886663"/>
    <w:rsid w:val="0088688C"/>
    <w:rsid w:val="00886A55"/>
    <w:rsid w:val="00886D29"/>
    <w:rsid w:val="0089049A"/>
    <w:rsid w:val="00891242"/>
    <w:rsid w:val="0089154E"/>
    <w:rsid w:val="00891E8A"/>
    <w:rsid w:val="00892493"/>
    <w:rsid w:val="00892DD6"/>
    <w:rsid w:val="00892EA9"/>
    <w:rsid w:val="0089340A"/>
    <w:rsid w:val="0089404E"/>
    <w:rsid w:val="00894CE6"/>
    <w:rsid w:val="00894EFE"/>
    <w:rsid w:val="00895092"/>
    <w:rsid w:val="00895E24"/>
    <w:rsid w:val="008963F6"/>
    <w:rsid w:val="00896ADD"/>
    <w:rsid w:val="00896D68"/>
    <w:rsid w:val="0089731E"/>
    <w:rsid w:val="00897616"/>
    <w:rsid w:val="00897948"/>
    <w:rsid w:val="00897ABF"/>
    <w:rsid w:val="00897D88"/>
    <w:rsid w:val="00897F6B"/>
    <w:rsid w:val="008A010D"/>
    <w:rsid w:val="008A0347"/>
    <w:rsid w:val="008A0420"/>
    <w:rsid w:val="008A099A"/>
    <w:rsid w:val="008A1014"/>
    <w:rsid w:val="008A12CB"/>
    <w:rsid w:val="008A141D"/>
    <w:rsid w:val="008A2431"/>
    <w:rsid w:val="008A34AD"/>
    <w:rsid w:val="008A35B0"/>
    <w:rsid w:val="008A3AA5"/>
    <w:rsid w:val="008A483A"/>
    <w:rsid w:val="008A5537"/>
    <w:rsid w:val="008A5596"/>
    <w:rsid w:val="008A58C7"/>
    <w:rsid w:val="008A59D7"/>
    <w:rsid w:val="008A5C8E"/>
    <w:rsid w:val="008A60AC"/>
    <w:rsid w:val="008A62C7"/>
    <w:rsid w:val="008A6443"/>
    <w:rsid w:val="008A732C"/>
    <w:rsid w:val="008B04B1"/>
    <w:rsid w:val="008B12A4"/>
    <w:rsid w:val="008B1739"/>
    <w:rsid w:val="008B1B29"/>
    <w:rsid w:val="008B1D3F"/>
    <w:rsid w:val="008B29F9"/>
    <w:rsid w:val="008B2BAC"/>
    <w:rsid w:val="008B3335"/>
    <w:rsid w:val="008B34EA"/>
    <w:rsid w:val="008B3636"/>
    <w:rsid w:val="008B3770"/>
    <w:rsid w:val="008B4066"/>
    <w:rsid w:val="008B426C"/>
    <w:rsid w:val="008B46AF"/>
    <w:rsid w:val="008B46CC"/>
    <w:rsid w:val="008B49FF"/>
    <w:rsid w:val="008B53DE"/>
    <w:rsid w:val="008B5D24"/>
    <w:rsid w:val="008B6A5A"/>
    <w:rsid w:val="008B6B76"/>
    <w:rsid w:val="008B74F3"/>
    <w:rsid w:val="008B75EA"/>
    <w:rsid w:val="008B7897"/>
    <w:rsid w:val="008C05DC"/>
    <w:rsid w:val="008C1907"/>
    <w:rsid w:val="008C19C6"/>
    <w:rsid w:val="008C1FB0"/>
    <w:rsid w:val="008C2037"/>
    <w:rsid w:val="008C24A6"/>
    <w:rsid w:val="008C280A"/>
    <w:rsid w:val="008C2A39"/>
    <w:rsid w:val="008C38FF"/>
    <w:rsid w:val="008C3C0A"/>
    <w:rsid w:val="008C410D"/>
    <w:rsid w:val="008C4BEF"/>
    <w:rsid w:val="008C5126"/>
    <w:rsid w:val="008C63BC"/>
    <w:rsid w:val="008C6517"/>
    <w:rsid w:val="008C6595"/>
    <w:rsid w:val="008C65A4"/>
    <w:rsid w:val="008C687D"/>
    <w:rsid w:val="008C6C2B"/>
    <w:rsid w:val="008C70A7"/>
    <w:rsid w:val="008C75A3"/>
    <w:rsid w:val="008D072F"/>
    <w:rsid w:val="008D23F4"/>
    <w:rsid w:val="008D241D"/>
    <w:rsid w:val="008D255A"/>
    <w:rsid w:val="008D28CB"/>
    <w:rsid w:val="008D3469"/>
    <w:rsid w:val="008D35E3"/>
    <w:rsid w:val="008D3871"/>
    <w:rsid w:val="008D3EAF"/>
    <w:rsid w:val="008D411B"/>
    <w:rsid w:val="008D5782"/>
    <w:rsid w:val="008D59DB"/>
    <w:rsid w:val="008D617A"/>
    <w:rsid w:val="008D645B"/>
    <w:rsid w:val="008D6E0A"/>
    <w:rsid w:val="008D71D5"/>
    <w:rsid w:val="008D7279"/>
    <w:rsid w:val="008E032B"/>
    <w:rsid w:val="008E0338"/>
    <w:rsid w:val="008E06FD"/>
    <w:rsid w:val="008E1A6E"/>
    <w:rsid w:val="008E1AFE"/>
    <w:rsid w:val="008E28B8"/>
    <w:rsid w:val="008E2A81"/>
    <w:rsid w:val="008E2FA9"/>
    <w:rsid w:val="008E3637"/>
    <w:rsid w:val="008E390B"/>
    <w:rsid w:val="008E3A3F"/>
    <w:rsid w:val="008E3F74"/>
    <w:rsid w:val="008E5803"/>
    <w:rsid w:val="008E6A9E"/>
    <w:rsid w:val="008E73A3"/>
    <w:rsid w:val="008E73C6"/>
    <w:rsid w:val="008F092E"/>
    <w:rsid w:val="008F09A4"/>
    <w:rsid w:val="008F0C81"/>
    <w:rsid w:val="008F0EE2"/>
    <w:rsid w:val="008F14D6"/>
    <w:rsid w:val="008F210F"/>
    <w:rsid w:val="008F2BF4"/>
    <w:rsid w:val="008F328A"/>
    <w:rsid w:val="008F3319"/>
    <w:rsid w:val="008F48F9"/>
    <w:rsid w:val="008F4ADE"/>
    <w:rsid w:val="008F5702"/>
    <w:rsid w:val="008F591D"/>
    <w:rsid w:val="008F5B65"/>
    <w:rsid w:val="008F78D6"/>
    <w:rsid w:val="0090068D"/>
    <w:rsid w:val="009008A4"/>
    <w:rsid w:val="00900B86"/>
    <w:rsid w:val="009032A1"/>
    <w:rsid w:val="00903762"/>
    <w:rsid w:val="00903C87"/>
    <w:rsid w:val="00903FBC"/>
    <w:rsid w:val="00904129"/>
    <w:rsid w:val="009042EA"/>
    <w:rsid w:val="00904B39"/>
    <w:rsid w:val="00905A2E"/>
    <w:rsid w:val="00905BF2"/>
    <w:rsid w:val="00906A6C"/>
    <w:rsid w:val="00906C4D"/>
    <w:rsid w:val="00906CF9"/>
    <w:rsid w:val="0090756D"/>
    <w:rsid w:val="00910894"/>
    <w:rsid w:val="009109B2"/>
    <w:rsid w:val="00911084"/>
    <w:rsid w:val="00911A79"/>
    <w:rsid w:val="00911FB3"/>
    <w:rsid w:val="00912671"/>
    <w:rsid w:val="00912EFF"/>
    <w:rsid w:val="00913285"/>
    <w:rsid w:val="00913C65"/>
    <w:rsid w:val="009145BE"/>
    <w:rsid w:val="00915242"/>
    <w:rsid w:val="00917C34"/>
    <w:rsid w:val="0092073D"/>
    <w:rsid w:val="009219D3"/>
    <w:rsid w:val="00921BAE"/>
    <w:rsid w:val="009226D1"/>
    <w:rsid w:val="009228D1"/>
    <w:rsid w:val="00923196"/>
    <w:rsid w:val="0092342F"/>
    <w:rsid w:val="00923933"/>
    <w:rsid w:val="00923B2D"/>
    <w:rsid w:val="00924354"/>
    <w:rsid w:val="009245E9"/>
    <w:rsid w:val="00924762"/>
    <w:rsid w:val="0092520F"/>
    <w:rsid w:val="00925375"/>
    <w:rsid w:val="009256B3"/>
    <w:rsid w:val="009263D5"/>
    <w:rsid w:val="00926810"/>
    <w:rsid w:val="00927300"/>
    <w:rsid w:val="00930207"/>
    <w:rsid w:val="00930530"/>
    <w:rsid w:val="00930B09"/>
    <w:rsid w:val="00931808"/>
    <w:rsid w:val="00931DC7"/>
    <w:rsid w:val="009321E1"/>
    <w:rsid w:val="009327BF"/>
    <w:rsid w:val="0093328A"/>
    <w:rsid w:val="009341AF"/>
    <w:rsid w:val="009341B3"/>
    <w:rsid w:val="0093424D"/>
    <w:rsid w:val="00935287"/>
    <w:rsid w:val="00935B02"/>
    <w:rsid w:val="00935F8B"/>
    <w:rsid w:val="00936789"/>
    <w:rsid w:val="009377BA"/>
    <w:rsid w:val="0093784A"/>
    <w:rsid w:val="00940585"/>
    <w:rsid w:val="00942DA1"/>
    <w:rsid w:val="0094323A"/>
    <w:rsid w:val="00943402"/>
    <w:rsid w:val="00943B15"/>
    <w:rsid w:val="009442DA"/>
    <w:rsid w:val="009444C5"/>
    <w:rsid w:val="00944E82"/>
    <w:rsid w:val="0094508D"/>
    <w:rsid w:val="00945B47"/>
    <w:rsid w:val="00945BD2"/>
    <w:rsid w:val="00945E2B"/>
    <w:rsid w:val="00946378"/>
    <w:rsid w:val="00946703"/>
    <w:rsid w:val="00947061"/>
    <w:rsid w:val="00947A4D"/>
    <w:rsid w:val="00947BDB"/>
    <w:rsid w:val="00947D68"/>
    <w:rsid w:val="00950558"/>
    <w:rsid w:val="00951DBD"/>
    <w:rsid w:val="00952447"/>
    <w:rsid w:val="00952AFF"/>
    <w:rsid w:val="00952C88"/>
    <w:rsid w:val="00953FB9"/>
    <w:rsid w:val="009543C3"/>
    <w:rsid w:val="00954434"/>
    <w:rsid w:val="0095463D"/>
    <w:rsid w:val="00954F43"/>
    <w:rsid w:val="009557D1"/>
    <w:rsid w:val="00956815"/>
    <w:rsid w:val="00956C27"/>
    <w:rsid w:val="00960DF3"/>
    <w:rsid w:val="0096149E"/>
    <w:rsid w:val="00962660"/>
    <w:rsid w:val="00962BA9"/>
    <w:rsid w:val="00962C92"/>
    <w:rsid w:val="00962F8C"/>
    <w:rsid w:val="00964837"/>
    <w:rsid w:val="00965211"/>
    <w:rsid w:val="0096597C"/>
    <w:rsid w:val="00966BB0"/>
    <w:rsid w:val="009709B4"/>
    <w:rsid w:val="00970F64"/>
    <w:rsid w:val="009710ED"/>
    <w:rsid w:val="009718A7"/>
    <w:rsid w:val="00972152"/>
    <w:rsid w:val="00972933"/>
    <w:rsid w:val="009729F1"/>
    <w:rsid w:val="00973499"/>
    <w:rsid w:val="00973B95"/>
    <w:rsid w:val="00974E34"/>
    <w:rsid w:val="00975120"/>
    <w:rsid w:val="00975329"/>
    <w:rsid w:val="00975403"/>
    <w:rsid w:val="00975CE6"/>
    <w:rsid w:val="0097610B"/>
    <w:rsid w:val="009763E4"/>
    <w:rsid w:val="009769F2"/>
    <w:rsid w:val="00976F79"/>
    <w:rsid w:val="00977251"/>
    <w:rsid w:val="009774DA"/>
    <w:rsid w:val="00977839"/>
    <w:rsid w:val="00977949"/>
    <w:rsid w:val="0097798B"/>
    <w:rsid w:val="00977997"/>
    <w:rsid w:val="0097799F"/>
    <w:rsid w:val="00977F74"/>
    <w:rsid w:val="00980719"/>
    <w:rsid w:val="0098122D"/>
    <w:rsid w:val="009825A3"/>
    <w:rsid w:val="00982B16"/>
    <w:rsid w:val="009832FD"/>
    <w:rsid w:val="00984BA1"/>
    <w:rsid w:val="009856F6"/>
    <w:rsid w:val="0098606F"/>
    <w:rsid w:val="00986489"/>
    <w:rsid w:val="009866EF"/>
    <w:rsid w:val="00986EDA"/>
    <w:rsid w:val="009875B2"/>
    <w:rsid w:val="00987D49"/>
    <w:rsid w:val="00990C0D"/>
    <w:rsid w:val="00991337"/>
    <w:rsid w:val="00994901"/>
    <w:rsid w:val="00994C3B"/>
    <w:rsid w:val="00994E8F"/>
    <w:rsid w:val="009958F5"/>
    <w:rsid w:val="009969C2"/>
    <w:rsid w:val="009A03FD"/>
    <w:rsid w:val="009A0450"/>
    <w:rsid w:val="009A0659"/>
    <w:rsid w:val="009A11D1"/>
    <w:rsid w:val="009A15A1"/>
    <w:rsid w:val="009A1A74"/>
    <w:rsid w:val="009A244D"/>
    <w:rsid w:val="009A2892"/>
    <w:rsid w:val="009A317A"/>
    <w:rsid w:val="009A3239"/>
    <w:rsid w:val="009A3572"/>
    <w:rsid w:val="009A361F"/>
    <w:rsid w:val="009A3EC8"/>
    <w:rsid w:val="009A4F3A"/>
    <w:rsid w:val="009A69A6"/>
    <w:rsid w:val="009A6D71"/>
    <w:rsid w:val="009A6F46"/>
    <w:rsid w:val="009B022B"/>
    <w:rsid w:val="009B062E"/>
    <w:rsid w:val="009B06BE"/>
    <w:rsid w:val="009B076C"/>
    <w:rsid w:val="009B08FF"/>
    <w:rsid w:val="009B1C8E"/>
    <w:rsid w:val="009B1CDA"/>
    <w:rsid w:val="009B1EF8"/>
    <w:rsid w:val="009B289A"/>
    <w:rsid w:val="009B2AA0"/>
    <w:rsid w:val="009B2ABA"/>
    <w:rsid w:val="009B3612"/>
    <w:rsid w:val="009B37C7"/>
    <w:rsid w:val="009B389F"/>
    <w:rsid w:val="009B40C3"/>
    <w:rsid w:val="009B4B7A"/>
    <w:rsid w:val="009B57BA"/>
    <w:rsid w:val="009B5E82"/>
    <w:rsid w:val="009B5EEC"/>
    <w:rsid w:val="009B7486"/>
    <w:rsid w:val="009C019B"/>
    <w:rsid w:val="009C0E13"/>
    <w:rsid w:val="009C16ED"/>
    <w:rsid w:val="009C1966"/>
    <w:rsid w:val="009C391A"/>
    <w:rsid w:val="009C41EB"/>
    <w:rsid w:val="009C544F"/>
    <w:rsid w:val="009C5C02"/>
    <w:rsid w:val="009C6502"/>
    <w:rsid w:val="009C7710"/>
    <w:rsid w:val="009C79DD"/>
    <w:rsid w:val="009D0364"/>
    <w:rsid w:val="009D04A9"/>
    <w:rsid w:val="009D1C36"/>
    <w:rsid w:val="009D1DBD"/>
    <w:rsid w:val="009D2B59"/>
    <w:rsid w:val="009D43E7"/>
    <w:rsid w:val="009D4E71"/>
    <w:rsid w:val="009D51D7"/>
    <w:rsid w:val="009D5F03"/>
    <w:rsid w:val="009D69CE"/>
    <w:rsid w:val="009D6CDD"/>
    <w:rsid w:val="009D7DD4"/>
    <w:rsid w:val="009E173C"/>
    <w:rsid w:val="009E274E"/>
    <w:rsid w:val="009E2895"/>
    <w:rsid w:val="009E2969"/>
    <w:rsid w:val="009E3A5A"/>
    <w:rsid w:val="009E44E2"/>
    <w:rsid w:val="009E4C99"/>
    <w:rsid w:val="009E4D41"/>
    <w:rsid w:val="009E4F44"/>
    <w:rsid w:val="009E5AD8"/>
    <w:rsid w:val="009E608A"/>
    <w:rsid w:val="009E7361"/>
    <w:rsid w:val="009E77D7"/>
    <w:rsid w:val="009E77E7"/>
    <w:rsid w:val="009F027C"/>
    <w:rsid w:val="009F098A"/>
    <w:rsid w:val="009F111F"/>
    <w:rsid w:val="009F14B3"/>
    <w:rsid w:val="009F16B9"/>
    <w:rsid w:val="009F174B"/>
    <w:rsid w:val="009F2BA1"/>
    <w:rsid w:val="009F3FAF"/>
    <w:rsid w:val="009F4077"/>
    <w:rsid w:val="009F4F63"/>
    <w:rsid w:val="009F5279"/>
    <w:rsid w:val="009F5A9F"/>
    <w:rsid w:val="009F5C49"/>
    <w:rsid w:val="009F5E3D"/>
    <w:rsid w:val="009F6574"/>
    <w:rsid w:val="009F6D77"/>
    <w:rsid w:val="009F6FAF"/>
    <w:rsid w:val="009F77C7"/>
    <w:rsid w:val="009F78FD"/>
    <w:rsid w:val="00A006B1"/>
    <w:rsid w:val="00A00749"/>
    <w:rsid w:val="00A018BF"/>
    <w:rsid w:val="00A02888"/>
    <w:rsid w:val="00A052D2"/>
    <w:rsid w:val="00A06628"/>
    <w:rsid w:val="00A06B65"/>
    <w:rsid w:val="00A06C4D"/>
    <w:rsid w:val="00A06E18"/>
    <w:rsid w:val="00A06E96"/>
    <w:rsid w:val="00A10033"/>
    <w:rsid w:val="00A105A4"/>
    <w:rsid w:val="00A108B9"/>
    <w:rsid w:val="00A10B1C"/>
    <w:rsid w:val="00A1154A"/>
    <w:rsid w:val="00A116BC"/>
    <w:rsid w:val="00A11B03"/>
    <w:rsid w:val="00A11CCF"/>
    <w:rsid w:val="00A12303"/>
    <w:rsid w:val="00A124CC"/>
    <w:rsid w:val="00A127ED"/>
    <w:rsid w:val="00A12EEC"/>
    <w:rsid w:val="00A139A3"/>
    <w:rsid w:val="00A13C59"/>
    <w:rsid w:val="00A13D73"/>
    <w:rsid w:val="00A14F50"/>
    <w:rsid w:val="00A156FC"/>
    <w:rsid w:val="00A15ADC"/>
    <w:rsid w:val="00A16AC5"/>
    <w:rsid w:val="00A17038"/>
    <w:rsid w:val="00A17257"/>
    <w:rsid w:val="00A17DF6"/>
    <w:rsid w:val="00A200AA"/>
    <w:rsid w:val="00A2192E"/>
    <w:rsid w:val="00A21A60"/>
    <w:rsid w:val="00A21BC1"/>
    <w:rsid w:val="00A222B7"/>
    <w:rsid w:val="00A227C9"/>
    <w:rsid w:val="00A2357E"/>
    <w:rsid w:val="00A23B62"/>
    <w:rsid w:val="00A2455A"/>
    <w:rsid w:val="00A2593E"/>
    <w:rsid w:val="00A25DC5"/>
    <w:rsid w:val="00A26275"/>
    <w:rsid w:val="00A30D3A"/>
    <w:rsid w:val="00A31016"/>
    <w:rsid w:val="00A31C49"/>
    <w:rsid w:val="00A3200D"/>
    <w:rsid w:val="00A345F9"/>
    <w:rsid w:val="00A346AC"/>
    <w:rsid w:val="00A347A1"/>
    <w:rsid w:val="00A3489E"/>
    <w:rsid w:val="00A349A1"/>
    <w:rsid w:val="00A34D02"/>
    <w:rsid w:val="00A3600A"/>
    <w:rsid w:val="00A36C51"/>
    <w:rsid w:val="00A3797F"/>
    <w:rsid w:val="00A37F01"/>
    <w:rsid w:val="00A405C8"/>
    <w:rsid w:val="00A4092B"/>
    <w:rsid w:val="00A40B93"/>
    <w:rsid w:val="00A40BA1"/>
    <w:rsid w:val="00A40BA2"/>
    <w:rsid w:val="00A42BD8"/>
    <w:rsid w:val="00A42F9C"/>
    <w:rsid w:val="00A430DD"/>
    <w:rsid w:val="00A4324C"/>
    <w:rsid w:val="00A438DA"/>
    <w:rsid w:val="00A43E7A"/>
    <w:rsid w:val="00A43F95"/>
    <w:rsid w:val="00A444C6"/>
    <w:rsid w:val="00A44661"/>
    <w:rsid w:val="00A44848"/>
    <w:rsid w:val="00A46BAC"/>
    <w:rsid w:val="00A47627"/>
    <w:rsid w:val="00A528DC"/>
    <w:rsid w:val="00A532DA"/>
    <w:rsid w:val="00A537D1"/>
    <w:rsid w:val="00A544C8"/>
    <w:rsid w:val="00A54C54"/>
    <w:rsid w:val="00A55FC9"/>
    <w:rsid w:val="00A561FC"/>
    <w:rsid w:val="00A578A5"/>
    <w:rsid w:val="00A60031"/>
    <w:rsid w:val="00A60394"/>
    <w:rsid w:val="00A604A4"/>
    <w:rsid w:val="00A612D3"/>
    <w:rsid w:val="00A613BD"/>
    <w:rsid w:val="00A617A8"/>
    <w:rsid w:val="00A61AC5"/>
    <w:rsid w:val="00A61D77"/>
    <w:rsid w:val="00A61F19"/>
    <w:rsid w:val="00A627AE"/>
    <w:rsid w:val="00A6286E"/>
    <w:rsid w:val="00A628D7"/>
    <w:rsid w:val="00A62D63"/>
    <w:rsid w:val="00A62DAB"/>
    <w:rsid w:val="00A62F3A"/>
    <w:rsid w:val="00A63272"/>
    <w:rsid w:val="00A632FD"/>
    <w:rsid w:val="00A63C79"/>
    <w:rsid w:val="00A64147"/>
    <w:rsid w:val="00A64F6B"/>
    <w:rsid w:val="00A65842"/>
    <w:rsid w:val="00A65E0F"/>
    <w:rsid w:val="00A66412"/>
    <w:rsid w:val="00A672A6"/>
    <w:rsid w:val="00A67E57"/>
    <w:rsid w:val="00A71454"/>
    <w:rsid w:val="00A73B77"/>
    <w:rsid w:val="00A73FB2"/>
    <w:rsid w:val="00A74934"/>
    <w:rsid w:val="00A7572F"/>
    <w:rsid w:val="00A75CEE"/>
    <w:rsid w:val="00A7633C"/>
    <w:rsid w:val="00A76EBD"/>
    <w:rsid w:val="00A770E7"/>
    <w:rsid w:val="00A773E4"/>
    <w:rsid w:val="00A77847"/>
    <w:rsid w:val="00A806FD"/>
    <w:rsid w:val="00A80708"/>
    <w:rsid w:val="00A810A4"/>
    <w:rsid w:val="00A81291"/>
    <w:rsid w:val="00A82665"/>
    <w:rsid w:val="00A839E4"/>
    <w:rsid w:val="00A83CAF"/>
    <w:rsid w:val="00A842D8"/>
    <w:rsid w:val="00A8498C"/>
    <w:rsid w:val="00A856B9"/>
    <w:rsid w:val="00A859B1"/>
    <w:rsid w:val="00A86319"/>
    <w:rsid w:val="00A90488"/>
    <w:rsid w:val="00A906DF"/>
    <w:rsid w:val="00A90FB9"/>
    <w:rsid w:val="00A91215"/>
    <w:rsid w:val="00A913D8"/>
    <w:rsid w:val="00A92054"/>
    <w:rsid w:val="00A92E86"/>
    <w:rsid w:val="00A94284"/>
    <w:rsid w:val="00A9608C"/>
    <w:rsid w:val="00A9637A"/>
    <w:rsid w:val="00A96813"/>
    <w:rsid w:val="00A974AC"/>
    <w:rsid w:val="00A97EA3"/>
    <w:rsid w:val="00AA0702"/>
    <w:rsid w:val="00AA0FE3"/>
    <w:rsid w:val="00AA26FD"/>
    <w:rsid w:val="00AA288B"/>
    <w:rsid w:val="00AA3100"/>
    <w:rsid w:val="00AA32AD"/>
    <w:rsid w:val="00AA359F"/>
    <w:rsid w:val="00AA372D"/>
    <w:rsid w:val="00AA3F77"/>
    <w:rsid w:val="00AA4564"/>
    <w:rsid w:val="00AA45CA"/>
    <w:rsid w:val="00AA4CE5"/>
    <w:rsid w:val="00AA4FC3"/>
    <w:rsid w:val="00AA56C4"/>
    <w:rsid w:val="00AA589D"/>
    <w:rsid w:val="00AA6DF5"/>
    <w:rsid w:val="00AA6E15"/>
    <w:rsid w:val="00AA710F"/>
    <w:rsid w:val="00AA74F4"/>
    <w:rsid w:val="00AA7B8C"/>
    <w:rsid w:val="00AA7E7B"/>
    <w:rsid w:val="00AB0252"/>
    <w:rsid w:val="00AB0896"/>
    <w:rsid w:val="00AB0FF5"/>
    <w:rsid w:val="00AB182B"/>
    <w:rsid w:val="00AB1E1B"/>
    <w:rsid w:val="00AB20B3"/>
    <w:rsid w:val="00AB24E2"/>
    <w:rsid w:val="00AB2CA5"/>
    <w:rsid w:val="00AB38AB"/>
    <w:rsid w:val="00AB391E"/>
    <w:rsid w:val="00AB3A35"/>
    <w:rsid w:val="00AB3B7A"/>
    <w:rsid w:val="00AB3C46"/>
    <w:rsid w:val="00AB4E1E"/>
    <w:rsid w:val="00AB4F9C"/>
    <w:rsid w:val="00AB5C03"/>
    <w:rsid w:val="00AB638D"/>
    <w:rsid w:val="00AB70FF"/>
    <w:rsid w:val="00AB73CB"/>
    <w:rsid w:val="00AC001D"/>
    <w:rsid w:val="00AC0170"/>
    <w:rsid w:val="00AC0254"/>
    <w:rsid w:val="00AC0A6B"/>
    <w:rsid w:val="00AC2154"/>
    <w:rsid w:val="00AC2366"/>
    <w:rsid w:val="00AC29D1"/>
    <w:rsid w:val="00AC3CCA"/>
    <w:rsid w:val="00AC417F"/>
    <w:rsid w:val="00AC46F6"/>
    <w:rsid w:val="00AC4942"/>
    <w:rsid w:val="00AC5296"/>
    <w:rsid w:val="00AC5551"/>
    <w:rsid w:val="00AC5AC2"/>
    <w:rsid w:val="00AC6311"/>
    <w:rsid w:val="00AC74D0"/>
    <w:rsid w:val="00AC7B49"/>
    <w:rsid w:val="00AD051E"/>
    <w:rsid w:val="00AD0B85"/>
    <w:rsid w:val="00AD162B"/>
    <w:rsid w:val="00AD17A7"/>
    <w:rsid w:val="00AD1CA6"/>
    <w:rsid w:val="00AD25F5"/>
    <w:rsid w:val="00AD2C49"/>
    <w:rsid w:val="00AD2DC2"/>
    <w:rsid w:val="00AD3068"/>
    <w:rsid w:val="00AD5C84"/>
    <w:rsid w:val="00AD620C"/>
    <w:rsid w:val="00AD68AB"/>
    <w:rsid w:val="00AD693B"/>
    <w:rsid w:val="00AD6A1C"/>
    <w:rsid w:val="00AD7B32"/>
    <w:rsid w:val="00AD7E93"/>
    <w:rsid w:val="00AE036C"/>
    <w:rsid w:val="00AE0537"/>
    <w:rsid w:val="00AE1414"/>
    <w:rsid w:val="00AE2255"/>
    <w:rsid w:val="00AE2B84"/>
    <w:rsid w:val="00AE3C60"/>
    <w:rsid w:val="00AE3D28"/>
    <w:rsid w:val="00AE3DE5"/>
    <w:rsid w:val="00AE789A"/>
    <w:rsid w:val="00AE7992"/>
    <w:rsid w:val="00AF07B5"/>
    <w:rsid w:val="00AF080D"/>
    <w:rsid w:val="00AF0D55"/>
    <w:rsid w:val="00AF0DBF"/>
    <w:rsid w:val="00AF195E"/>
    <w:rsid w:val="00AF1E01"/>
    <w:rsid w:val="00AF1F74"/>
    <w:rsid w:val="00AF23B2"/>
    <w:rsid w:val="00AF2C41"/>
    <w:rsid w:val="00AF332A"/>
    <w:rsid w:val="00AF43F8"/>
    <w:rsid w:val="00AF4C60"/>
    <w:rsid w:val="00AF4F97"/>
    <w:rsid w:val="00AF5CD0"/>
    <w:rsid w:val="00AF5CE9"/>
    <w:rsid w:val="00AF61E6"/>
    <w:rsid w:val="00AF6E16"/>
    <w:rsid w:val="00AF75A3"/>
    <w:rsid w:val="00B0090D"/>
    <w:rsid w:val="00B00BA3"/>
    <w:rsid w:val="00B013F2"/>
    <w:rsid w:val="00B01410"/>
    <w:rsid w:val="00B017E7"/>
    <w:rsid w:val="00B02A0B"/>
    <w:rsid w:val="00B036FC"/>
    <w:rsid w:val="00B037B2"/>
    <w:rsid w:val="00B043E3"/>
    <w:rsid w:val="00B058EC"/>
    <w:rsid w:val="00B05C5D"/>
    <w:rsid w:val="00B069FB"/>
    <w:rsid w:val="00B06CAB"/>
    <w:rsid w:val="00B07533"/>
    <w:rsid w:val="00B10829"/>
    <w:rsid w:val="00B10F80"/>
    <w:rsid w:val="00B119F8"/>
    <w:rsid w:val="00B149FE"/>
    <w:rsid w:val="00B14DB0"/>
    <w:rsid w:val="00B1527D"/>
    <w:rsid w:val="00B15A9F"/>
    <w:rsid w:val="00B15FBC"/>
    <w:rsid w:val="00B16C31"/>
    <w:rsid w:val="00B16D5F"/>
    <w:rsid w:val="00B172E3"/>
    <w:rsid w:val="00B1734F"/>
    <w:rsid w:val="00B1754C"/>
    <w:rsid w:val="00B1754F"/>
    <w:rsid w:val="00B205A5"/>
    <w:rsid w:val="00B21547"/>
    <w:rsid w:val="00B2158A"/>
    <w:rsid w:val="00B21CFA"/>
    <w:rsid w:val="00B21DEC"/>
    <w:rsid w:val="00B21FE8"/>
    <w:rsid w:val="00B233D2"/>
    <w:rsid w:val="00B23A23"/>
    <w:rsid w:val="00B249E5"/>
    <w:rsid w:val="00B26FE8"/>
    <w:rsid w:val="00B27255"/>
    <w:rsid w:val="00B30207"/>
    <w:rsid w:val="00B303DD"/>
    <w:rsid w:val="00B308B9"/>
    <w:rsid w:val="00B309A3"/>
    <w:rsid w:val="00B335FC"/>
    <w:rsid w:val="00B3394D"/>
    <w:rsid w:val="00B339E4"/>
    <w:rsid w:val="00B373FB"/>
    <w:rsid w:val="00B376CF"/>
    <w:rsid w:val="00B41184"/>
    <w:rsid w:val="00B41B26"/>
    <w:rsid w:val="00B42327"/>
    <w:rsid w:val="00B42FD0"/>
    <w:rsid w:val="00B43295"/>
    <w:rsid w:val="00B43415"/>
    <w:rsid w:val="00B436F5"/>
    <w:rsid w:val="00B4372D"/>
    <w:rsid w:val="00B43852"/>
    <w:rsid w:val="00B447A1"/>
    <w:rsid w:val="00B44FEA"/>
    <w:rsid w:val="00B45F5B"/>
    <w:rsid w:val="00B46A7F"/>
    <w:rsid w:val="00B46F34"/>
    <w:rsid w:val="00B470D3"/>
    <w:rsid w:val="00B50718"/>
    <w:rsid w:val="00B518F0"/>
    <w:rsid w:val="00B52B9E"/>
    <w:rsid w:val="00B53724"/>
    <w:rsid w:val="00B539D7"/>
    <w:rsid w:val="00B5731D"/>
    <w:rsid w:val="00B600C8"/>
    <w:rsid w:val="00B60EF5"/>
    <w:rsid w:val="00B6161E"/>
    <w:rsid w:val="00B6173A"/>
    <w:rsid w:val="00B61912"/>
    <w:rsid w:val="00B61BDE"/>
    <w:rsid w:val="00B61C1E"/>
    <w:rsid w:val="00B61FC5"/>
    <w:rsid w:val="00B62886"/>
    <w:rsid w:val="00B62D4D"/>
    <w:rsid w:val="00B63AF9"/>
    <w:rsid w:val="00B63FFD"/>
    <w:rsid w:val="00B6468E"/>
    <w:rsid w:val="00B65B2F"/>
    <w:rsid w:val="00B65D39"/>
    <w:rsid w:val="00B65EE8"/>
    <w:rsid w:val="00B65EEC"/>
    <w:rsid w:val="00B662B4"/>
    <w:rsid w:val="00B6643B"/>
    <w:rsid w:val="00B666E1"/>
    <w:rsid w:val="00B67741"/>
    <w:rsid w:val="00B70FA9"/>
    <w:rsid w:val="00B7146A"/>
    <w:rsid w:val="00B717AD"/>
    <w:rsid w:val="00B72518"/>
    <w:rsid w:val="00B73168"/>
    <w:rsid w:val="00B7384A"/>
    <w:rsid w:val="00B7398E"/>
    <w:rsid w:val="00B73D94"/>
    <w:rsid w:val="00B74E07"/>
    <w:rsid w:val="00B7534F"/>
    <w:rsid w:val="00B7539B"/>
    <w:rsid w:val="00B75A96"/>
    <w:rsid w:val="00B76080"/>
    <w:rsid w:val="00B764A8"/>
    <w:rsid w:val="00B76DDA"/>
    <w:rsid w:val="00B76E7D"/>
    <w:rsid w:val="00B819A5"/>
    <w:rsid w:val="00B82643"/>
    <w:rsid w:val="00B833D2"/>
    <w:rsid w:val="00B846A2"/>
    <w:rsid w:val="00B8486C"/>
    <w:rsid w:val="00B852ED"/>
    <w:rsid w:val="00B857C3"/>
    <w:rsid w:val="00B866AC"/>
    <w:rsid w:val="00B867A3"/>
    <w:rsid w:val="00B86D51"/>
    <w:rsid w:val="00B875B2"/>
    <w:rsid w:val="00B901A4"/>
    <w:rsid w:val="00B90D74"/>
    <w:rsid w:val="00B90EE8"/>
    <w:rsid w:val="00B90F80"/>
    <w:rsid w:val="00B91103"/>
    <w:rsid w:val="00B91C0D"/>
    <w:rsid w:val="00B9211D"/>
    <w:rsid w:val="00B9289A"/>
    <w:rsid w:val="00B92EF3"/>
    <w:rsid w:val="00B93629"/>
    <w:rsid w:val="00B937A9"/>
    <w:rsid w:val="00B94287"/>
    <w:rsid w:val="00B948D4"/>
    <w:rsid w:val="00B94960"/>
    <w:rsid w:val="00B94B84"/>
    <w:rsid w:val="00B94DE9"/>
    <w:rsid w:val="00B950AD"/>
    <w:rsid w:val="00B9581F"/>
    <w:rsid w:val="00B95F99"/>
    <w:rsid w:val="00B966E4"/>
    <w:rsid w:val="00B96C3F"/>
    <w:rsid w:val="00B97D34"/>
    <w:rsid w:val="00BA0DF5"/>
    <w:rsid w:val="00BA1153"/>
    <w:rsid w:val="00BA193D"/>
    <w:rsid w:val="00BA1D06"/>
    <w:rsid w:val="00BA2E3C"/>
    <w:rsid w:val="00BA44E1"/>
    <w:rsid w:val="00BA45B6"/>
    <w:rsid w:val="00BA5170"/>
    <w:rsid w:val="00BA5E08"/>
    <w:rsid w:val="00BA5F75"/>
    <w:rsid w:val="00BA6994"/>
    <w:rsid w:val="00BA6B99"/>
    <w:rsid w:val="00BA7392"/>
    <w:rsid w:val="00BB0269"/>
    <w:rsid w:val="00BB03E2"/>
    <w:rsid w:val="00BB03F6"/>
    <w:rsid w:val="00BB105A"/>
    <w:rsid w:val="00BB24BF"/>
    <w:rsid w:val="00BB3230"/>
    <w:rsid w:val="00BB3654"/>
    <w:rsid w:val="00BB3BDF"/>
    <w:rsid w:val="00BB4336"/>
    <w:rsid w:val="00BB4671"/>
    <w:rsid w:val="00BB4926"/>
    <w:rsid w:val="00BB562F"/>
    <w:rsid w:val="00BB5EEB"/>
    <w:rsid w:val="00BB77F3"/>
    <w:rsid w:val="00BC078C"/>
    <w:rsid w:val="00BC0B9F"/>
    <w:rsid w:val="00BC0BBD"/>
    <w:rsid w:val="00BC1C87"/>
    <w:rsid w:val="00BC2821"/>
    <w:rsid w:val="00BC2B7E"/>
    <w:rsid w:val="00BC3DEC"/>
    <w:rsid w:val="00BC4494"/>
    <w:rsid w:val="00BC67BF"/>
    <w:rsid w:val="00BC6C04"/>
    <w:rsid w:val="00BC74D3"/>
    <w:rsid w:val="00BC794B"/>
    <w:rsid w:val="00BC7EB2"/>
    <w:rsid w:val="00BD07C1"/>
    <w:rsid w:val="00BD1043"/>
    <w:rsid w:val="00BD1497"/>
    <w:rsid w:val="00BD15BC"/>
    <w:rsid w:val="00BD1761"/>
    <w:rsid w:val="00BD214C"/>
    <w:rsid w:val="00BD3412"/>
    <w:rsid w:val="00BD3620"/>
    <w:rsid w:val="00BD3774"/>
    <w:rsid w:val="00BD4280"/>
    <w:rsid w:val="00BD46D4"/>
    <w:rsid w:val="00BD4F74"/>
    <w:rsid w:val="00BD511D"/>
    <w:rsid w:val="00BD52E8"/>
    <w:rsid w:val="00BD5795"/>
    <w:rsid w:val="00BD5E2C"/>
    <w:rsid w:val="00BD688B"/>
    <w:rsid w:val="00BD6CE5"/>
    <w:rsid w:val="00BD73D2"/>
    <w:rsid w:val="00BD79ED"/>
    <w:rsid w:val="00BD7B88"/>
    <w:rsid w:val="00BD7C4A"/>
    <w:rsid w:val="00BE004D"/>
    <w:rsid w:val="00BE1147"/>
    <w:rsid w:val="00BE1756"/>
    <w:rsid w:val="00BE1C45"/>
    <w:rsid w:val="00BE1CBD"/>
    <w:rsid w:val="00BE1F83"/>
    <w:rsid w:val="00BE270B"/>
    <w:rsid w:val="00BE341A"/>
    <w:rsid w:val="00BE360E"/>
    <w:rsid w:val="00BE4D1B"/>
    <w:rsid w:val="00BE5789"/>
    <w:rsid w:val="00BE5961"/>
    <w:rsid w:val="00BE6898"/>
    <w:rsid w:val="00BE7231"/>
    <w:rsid w:val="00BE75DC"/>
    <w:rsid w:val="00BE7772"/>
    <w:rsid w:val="00BE7A13"/>
    <w:rsid w:val="00BF0C54"/>
    <w:rsid w:val="00BF1136"/>
    <w:rsid w:val="00BF1CB7"/>
    <w:rsid w:val="00BF2351"/>
    <w:rsid w:val="00BF3243"/>
    <w:rsid w:val="00BF32C3"/>
    <w:rsid w:val="00BF33C9"/>
    <w:rsid w:val="00BF3D2F"/>
    <w:rsid w:val="00BF3F7F"/>
    <w:rsid w:val="00BF440B"/>
    <w:rsid w:val="00BF46C2"/>
    <w:rsid w:val="00BF4864"/>
    <w:rsid w:val="00BF49B8"/>
    <w:rsid w:val="00BF4A35"/>
    <w:rsid w:val="00BF4AAA"/>
    <w:rsid w:val="00BF4CEF"/>
    <w:rsid w:val="00BF55E6"/>
    <w:rsid w:val="00BF6C2C"/>
    <w:rsid w:val="00BF711E"/>
    <w:rsid w:val="00BF72CB"/>
    <w:rsid w:val="00BF761C"/>
    <w:rsid w:val="00BF775B"/>
    <w:rsid w:val="00C000F7"/>
    <w:rsid w:val="00C00D6B"/>
    <w:rsid w:val="00C01854"/>
    <w:rsid w:val="00C01FF6"/>
    <w:rsid w:val="00C02299"/>
    <w:rsid w:val="00C023E7"/>
    <w:rsid w:val="00C025F9"/>
    <w:rsid w:val="00C028E9"/>
    <w:rsid w:val="00C02B60"/>
    <w:rsid w:val="00C0326E"/>
    <w:rsid w:val="00C04998"/>
    <w:rsid w:val="00C050EE"/>
    <w:rsid w:val="00C06526"/>
    <w:rsid w:val="00C06605"/>
    <w:rsid w:val="00C06F7D"/>
    <w:rsid w:val="00C072E5"/>
    <w:rsid w:val="00C07345"/>
    <w:rsid w:val="00C076A4"/>
    <w:rsid w:val="00C10319"/>
    <w:rsid w:val="00C107C8"/>
    <w:rsid w:val="00C11887"/>
    <w:rsid w:val="00C11CDF"/>
    <w:rsid w:val="00C1234E"/>
    <w:rsid w:val="00C12906"/>
    <w:rsid w:val="00C129DF"/>
    <w:rsid w:val="00C14776"/>
    <w:rsid w:val="00C15E9B"/>
    <w:rsid w:val="00C167A3"/>
    <w:rsid w:val="00C16E96"/>
    <w:rsid w:val="00C173B6"/>
    <w:rsid w:val="00C17A62"/>
    <w:rsid w:val="00C17B2D"/>
    <w:rsid w:val="00C200A1"/>
    <w:rsid w:val="00C20293"/>
    <w:rsid w:val="00C205BE"/>
    <w:rsid w:val="00C20610"/>
    <w:rsid w:val="00C20FB1"/>
    <w:rsid w:val="00C215CE"/>
    <w:rsid w:val="00C21F87"/>
    <w:rsid w:val="00C22751"/>
    <w:rsid w:val="00C23350"/>
    <w:rsid w:val="00C23696"/>
    <w:rsid w:val="00C238A0"/>
    <w:rsid w:val="00C245E0"/>
    <w:rsid w:val="00C247DE"/>
    <w:rsid w:val="00C24E08"/>
    <w:rsid w:val="00C2696D"/>
    <w:rsid w:val="00C26C90"/>
    <w:rsid w:val="00C26DF1"/>
    <w:rsid w:val="00C2731E"/>
    <w:rsid w:val="00C2746F"/>
    <w:rsid w:val="00C274A8"/>
    <w:rsid w:val="00C30DA6"/>
    <w:rsid w:val="00C30FF3"/>
    <w:rsid w:val="00C322D9"/>
    <w:rsid w:val="00C3237F"/>
    <w:rsid w:val="00C3278D"/>
    <w:rsid w:val="00C3283C"/>
    <w:rsid w:val="00C33153"/>
    <w:rsid w:val="00C33B4B"/>
    <w:rsid w:val="00C3531B"/>
    <w:rsid w:val="00C35CA8"/>
    <w:rsid w:val="00C35FB8"/>
    <w:rsid w:val="00C3631C"/>
    <w:rsid w:val="00C363BD"/>
    <w:rsid w:val="00C363CC"/>
    <w:rsid w:val="00C36AE2"/>
    <w:rsid w:val="00C36BB7"/>
    <w:rsid w:val="00C36C60"/>
    <w:rsid w:val="00C402C9"/>
    <w:rsid w:val="00C40B62"/>
    <w:rsid w:val="00C41E66"/>
    <w:rsid w:val="00C41EC7"/>
    <w:rsid w:val="00C41F9A"/>
    <w:rsid w:val="00C4200D"/>
    <w:rsid w:val="00C4207D"/>
    <w:rsid w:val="00C420D9"/>
    <w:rsid w:val="00C429E6"/>
    <w:rsid w:val="00C43A05"/>
    <w:rsid w:val="00C444F4"/>
    <w:rsid w:val="00C44C3B"/>
    <w:rsid w:val="00C44F0F"/>
    <w:rsid w:val="00C45183"/>
    <w:rsid w:val="00C46314"/>
    <w:rsid w:val="00C471CF"/>
    <w:rsid w:val="00C50396"/>
    <w:rsid w:val="00C5091D"/>
    <w:rsid w:val="00C52378"/>
    <w:rsid w:val="00C53539"/>
    <w:rsid w:val="00C539C6"/>
    <w:rsid w:val="00C53A30"/>
    <w:rsid w:val="00C541C0"/>
    <w:rsid w:val="00C55849"/>
    <w:rsid w:val="00C55C55"/>
    <w:rsid w:val="00C55E31"/>
    <w:rsid w:val="00C55EE4"/>
    <w:rsid w:val="00C55F2A"/>
    <w:rsid w:val="00C56A5D"/>
    <w:rsid w:val="00C56C01"/>
    <w:rsid w:val="00C57D41"/>
    <w:rsid w:val="00C600A6"/>
    <w:rsid w:val="00C61413"/>
    <w:rsid w:val="00C61E8A"/>
    <w:rsid w:val="00C61E9B"/>
    <w:rsid w:val="00C62772"/>
    <w:rsid w:val="00C632F6"/>
    <w:rsid w:val="00C63E26"/>
    <w:rsid w:val="00C63ECA"/>
    <w:rsid w:val="00C65059"/>
    <w:rsid w:val="00C6521F"/>
    <w:rsid w:val="00C659DB"/>
    <w:rsid w:val="00C65FAE"/>
    <w:rsid w:val="00C66665"/>
    <w:rsid w:val="00C66B8E"/>
    <w:rsid w:val="00C70378"/>
    <w:rsid w:val="00C70972"/>
    <w:rsid w:val="00C72176"/>
    <w:rsid w:val="00C725A7"/>
    <w:rsid w:val="00C72B51"/>
    <w:rsid w:val="00C73A11"/>
    <w:rsid w:val="00C73F5F"/>
    <w:rsid w:val="00C750B4"/>
    <w:rsid w:val="00C750FA"/>
    <w:rsid w:val="00C75387"/>
    <w:rsid w:val="00C753A9"/>
    <w:rsid w:val="00C75A65"/>
    <w:rsid w:val="00C76898"/>
    <w:rsid w:val="00C76AF0"/>
    <w:rsid w:val="00C76B36"/>
    <w:rsid w:val="00C76F4E"/>
    <w:rsid w:val="00C77256"/>
    <w:rsid w:val="00C802BF"/>
    <w:rsid w:val="00C80BFA"/>
    <w:rsid w:val="00C819DC"/>
    <w:rsid w:val="00C81DF8"/>
    <w:rsid w:val="00C833EA"/>
    <w:rsid w:val="00C8380F"/>
    <w:rsid w:val="00C83C57"/>
    <w:rsid w:val="00C84566"/>
    <w:rsid w:val="00C848D6"/>
    <w:rsid w:val="00C84AFD"/>
    <w:rsid w:val="00C84D91"/>
    <w:rsid w:val="00C84DC0"/>
    <w:rsid w:val="00C84EFC"/>
    <w:rsid w:val="00C859B6"/>
    <w:rsid w:val="00C86C19"/>
    <w:rsid w:val="00C87638"/>
    <w:rsid w:val="00C87ED6"/>
    <w:rsid w:val="00C90325"/>
    <w:rsid w:val="00C90ADF"/>
    <w:rsid w:val="00C91B76"/>
    <w:rsid w:val="00C92574"/>
    <w:rsid w:val="00C94377"/>
    <w:rsid w:val="00C94B30"/>
    <w:rsid w:val="00C94C88"/>
    <w:rsid w:val="00C94E36"/>
    <w:rsid w:val="00C97CFB"/>
    <w:rsid w:val="00CA065E"/>
    <w:rsid w:val="00CA1034"/>
    <w:rsid w:val="00CA1615"/>
    <w:rsid w:val="00CA1BDD"/>
    <w:rsid w:val="00CA2204"/>
    <w:rsid w:val="00CA2C34"/>
    <w:rsid w:val="00CA2C9E"/>
    <w:rsid w:val="00CA300C"/>
    <w:rsid w:val="00CA364F"/>
    <w:rsid w:val="00CA36D1"/>
    <w:rsid w:val="00CA39DF"/>
    <w:rsid w:val="00CA40B3"/>
    <w:rsid w:val="00CA53AA"/>
    <w:rsid w:val="00CA5425"/>
    <w:rsid w:val="00CA562A"/>
    <w:rsid w:val="00CA5715"/>
    <w:rsid w:val="00CA590C"/>
    <w:rsid w:val="00CA6010"/>
    <w:rsid w:val="00CA6615"/>
    <w:rsid w:val="00CA67A5"/>
    <w:rsid w:val="00CA6845"/>
    <w:rsid w:val="00CA6999"/>
    <w:rsid w:val="00CA6B0D"/>
    <w:rsid w:val="00CA72C3"/>
    <w:rsid w:val="00CA754E"/>
    <w:rsid w:val="00CA7E9D"/>
    <w:rsid w:val="00CB0331"/>
    <w:rsid w:val="00CB0E33"/>
    <w:rsid w:val="00CB0F30"/>
    <w:rsid w:val="00CB1C0E"/>
    <w:rsid w:val="00CB1D08"/>
    <w:rsid w:val="00CB2E68"/>
    <w:rsid w:val="00CB3985"/>
    <w:rsid w:val="00CB3E98"/>
    <w:rsid w:val="00CB424E"/>
    <w:rsid w:val="00CB4A8E"/>
    <w:rsid w:val="00CB4F54"/>
    <w:rsid w:val="00CB531C"/>
    <w:rsid w:val="00CB5651"/>
    <w:rsid w:val="00CB6176"/>
    <w:rsid w:val="00CB65C5"/>
    <w:rsid w:val="00CB6BEF"/>
    <w:rsid w:val="00CB73DD"/>
    <w:rsid w:val="00CB760E"/>
    <w:rsid w:val="00CC16CF"/>
    <w:rsid w:val="00CC187B"/>
    <w:rsid w:val="00CC2475"/>
    <w:rsid w:val="00CC294E"/>
    <w:rsid w:val="00CC2F12"/>
    <w:rsid w:val="00CC3344"/>
    <w:rsid w:val="00CC504F"/>
    <w:rsid w:val="00CC5370"/>
    <w:rsid w:val="00CC6F13"/>
    <w:rsid w:val="00CC754D"/>
    <w:rsid w:val="00CC7CA4"/>
    <w:rsid w:val="00CC7CE8"/>
    <w:rsid w:val="00CD0263"/>
    <w:rsid w:val="00CD02CD"/>
    <w:rsid w:val="00CD0450"/>
    <w:rsid w:val="00CD1AB6"/>
    <w:rsid w:val="00CD246D"/>
    <w:rsid w:val="00CD27C2"/>
    <w:rsid w:val="00CD2870"/>
    <w:rsid w:val="00CD387C"/>
    <w:rsid w:val="00CD43E0"/>
    <w:rsid w:val="00CD4A12"/>
    <w:rsid w:val="00CD66D9"/>
    <w:rsid w:val="00CD7086"/>
    <w:rsid w:val="00CD747D"/>
    <w:rsid w:val="00CD753A"/>
    <w:rsid w:val="00CD799E"/>
    <w:rsid w:val="00CD7DB4"/>
    <w:rsid w:val="00CE0012"/>
    <w:rsid w:val="00CE0437"/>
    <w:rsid w:val="00CE0B10"/>
    <w:rsid w:val="00CE1861"/>
    <w:rsid w:val="00CE1D88"/>
    <w:rsid w:val="00CE2890"/>
    <w:rsid w:val="00CE2B23"/>
    <w:rsid w:val="00CE37EE"/>
    <w:rsid w:val="00CE3F4C"/>
    <w:rsid w:val="00CE3FD6"/>
    <w:rsid w:val="00CE4AD0"/>
    <w:rsid w:val="00CE4FD1"/>
    <w:rsid w:val="00CE5234"/>
    <w:rsid w:val="00CE565D"/>
    <w:rsid w:val="00CE635B"/>
    <w:rsid w:val="00CE7150"/>
    <w:rsid w:val="00CE74CD"/>
    <w:rsid w:val="00CE7990"/>
    <w:rsid w:val="00CE7DDD"/>
    <w:rsid w:val="00CE7E0C"/>
    <w:rsid w:val="00CF01C8"/>
    <w:rsid w:val="00CF0470"/>
    <w:rsid w:val="00CF0FF4"/>
    <w:rsid w:val="00CF12F0"/>
    <w:rsid w:val="00CF1491"/>
    <w:rsid w:val="00CF1768"/>
    <w:rsid w:val="00CF20C3"/>
    <w:rsid w:val="00CF2DCF"/>
    <w:rsid w:val="00CF3D93"/>
    <w:rsid w:val="00CF4FD5"/>
    <w:rsid w:val="00CF5553"/>
    <w:rsid w:val="00CF556E"/>
    <w:rsid w:val="00CF5AE5"/>
    <w:rsid w:val="00CF5F9E"/>
    <w:rsid w:val="00CF6016"/>
    <w:rsid w:val="00CF6339"/>
    <w:rsid w:val="00CF6B90"/>
    <w:rsid w:val="00CF7185"/>
    <w:rsid w:val="00CF7B0D"/>
    <w:rsid w:val="00D002BB"/>
    <w:rsid w:val="00D00398"/>
    <w:rsid w:val="00D005C3"/>
    <w:rsid w:val="00D00CD3"/>
    <w:rsid w:val="00D0120A"/>
    <w:rsid w:val="00D01975"/>
    <w:rsid w:val="00D01A83"/>
    <w:rsid w:val="00D02795"/>
    <w:rsid w:val="00D02CAD"/>
    <w:rsid w:val="00D02E89"/>
    <w:rsid w:val="00D02EB8"/>
    <w:rsid w:val="00D031DE"/>
    <w:rsid w:val="00D0358E"/>
    <w:rsid w:val="00D036C4"/>
    <w:rsid w:val="00D04071"/>
    <w:rsid w:val="00D04E83"/>
    <w:rsid w:val="00D056DF"/>
    <w:rsid w:val="00D06315"/>
    <w:rsid w:val="00D077C8"/>
    <w:rsid w:val="00D07FF8"/>
    <w:rsid w:val="00D10FBB"/>
    <w:rsid w:val="00D113D9"/>
    <w:rsid w:val="00D117EA"/>
    <w:rsid w:val="00D119EB"/>
    <w:rsid w:val="00D12F06"/>
    <w:rsid w:val="00D1396A"/>
    <w:rsid w:val="00D13A5F"/>
    <w:rsid w:val="00D1496B"/>
    <w:rsid w:val="00D14A11"/>
    <w:rsid w:val="00D15F77"/>
    <w:rsid w:val="00D16F19"/>
    <w:rsid w:val="00D174AE"/>
    <w:rsid w:val="00D2027F"/>
    <w:rsid w:val="00D214C3"/>
    <w:rsid w:val="00D218F0"/>
    <w:rsid w:val="00D2254F"/>
    <w:rsid w:val="00D22AC3"/>
    <w:rsid w:val="00D2357B"/>
    <w:rsid w:val="00D243AF"/>
    <w:rsid w:val="00D25219"/>
    <w:rsid w:val="00D25F11"/>
    <w:rsid w:val="00D26C59"/>
    <w:rsid w:val="00D273F2"/>
    <w:rsid w:val="00D2755A"/>
    <w:rsid w:val="00D2768A"/>
    <w:rsid w:val="00D279EF"/>
    <w:rsid w:val="00D27CBC"/>
    <w:rsid w:val="00D30517"/>
    <w:rsid w:val="00D30A6A"/>
    <w:rsid w:val="00D32A0B"/>
    <w:rsid w:val="00D3355D"/>
    <w:rsid w:val="00D337E2"/>
    <w:rsid w:val="00D33A9A"/>
    <w:rsid w:val="00D3562E"/>
    <w:rsid w:val="00D35F6E"/>
    <w:rsid w:val="00D3637D"/>
    <w:rsid w:val="00D366D0"/>
    <w:rsid w:val="00D36D3C"/>
    <w:rsid w:val="00D37622"/>
    <w:rsid w:val="00D409E3"/>
    <w:rsid w:val="00D40E5A"/>
    <w:rsid w:val="00D4161A"/>
    <w:rsid w:val="00D429D7"/>
    <w:rsid w:val="00D42BE6"/>
    <w:rsid w:val="00D43274"/>
    <w:rsid w:val="00D4483F"/>
    <w:rsid w:val="00D456FB"/>
    <w:rsid w:val="00D465AD"/>
    <w:rsid w:val="00D47F9A"/>
    <w:rsid w:val="00D5033A"/>
    <w:rsid w:val="00D5069E"/>
    <w:rsid w:val="00D50B3B"/>
    <w:rsid w:val="00D50E7F"/>
    <w:rsid w:val="00D51572"/>
    <w:rsid w:val="00D51D54"/>
    <w:rsid w:val="00D51E9A"/>
    <w:rsid w:val="00D51F70"/>
    <w:rsid w:val="00D52EAC"/>
    <w:rsid w:val="00D53FDD"/>
    <w:rsid w:val="00D55CFC"/>
    <w:rsid w:val="00D56CDE"/>
    <w:rsid w:val="00D56FC2"/>
    <w:rsid w:val="00D56FE8"/>
    <w:rsid w:val="00D5712A"/>
    <w:rsid w:val="00D575F1"/>
    <w:rsid w:val="00D6051B"/>
    <w:rsid w:val="00D6069D"/>
    <w:rsid w:val="00D60E88"/>
    <w:rsid w:val="00D61BC9"/>
    <w:rsid w:val="00D61BF3"/>
    <w:rsid w:val="00D61C06"/>
    <w:rsid w:val="00D61F89"/>
    <w:rsid w:val="00D62086"/>
    <w:rsid w:val="00D623ED"/>
    <w:rsid w:val="00D64255"/>
    <w:rsid w:val="00D6433C"/>
    <w:rsid w:val="00D647BA"/>
    <w:rsid w:val="00D64CEB"/>
    <w:rsid w:val="00D65D56"/>
    <w:rsid w:val="00D668EA"/>
    <w:rsid w:val="00D671AD"/>
    <w:rsid w:val="00D67D09"/>
    <w:rsid w:val="00D67F79"/>
    <w:rsid w:val="00D70C7F"/>
    <w:rsid w:val="00D71069"/>
    <w:rsid w:val="00D722DC"/>
    <w:rsid w:val="00D73A40"/>
    <w:rsid w:val="00D73B33"/>
    <w:rsid w:val="00D741C0"/>
    <w:rsid w:val="00D74CCD"/>
    <w:rsid w:val="00D754CF"/>
    <w:rsid w:val="00D75B88"/>
    <w:rsid w:val="00D75D22"/>
    <w:rsid w:val="00D76D83"/>
    <w:rsid w:val="00D77707"/>
    <w:rsid w:val="00D807C3"/>
    <w:rsid w:val="00D81499"/>
    <w:rsid w:val="00D81C2D"/>
    <w:rsid w:val="00D832FE"/>
    <w:rsid w:val="00D8331A"/>
    <w:rsid w:val="00D83853"/>
    <w:rsid w:val="00D83BD1"/>
    <w:rsid w:val="00D83FBE"/>
    <w:rsid w:val="00D84429"/>
    <w:rsid w:val="00D85041"/>
    <w:rsid w:val="00D868D9"/>
    <w:rsid w:val="00D86ACC"/>
    <w:rsid w:val="00D876A1"/>
    <w:rsid w:val="00D87793"/>
    <w:rsid w:val="00D90F91"/>
    <w:rsid w:val="00D91BF1"/>
    <w:rsid w:val="00D91E7C"/>
    <w:rsid w:val="00D9232A"/>
    <w:rsid w:val="00D928F5"/>
    <w:rsid w:val="00D92CCC"/>
    <w:rsid w:val="00D93572"/>
    <w:rsid w:val="00D93AEE"/>
    <w:rsid w:val="00D93FF3"/>
    <w:rsid w:val="00D94AEB"/>
    <w:rsid w:val="00D94D9A"/>
    <w:rsid w:val="00D94FC3"/>
    <w:rsid w:val="00D96086"/>
    <w:rsid w:val="00D96EFF"/>
    <w:rsid w:val="00D96F2E"/>
    <w:rsid w:val="00D97393"/>
    <w:rsid w:val="00D973B1"/>
    <w:rsid w:val="00D97CC0"/>
    <w:rsid w:val="00D97CD2"/>
    <w:rsid w:val="00DA04DD"/>
    <w:rsid w:val="00DA07BD"/>
    <w:rsid w:val="00DA1672"/>
    <w:rsid w:val="00DA1AE5"/>
    <w:rsid w:val="00DA2598"/>
    <w:rsid w:val="00DA2754"/>
    <w:rsid w:val="00DA3889"/>
    <w:rsid w:val="00DA4081"/>
    <w:rsid w:val="00DA40AE"/>
    <w:rsid w:val="00DA4241"/>
    <w:rsid w:val="00DA467A"/>
    <w:rsid w:val="00DA4D43"/>
    <w:rsid w:val="00DA4D7A"/>
    <w:rsid w:val="00DA56CF"/>
    <w:rsid w:val="00DA6F8E"/>
    <w:rsid w:val="00DB1804"/>
    <w:rsid w:val="00DB20D1"/>
    <w:rsid w:val="00DB20F1"/>
    <w:rsid w:val="00DB3401"/>
    <w:rsid w:val="00DB3767"/>
    <w:rsid w:val="00DB4437"/>
    <w:rsid w:val="00DB45DC"/>
    <w:rsid w:val="00DB4A95"/>
    <w:rsid w:val="00DB64CA"/>
    <w:rsid w:val="00DB6EE7"/>
    <w:rsid w:val="00DB7216"/>
    <w:rsid w:val="00DB7C27"/>
    <w:rsid w:val="00DB7DED"/>
    <w:rsid w:val="00DC0532"/>
    <w:rsid w:val="00DC0590"/>
    <w:rsid w:val="00DC130D"/>
    <w:rsid w:val="00DC140E"/>
    <w:rsid w:val="00DC1B1E"/>
    <w:rsid w:val="00DC1FA1"/>
    <w:rsid w:val="00DC24F0"/>
    <w:rsid w:val="00DC2A97"/>
    <w:rsid w:val="00DC2CB7"/>
    <w:rsid w:val="00DC4172"/>
    <w:rsid w:val="00DC59F8"/>
    <w:rsid w:val="00DC6B7A"/>
    <w:rsid w:val="00DC72C3"/>
    <w:rsid w:val="00DC77BC"/>
    <w:rsid w:val="00DD01E8"/>
    <w:rsid w:val="00DD04C9"/>
    <w:rsid w:val="00DD1AE9"/>
    <w:rsid w:val="00DD25CA"/>
    <w:rsid w:val="00DD2997"/>
    <w:rsid w:val="00DD2CD6"/>
    <w:rsid w:val="00DD30BF"/>
    <w:rsid w:val="00DD31B1"/>
    <w:rsid w:val="00DD3B78"/>
    <w:rsid w:val="00DD433F"/>
    <w:rsid w:val="00DD5101"/>
    <w:rsid w:val="00DD5280"/>
    <w:rsid w:val="00DD58EC"/>
    <w:rsid w:val="00DD5C62"/>
    <w:rsid w:val="00DD6CA7"/>
    <w:rsid w:val="00DD6FA4"/>
    <w:rsid w:val="00DD7D85"/>
    <w:rsid w:val="00DE05C5"/>
    <w:rsid w:val="00DE0ABA"/>
    <w:rsid w:val="00DE13CA"/>
    <w:rsid w:val="00DE1ECF"/>
    <w:rsid w:val="00DE20A4"/>
    <w:rsid w:val="00DE20C2"/>
    <w:rsid w:val="00DE2269"/>
    <w:rsid w:val="00DE27B1"/>
    <w:rsid w:val="00DE2B79"/>
    <w:rsid w:val="00DE2E53"/>
    <w:rsid w:val="00DE3FA3"/>
    <w:rsid w:val="00DE4044"/>
    <w:rsid w:val="00DE49F0"/>
    <w:rsid w:val="00DE4D59"/>
    <w:rsid w:val="00DE52D6"/>
    <w:rsid w:val="00DE5AB1"/>
    <w:rsid w:val="00DE6233"/>
    <w:rsid w:val="00DE64FC"/>
    <w:rsid w:val="00DE714E"/>
    <w:rsid w:val="00DE7EB8"/>
    <w:rsid w:val="00DE7F95"/>
    <w:rsid w:val="00DF03E3"/>
    <w:rsid w:val="00DF0C8E"/>
    <w:rsid w:val="00DF0D4A"/>
    <w:rsid w:val="00DF1279"/>
    <w:rsid w:val="00DF1634"/>
    <w:rsid w:val="00DF2401"/>
    <w:rsid w:val="00DF3E6A"/>
    <w:rsid w:val="00DF411C"/>
    <w:rsid w:val="00DF4AE8"/>
    <w:rsid w:val="00DF4AF5"/>
    <w:rsid w:val="00DF4B50"/>
    <w:rsid w:val="00DF4DB5"/>
    <w:rsid w:val="00DF50C0"/>
    <w:rsid w:val="00DF51EE"/>
    <w:rsid w:val="00DF563D"/>
    <w:rsid w:val="00DF677E"/>
    <w:rsid w:val="00DF6A9F"/>
    <w:rsid w:val="00DF6B0B"/>
    <w:rsid w:val="00DF6E9A"/>
    <w:rsid w:val="00DF6EAC"/>
    <w:rsid w:val="00DF74D7"/>
    <w:rsid w:val="00E00698"/>
    <w:rsid w:val="00E00C7D"/>
    <w:rsid w:val="00E01BE0"/>
    <w:rsid w:val="00E02456"/>
    <w:rsid w:val="00E02DDB"/>
    <w:rsid w:val="00E02E6E"/>
    <w:rsid w:val="00E033A2"/>
    <w:rsid w:val="00E03E6D"/>
    <w:rsid w:val="00E04775"/>
    <w:rsid w:val="00E07C9B"/>
    <w:rsid w:val="00E1099A"/>
    <w:rsid w:val="00E10A6D"/>
    <w:rsid w:val="00E11AA0"/>
    <w:rsid w:val="00E12EB9"/>
    <w:rsid w:val="00E1405A"/>
    <w:rsid w:val="00E14EDC"/>
    <w:rsid w:val="00E15BF3"/>
    <w:rsid w:val="00E16C85"/>
    <w:rsid w:val="00E173E3"/>
    <w:rsid w:val="00E17843"/>
    <w:rsid w:val="00E201DB"/>
    <w:rsid w:val="00E2039C"/>
    <w:rsid w:val="00E21015"/>
    <w:rsid w:val="00E21076"/>
    <w:rsid w:val="00E2151B"/>
    <w:rsid w:val="00E215CF"/>
    <w:rsid w:val="00E2160E"/>
    <w:rsid w:val="00E21CB1"/>
    <w:rsid w:val="00E21FD1"/>
    <w:rsid w:val="00E22138"/>
    <w:rsid w:val="00E2263E"/>
    <w:rsid w:val="00E226E5"/>
    <w:rsid w:val="00E23149"/>
    <w:rsid w:val="00E23418"/>
    <w:rsid w:val="00E23598"/>
    <w:rsid w:val="00E23F49"/>
    <w:rsid w:val="00E23F7B"/>
    <w:rsid w:val="00E2479E"/>
    <w:rsid w:val="00E25DD8"/>
    <w:rsid w:val="00E25F5C"/>
    <w:rsid w:val="00E261F9"/>
    <w:rsid w:val="00E26522"/>
    <w:rsid w:val="00E277A9"/>
    <w:rsid w:val="00E3015D"/>
    <w:rsid w:val="00E307DA"/>
    <w:rsid w:val="00E31090"/>
    <w:rsid w:val="00E31223"/>
    <w:rsid w:val="00E31347"/>
    <w:rsid w:val="00E3299F"/>
    <w:rsid w:val="00E33030"/>
    <w:rsid w:val="00E35BD9"/>
    <w:rsid w:val="00E35C6E"/>
    <w:rsid w:val="00E367CF"/>
    <w:rsid w:val="00E375A7"/>
    <w:rsid w:val="00E37E36"/>
    <w:rsid w:val="00E40649"/>
    <w:rsid w:val="00E41614"/>
    <w:rsid w:val="00E418BE"/>
    <w:rsid w:val="00E41A48"/>
    <w:rsid w:val="00E41E62"/>
    <w:rsid w:val="00E4283B"/>
    <w:rsid w:val="00E42888"/>
    <w:rsid w:val="00E428F0"/>
    <w:rsid w:val="00E42ADB"/>
    <w:rsid w:val="00E43B7C"/>
    <w:rsid w:val="00E43E6D"/>
    <w:rsid w:val="00E4417B"/>
    <w:rsid w:val="00E4499B"/>
    <w:rsid w:val="00E45037"/>
    <w:rsid w:val="00E45B50"/>
    <w:rsid w:val="00E4601E"/>
    <w:rsid w:val="00E461C2"/>
    <w:rsid w:val="00E463B4"/>
    <w:rsid w:val="00E47244"/>
    <w:rsid w:val="00E47DA8"/>
    <w:rsid w:val="00E47F66"/>
    <w:rsid w:val="00E52187"/>
    <w:rsid w:val="00E53858"/>
    <w:rsid w:val="00E54E5D"/>
    <w:rsid w:val="00E564D5"/>
    <w:rsid w:val="00E56F07"/>
    <w:rsid w:val="00E56F4F"/>
    <w:rsid w:val="00E57BD7"/>
    <w:rsid w:val="00E600B6"/>
    <w:rsid w:val="00E60F53"/>
    <w:rsid w:val="00E61BD3"/>
    <w:rsid w:val="00E62309"/>
    <w:rsid w:val="00E62E69"/>
    <w:rsid w:val="00E63284"/>
    <w:rsid w:val="00E6345E"/>
    <w:rsid w:val="00E63938"/>
    <w:rsid w:val="00E63D69"/>
    <w:rsid w:val="00E652E0"/>
    <w:rsid w:val="00E656D6"/>
    <w:rsid w:val="00E65FEF"/>
    <w:rsid w:val="00E6619C"/>
    <w:rsid w:val="00E66878"/>
    <w:rsid w:val="00E70EDE"/>
    <w:rsid w:val="00E71E9D"/>
    <w:rsid w:val="00E71EFF"/>
    <w:rsid w:val="00E71F5D"/>
    <w:rsid w:val="00E72228"/>
    <w:rsid w:val="00E72924"/>
    <w:rsid w:val="00E738FF"/>
    <w:rsid w:val="00E739E0"/>
    <w:rsid w:val="00E74940"/>
    <w:rsid w:val="00E7588E"/>
    <w:rsid w:val="00E766BB"/>
    <w:rsid w:val="00E76965"/>
    <w:rsid w:val="00E77615"/>
    <w:rsid w:val="00E77EC2"/>
    <w:rsid w:val="00E80DB1"/>
    <w:rsid w:val="00E81010"/>
    <w:rsid w:val="00E81CB6"/>
    <w:rsid w:val="00E82759"/>
    <w:rsid w:val="00E83208"/>
    <w:rsid w:val="00E8357E"/>
    <w:rsid w:val="00E838BD"/>
    <w:rsid w:val="00E83C4C"/>
    <w:rsid w:val="00E84021"/>
    <w:rsid w:val="00E8426E"/>
    <w:rsid w:val="00E84776"/>
    <w:rsid w:val="00E84DCD"/>
    <w:rsid w:val="00E85BC9"/>
    <w:rsid w:val="00E86618"/>
    <w:rsid w:val="00E875AC"/>
    <w:rsid w:val="00E875EB"/>
    <w:rsid w:val="00E875EF"/>
    <w:rsid w:val="00E87A60"/>
    <w:rsid w:val="00E90036"/>
    <w:rsid w:val="00E903D9"/>
    <w:rsid w:val="00E906F2"/>
    <w:rsid w:val="00E90D61"/>
    <w:rsid w:val="00E9105F"/>
    <w:rsid w:val="00E912E7"/>
    <w:rsid w:val="00E91A87"/>
    <w:rsid w:val="00E9281C"/>
    <w:rsid w:val="00E92EE4"/>
    <w:rsid w:val="00E93678"/>
    <w:rsid w:val="00E93F9C"/>
    <w:rsid w:val="00E94848"/>
    <w:rsid w:val="00E95492"/>
    <w:rsid w:val="00E968E3"/>
    <w:rsid w:val="00E97F73"/>
    <w:rsid w:val="00EA02B4"/>
    <w:rsid w:val="00EA075F"/>
    <w:rsid w:val="00EA0A01"/>
    <w:rsid w:val="00EA1DD7"/>
    <w:rsid w:val="00EA3334"/>
    <w:rsid w:val="00EA35D1"/>
    <w:rsid w:val="00EA36BC"/>
    <w:rsid w:val="00EA3838"/>
    <w:rsid w:val="00EA41FA"/>
    <w:rsid w:val="00EA4306"/>
    <w:rsid w:val="00EA45D7"/>
    <w:rsid w:val="00EA4E04"/>
    <w:rsid w:val="00EA4EB3"/>
    <w:rsid w:val="00EA625D"/>
    <w:rsid w:val="00EA6622"/>
    <w:rsid w:val="00EA6996"/>
    <w:rsid w:val="00EA75F6"/>
    <w:rsid w:val="00EA7703"/>
    <w:rsid w:val="00EB104B"/>
    <w:rsid w:val="00EB1635"/>
    <w:rsid w:val="00EB21DF"/>
    <w:rsid w:val="00EB2517"/>
    <w:rsid w:val="00EB264B"/>
    <w:rsid w:val="00EB2703"/>
    <w:rsid w:val="00EB2E10"/>
    <w:rsid w:val="00EB2FF2"/>
    <w:rsid w:val="00EB38D8"/>
    <w:rsid w:val="00EB453D"/>
    <w:rsid w:val="00EB4B7A"/>
    <w:rsid w:val="00EB5AFC"/>
    <w:rsid w:val="00EB5F02"/>
    <w:rsid w:val="00EB5F35"/>
    <w:rsid w:val="00EB6CB5"/>
    <w:rsid w:val="00EB7258"/>
    <w:rsid w:val="00EB7481"/>
    <w:rsid w:val="00EC01F0"/>
    <w:rsid w:val="00EC02A2"/>
    <w:rsid w:val="00EC0712"/>
    <w:rsid w:val="00EC0868"/>
    <w:rsid w:val="00EC1188"/>
    <w:rsid w:val="00EC2450"/>
    <w:rsid w:val="00EC3E92"/>
    <w:rsid w:val="00EC4411"/>
    <w:rsid w:val="00EC44DA"/>
    <w:rsid w:val="00EC4DA1"/>
    <w:rsid w:val="00EC4F11"/>
    <w:rsid w:val="00EC5594"/>
    <w:rsid w:val="00EC62B0"/>
    <w:rsid w:val="00EC63C7"/>
    <w:rsid w:val="00EC6498"/>
    <w:rsid w:val="00EC7296"/>
    <w:rsid w:val="00ED0B30"/>
    <w:rsid w:val="00ED20FB"/>
    <w:rsid w:val="00ED2A4B"/>
    <w:rsid w:val="00ED2A8D"/>
    <w:rsid w:val="00ED2CA0"/>
    <w:rsid w:val="00ED3145"/>
    <w:rsid w:val="00ED33E1"/>
    <w:rsid w:val="00ED3E22"/>
    <w:rsid w:val="00ED42B8"/>
    <w:rsid w:val="00ED490F"/>
    <w:rsid w:val="00ED506B"/>
    <w:rsid w:val="00ED5CA0"/>
    <w:rsid w:val="00ED61EE"/>
    <w:rsid w:val="00ED640B"/>
    <w:rsid w:val="00ED6446"/>
    <w:rsid w:val="00ED6851"/>
    <w:rsid w:val="00ED69B9"/>
    <w:rsid w:val="00ED7654"/>
    <w:rsid w:val="00ED7820"/>
    <w:rsid w:val="00EE0549"/>
    <w:rsid w:val="00EE0C97"/>
    <w:rsid w:val="00EE0F5C"/>
    <w:rsid w:val="00EE1490"/>
    <w:rsid w:val="00EE14C6"/>
    <w:rsid w:val="00EE17B0"/>
    <w:rsid w:val="00EE1F5D"/>
    <w:rsid w:val="00EE25A2"/>
    <w:rsid w:val="00EE27E7"/>
    <w:rsid w:val="00EE3272"/>
    <w:rsid w:val="00EE3851"/>
    <w:rsid w:val="00EE39CF"/>
    <w:rsid w:val="00EE4038"/>
    <w:rsid w:val="00EE434B"/>
    <w:rsid w:val="00EE4426"/>
    <w:rsid w:val="00EE47E5"/>
    <w:rsid w:val="00EE4C34"/>
    <w:rsid w:val="00EE4F77"/>
    <w:rsid w:val="00EE579F"/>
    <w:rsid w:val="00EE59F8"/>
    <w:rsid w:val="00EE5A9D"/>
    <w:rsid w:val="00EE6702"/>
    <w:rsid w:val="00EE7044"/>
    <w:rsid w:val="00EE7387"/>
    <w:rsid w:val="00EE7C6A"/>
    <w:rsid w:val="00EF0CEF"/>
    <w:rsid w:val="00EF15A4"/>
    <w:rsid w:val="00EF1834"/>
    <w:rsid w:val="00EF1D4E"/>
    <w:rsid w:val="00EF21F3"/>
    <w:rsid w:val="00EF3919"/>
    <w:rsid w:val="00EF4426"/>
    <w:rsid w:val="00EF593D"/>
    <w:rsid w:val="00EF6E98"/>
    <w:rsid w:val="00F00675"/>
    <w:rsid w:val="00F01A63"/>
    <w:rsid w:val="00F01B19"/>
    <w:rsid w:val="00F02220"/>
    <w:rsid w:val="00F03AF2"/>
    <w:rsid w:val="00F03FE1"/>
    <w:rsid w:val="00F04537"/>
    <w:rsid w:val="00F04D24"/>
    <w:rsid w:val="00F05488"/>
    <w:rsid w:val="00F05754"/>
    <w:rsid w:val="00F059CF"/>
    <w:rsid w:val="00F05D40"/>
    <w:rsid w:val="00F06C74"/>
    <w:rsid w:val="00F07C6F"/>
    <w:rsid w:val="00F10239"/>
    <w:rsid w:val="00F10CE8"/>
    <w:rsid w:val="00F1174A"/>
    <w:rsid w:val="00F11B48"/>
    <w:rsid w:val="00F12138"/>
    <w:rsid w:val="00F126F9"/>
    <w:rsid w:val="00F129AA"/>
    <w:rsid w:val="00F134AC"/>
    <w:rsid w:val="00F13CAC"/>
    <w:rsid w:val="00F153DE"/>
    <w:rsid w:val="00F154A1"/>
    <w:rsid w:val="00F15507"/>
    <w:rsid w:val="00F159D3"/>
    <w:rsid w:val="00F1602D"/>
    <w:rsid w:val="00F16653"/>
    <w:rsid w:val="00F166CD"/>
    <w:rsid w:val="00F16DF6"/>
    <w:rsid w:val="00F16FCD"/>
    <w:rsid w:val="00F176E9"/>
    <w:rsid w:val="00F179B7"/>
    <w:rsid w:val="00F17B02"/>
    <w:rsid w:val="00F17E87"/>
    <w:rsid w:val="00F213F6"/>
    <w:rsid w:val="00F2148E"/>
    <w:rsid w:val="00F21ACE"/>
    <w:rsid w:val="00F22AE6"/>
    <w:rsid w:val="00F22D06"/>
    <w:rsid w:val="00F22FA3"/>
    <w:rsid w:val="00F23937"/>
    <w:rsid w:val="00F23ABF"/>
    <w:rsid w:val="00F244F1"/>
    <w:rsid w:val="00F25ACD"/>
    <w:rsid w:val="00F25BCA"/>
    <w:rsid w:val="00F25D4D"/>
    <w:rsid w:val="00F25DB1"/>
    <w:rsid w:val="00F26270"/>
    <w:rsid w:val="00F26C20"/>
    <w:rsid w:val="00F272D3"/>
    <w:rsid w:val="00F30C39"/>
    <w:rsid w:val="00F3191C"/>
    <w:rsid w:val="00F31CD9"/>
    <w:rsid w:val="00F31DAA"/>
    <w:rsid w:val="00F32A1E"/>
    <w:rsid w:val="00F32E32"/>
    <w:rsid w:val="00F33A0E"/>
    <w:rsid w:val="00F34E95"/>
    <w:rsid w:val="00F35249"/>
    <w:rsid w:val="00F35639"/>
    <w:rsid w:val="00F3599D"/>
    <w:rsid w:val="00F40A7C"/>
    <w:rsid w:val="00F40DA3"/>
    <w:rsid w:val="00F41B55"/>
    <w:rsid w:val="00F457DA"/>
    <w:rsid w:val="00F46A13"/>
    <w:rsid w:val="00F4764C"/>
    <w:rsid w:val="00F4772C"/>
    <w:rsid w:val="00F5009E"/>
    <w:rsid w:val="00F50141"/>
    <w:rsid w:val="00F5089D"/>
    <w:rsid w:val="00F513A3"/>
    <w:rsid w:val="00F538E0"/>
    <w:rsid w:val="00F53DC2"/>
    <w:rsid w:val="00F542F5"/>
    <w:rsid w:val="00F547D2"/>
    <w:rsid w:val="00F54EB1"/>
    <w:rsid w:val="00F55B08"/>
    <w:rsid w:val="00F5644A"/>
    <w:rsid w:val="00F5648F"/>
    <w:rsid w:val="00F57184"/>
    <w:rsid w:val="00F5718B"/>
    <w:rsid w:val="00F60907"/>
    <w:rsid w:val="00F60DBC"/>
    <w:rsid w:val="00F61006"/>
    <w:rsid w:val="00F61598"/>
    <w:rsid w:val="00F61840"/>
    <w:rsid w:val="00F62A5F"/>
    <w:rsid w:val="00F64614"/>
    <w:rsid w:val="00F64E5E"/>
    <w:rsid w:val="00F65C25"/>
    <w:rsid w:val="00F66651"/>
    <w:rsid w:val="00F669C2"/>
    <w:rsid w:val="00F66BD0"/>
    <w:rsid w:val="00F66DAE"/>
    <w:rsid w:val="00F6716F"/>
    <w:rsid w:val="00F67A9B"/>
    <w:rsid w:val="00F70185"/>
    <w:rsid w:val="00F706D7"/>
    <w:rsid w:val="00F709DE"/>
    <w:rsid w:val="00F70A04"/>
    <w:rsid w:val="00F70BF7"/>
    <w:rsid w:val="00F70CB8"/>
    <w:rsid w:val="00F7154A"/>
    <w:rsid w:val="00F71A60"/>
    <w:rsid w:val="00F71AD8"/>
    <w:rsid w:val="00F71AEE"/>
    <w:rsid w:val="00F7215A"/>
    <w:rsid w:val="00F724C4"/>
    <w:rsid w:val="00F73246"/>
    <w:rsid w:val="00F74A58"/>
    <w:rsid w:val="00F751D9"/>
    <w:rsid w:val="00F75708"/>
    <w:rsid w:val="00F75CC0"/>
    <w:rsid w:val="00F75E4B"/>
    <w:rsid w:val="00F762B2"/>
    <w:rsid w:val="00F7697D"/>
    <w:rsid w:val="00F778D1"/>
    <w:rsid w:val="00F7796D"/>
    <w:rsid w:val="00F77A30"/>
    <w:rsid w:val="00F80C7E"/>
    <w:rsid w:val="00F82A81"/>
    <w:rsid w:val="00F837EF"/>
    <w:rsid w:val="00F83CE0"/>
    <w:rsid w:val="00F84455"/>
    <w:rsid w:val="00F846B1"/>
    <w:rsid w:val="00F84D0D"/>
    <w:rsid w:val="00F86483"/>
    <w:rsid w:val="00F87FB5"/>
    <w:rsid w:val="00F90D9F"/>
    <w:rsid w:val="00F9122A"/>
    <w:rsid w:val="00F91F58"/>
    <w:rsid w:val="00F91FAF"/>
    <w:rsid w:val="00F92235"/>
    <w:rsid w:val="00F9291A"/>
    <w:rsid w:val="00F92A00"/>
    <w:rsid w:val="00F93F4D"/>
    <w:rsid w:val="00F95A97"/>
    <w:rsid w:val="00F95B04"/>
    <w:rsid w:val="00F96E64"/>
    <w:rsid w:val="00F9725C"/>
    <w:rsid w:val="00F972FB"/>
    <w:rsid w:val="00F97431"/>
    <w:rsid w:val="00F974A4"/>
    <w:rsid w:val="00F97718"/>
    <w:rsid w:val="00FA08CC"/>
    <w:rsid w:val="00FA0D19"/>
    <w:rsid w:val="00FA11AE"/>
    <w:rsid w:val="00FA16FF"/>
    <w:rsid w:val="00FA1928"/>
    <w:rsid w:val="00FA207F"/>
    <w:rsid w:val="00FA21FB"/>
    <w:rsid w:val="00FA3019"/>
    <w:rsid w:val="00FA34B8"/>
    <w:rsid w:val="00FA3B80"/>
    <w:rsid w:val="00FA3E96"/>
    <w:rsid w:val="00FA60DE"/>
    <w:rsid w:val="00FA6BF6"/>
    <w:rsid w:val="00FA7002"/>
    <w:rsid w:val="00FA72D0"/>
    <w:rsid w:val="00FB158F"/>
    <w:rsid w:val="00FB1A33"/>
    <w:rsid w:val="00FB2051"/>
    <w:rsid w:val="00FB278D"/>
    <w:rsid w:val="00FB2863"/>
    <w:rsid w:val="00FB33EF"/>
    <w:rsid w:val="00FB4F7D"/>
    <w:rsid w:val="00FB61E8"/>
    <w:rsid w:val="00FB68DA"/>
    <w:rsid w:val="00FB7C86"/>
    <w:rsid w:val="00FC008F"/>
    <w:rsid w:val="00FC110C"/>
    <w:rsid w:val="00FC13B1"/>
    <w:rsid w:val="00FC1EAB"/>
    <w:rsid w:val="00FC3022"/>
    <w:rsid w:val="00FC3673"/>
    <w:rsid w:val="00FC3E79"/>
    <w:rsid w:val="00FC4D1C"/>
    <w:rsid w:val="00FC5014"/>
    <w:rsid w:val="00FC50F9"/>
    <w:rsid w:val="00FC54B0"/>
    <w:rsid w:val="00FC5745"/>
    <w:rsid w:val="00FC57BF"/>
    <w:rsid w:val="00FC5DA7"/>
    <w:rsid w:val="00FC6790"/>
    <w:rsid w:val="00FC6AF3"/>
    <w:rsid w:val="00FC6C9B"/>
    <w:rsid w:val="00FC74C5"/>
    <w:rsid w:val="00FC7B55"/>
    <w:rsid w:val="00FC7D04"/>
    <w:rsid w:val="00FD0832"/>
    <w:rsid w:val="00FD0A80"/>
    <w:rsid w:val="00FD0EBB"/>
    <w:rsid w:val="00FD21F1"/>
    <w:rsid w:val="00FD299A"/>
    <w:rsid w:val="00FD3682"/>
    <w:rsid w:val="00FD3835"/>
    <w:rsid w:val="00FD3CB8"/>
    <w:rsid w:val="00FD4D4A"/>
    <w:rsid w:val="00FD5145"/>
    <w:rsid w:val="00FD529C"/>
    <w:rsid w:val="00FD5B40"/>
    <w:rsid w:val="00FD617A"/>
    <w:rsid w:val="00FD64A2"/>
    <w:rsid w:val="00FD73A8"/>
    <w:rsid w:val="00FD793F"/>
    <w:rsid w:val="00FD796B"/>
    <w:rsid w:val="00FD7C84"/>
    <w:rsid w:val="00FE00E1"/>
    <w:rsid w:val="00FE041B"/>
    <w:rsid w:val="00FE0AE7"/>
    <w:rsid w:val="00FE0B2C"/>
    <w:rsid w:val="00FE1089"/>
    <w:rsid w:val="00FE17DF"/>
    <w:rsid w:val="00FE3202"/>
    <w:rsid w:val="00FE3FCF"/>
    <w:rsid w:val="00FE422B"/>
    <w:rsid w:val="00FE4714"/>
    <w:rsid w:val="00FE6762"/>
    <w:rsid w:val="00FE681A"/>
    <w:rsid w:val="00FE6999"/>
    <w:rsid w:val="00FE7F21"/>
    <w:rsid w:val="00FF043B"/>
    <w:rsid w:val="00FF0ABA"/>
    <w:rsid w:val="00FF1C65"/>
    <w:rsid w:val="00FF1F7A"/>
    <w:rsid w:val="00FF22BF"/>
    <w:rsid w:val="00FF245D"/>
    <w:rsid w:val="00FF2619"/>
    <w:rsid w:val="00FF361C"/>
    <w:rsid w:val="00FF369D"/>
    <w:rsid w:val="00FF3DD1"/>
    <w:rsid w:val="00FF41B1"/>
    <w:rsid w:val="00FF44BB"/>
    <w:rsid w:val="00FF4642"/>
    <w:rsid w:val="00FF4848"/>
    <w:rsid w:val="00FF4B60"/>
    <w:rsid w:val="00FF5558"/>
    <w:rsid w:val="00FF5CFC"/>
    <w:rsid w:val="00FF5EE0"/>
    <w:rsid w:val="00FF6295"/>
    <w:rsid w:val="00FF70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BC789"/>
  <w15:docId w15:val="{927DF50A-A05E-4A01-8742-293A1752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E7772"/>
    <w:pPr>
      <w:spacing w:after="40" w:line="240" w:lineRule="auto"/>
      <w:ind w:hanging="5"/>
      <w:jc w:val="both"/>
    </w:pPr>
    <w:rPr>
      <w:rFonts w:ascii="Times New Roman" w:eastAsia="Times New Roman" w:hAnsi="Times New Roman" w:cs="Times New Roman"/>
      <w:sz w:val="24"/>
      <w:szCs w:val="24"/>
      <w:lang w:eastAsia="sk-SK"/>
    </w:rPr>
  </w:style>
  <w:style w:type="paragraph" w:styleId="Nadpis1">
    <w:name w:val="heading 1"/>
    <w:basedOn w:val="rove1"/>
    <w:next w:val="Normlny"/>
    <w:link w:val="Nadpis1Char"/>
    <w:qFormat/>
    <w:rsid w:val="00994E8F"/>
    <w:pPr>
      <w:numPr>
        <w:numId w:val="18"/>
      </w:numPr>
      <w:tabs>
        <w:tab w:val="left" w:pos="454"/>
        <w:tab w:val="left" w:pos="567"/>
      </w:tabs>
      <w:jc w:val="left"/>
      <w:outlineLvl w:val="0"/>
    </w:pPr>
  </w:style>
  <w:style w:type="paragraph" w:styleId="Nadpis20">
    <w:name w:val="heading 2"/>
    <w:basedOn w:val="rove2"/>
    <w:next w:val="Normlny"/>
    <w:link w:val="Nadpis2Char"/>
    <w:unhideWhenUsed/>
    <w:qFormat/>
    <w:rsid w:val="00935287"/>
    <w:pPr>
      <w:spacing w:before="240" w:after="120"/>
      <w:outlineLvl w:val="1"/>
    </w:pPr>
    <w:rPr>
      <w:iCs/>
    </w:rPr>
  </w:style>
  <w:style w:type="paragraph" w:styleId="Nadpis30">
    <w:name w:val="heading 3"/>
    <w:basedOn w:val="Normlny"/>
    <w:next w:val="Normlny"/>
    <w:link w:val="Nadpis3Char"/>
    <w:unhideWhenUsed/>
    <w:qFormat/>
    <w:rsid w:val="00935287"/>
    <w:pPr>
      <w:spacing w:before="120"/>
      <w:outlineLvl w:val="2"/>
    </w:pPr>
    <w:rPr>
      <w:rFonts w:eastAsia="Calibri"/>
      <w:b/>
      <w:color w:val="000000"/>
    </w:rPr>
  </w:style>
  <w:style w:type="paragraph" w:styleId="Nadpis4">
    <w:name w:val="heading 4"/>
    <w:basedOn w:val="Odsekzoznamu2"/>
    <w:next w:val="Normlny"/>
    <w:link w:val="Nadpis4Char"/>
    <w:uiPriority w:val="9"/>
    <w:unhideWhenUsed/>
    <w:qFormat/>
    <w:rsid w:val="005E5A10"/>
    <w:pPr>
      <w:spacing w:line="360" w:lineRule="auto"/>
      <w:ind w:left="0"/>
      <w:outlineLvl w:val="3"/>
    </w:pPr>
    <w:rPr>
      <w:b/>
      <w:sz w:val="24"/>
      <w:szCs w:val="24"/>
    </w:rPr>
  </w:style>
  <w:style w:type="paragraph" w:styleId="Nadpis5">
    <w:name w:val="heading 5"/>
    <w:basedOn w:val="Normlny"/>
    <w:next w:val="Normlny"/>
    <w:link w:val="Nadpis5Char"/>
    <w:qFormat/>
    <w:rsid w:val="005E5A10"/>
    <w:pPr>
      <w:keepNext/>
      <w:numPr>
        <w:ilvl w:val="4"/>
        <w:numId w:val="2"/>
      </w:numPr>
      <w:spacing w:before="120" w:after="120"/>
      <w:outlineLvl w:val="4"/>
    </w:pPr>
    <w:rPr>
      <w:b/>
      <w:i/>
      <w:snapToGrid w:val="0"/>
      <w:color w:val="000000"/>
      <w:szCs w:val="20"/>
    </w:rPr>
  </w:style>
  <w:style w:type="paragraph" w:styleId="Nadpis6">
    <w:name w:val="heading 6"/>
    <w:basedOn w:val="Normlny"/>
    <w:next w:val="Normlny"/>
    <w:link w:val="Nadpis6Char"/>
    <w:qFormat/>
    <w:rsid w:val="005E5A10"/>
    <w:pPr>
      <w:numPr>
        <w:ilvl w:val="5"/>
        <w:numId w:val="2"/>
      </w:numPr>
      <w:spacing w:before="240" w:after="60"/>
      <w:outlineLvl w:val="5"/>
    </w:pPr>
    <w:rPr>
      <w:b/>
      <w:bCs/>
      <w:sz w:val="22"/>
      <w:szCs w:val="22"/>
    </w:rPr>
  </w:style>
  <w:style w:type="paragraph" w:styleId="Nadpis7">
    <w:name w:val="heading 7"/>
    <w:basedOn w:val="Normlny"/>
    <w:next w:val="Normlny"/>
    <w:link w:val="Nadpis7Char"/>
    <w:qFormat/>
    <w:rsid w:val="005E5A10"/>
    <w:pPr>
      <w:numPr>
        <w:ilvl w:val="6"/>
        <w:numId w:val="2"/>
      </w:numPr>
      <w:spacing w:before="240" w:after="60"/>
      <w:outlineLvl w:val="6"/>
    </w:pPr>
  </w:style>
  <w:style w:type="paragraph" w:styleId="Nadpis8">
    <w:name w:val="heading 8"/>
    <w:basedOn w:val="Normlny"/>
    <w:next w:val="Normlny"/>
    <w:link w:val="Nadpis8Char"/>
    <w:qFormat/>
    <w:rsid w:val="005E5A10"/>
    <w:pPr>
      <w:numPr>
        <w:ilvl w:val="7"/>
        <w:numId w:val="2"/>
      </w:numPr>
      <w:spacing w:before="240" w:after="60"/>
      <w:outlineLvl w:val="7"/>
    </w:pPr>
    <w:rPr>
      <w:i/>
      <w:iCs/>
    </w:rPr>
  </w:style>
  <w:style w:type="paragraph" w:styleId="Nadpis9">
    <w:name w:val="heading 9"/>
    <w:basedOn w:val="Normlny"/>
    <w:next w:val="Normlny"/>
    <w:link w:val="Nadpis9Char"/>
    <w:uiPriority w:val="9"/>
    <w:semiHidden/>
    <w:unhideWhenUsed/>
    <w:qFormat/>
    <w:rsid w:val="005E5A10"/>
    <w:pPr>
      <w:numPr>
        <w:ilvl w:val="8"/>
        <w:numId w:val="2"/>
      </w:numPr>
      <w:spacing w:before="240" w:after="60"/>
      <w:outlineLvl w:val="8"/>
    </w:pPr>
    <w:rPr>
      <w:rFonts w:ascii="Cambria"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994E8F"/>
    <w:rPr>
      <w:rFonts w:ascii="Times New Roman" w:eastAsia="Times New Roman" w:hAnsi="Times New Roman" w:cs="Times New Roman"/>
      <w:b/>
      <w:color w:val="000000"/>
      <w:sz w:val="24"/>
      <w:szCs w:val="24"/>
      <w:lang w:eastAsia="sk-SK"/>
    </w:rPr>
  </w:style>
  <w:style w:type="character" w:customStyle="1" w:styleId="Nadpis2Char">
    <w:name w:val="Nadpis 2 Char"/>
    <w:basedOn w:val="Predvolenpsmoodseku"/>
    <w:link w:val="Nadpis20"/>
    <w:rsid w:val="00935287"/>
    <w:rPr>
      <w:rFonts w:ascii="Times New Roman" w:eastAsia="Times New Roman" w:hAnsi="Times New Roman" w:cs="Times New Roman"/>
      <w:b/>
      <w:iCs/>
      <w:color w:val="000000"/>
      <w:sz w:val="24"/>
      <w:szCs w:val="24"/>
      <w:lang w:eastAsia="sk-SK"/>
    </w:rPr>
  </w:style>
  <w:style w:type="character" w:customStyle="1" w:styleId="Nadpis3Char">
    <w:name w:val="Nadpis 3 Char"/>
    <w:basedOn w:val="Predvolenpsmoodseku"/>
    <w:link w:val="Nadpis30"/>
    <w:rsid w:val="00935287"/>
    <w:rPr>
      <w:rFonts w:ascii="Times New Roman" w:eastAsia="Calibri" w:hAnsi="Times New Roman" w:cs="Times New Roman"/>
      <w:b/>
      <w:color w:val="000000"/>
      <w:sz w:val="24"/>
      <w:szCs w:val="24"/>
      <w:lang w:eastAsia="sk-SK"/>
    </w:rPr>
  </w:style>
  <w:style w:type="character" w:customStyle="1" w:styleId="Nadpis4Char">
    <w:name w:val="Nadpis 4 Char"/>
    <w:basedOn w:val="Predvolenpsmoodseku"/>
    <w:link w:val="Nadpis4"/>
    <w:uiPriority w:val="9"/>
    <w:rsid w:val="005E5A10"/>
    <w:rPr>
      <w:rFonts w:ascii="Calibri" w:eastAsia="Times New Roman" w:hAnsi="Calibri" w:cs="Times New Roman"/>
      <w:b/>
      <w:sz w:val="24"/>
      <w:szCs w:val="24"/>
    </w:rPr>
  </w:style>
  <w:style w:type="character" w:customStyle="1" w:styleId="Nadpis5Char">
    <w:name w:val="Nadpis 5 Char"/>
    <w:basedOn w:val="Predvolenpsmoodseku"/>
    <w:link w:val="Nadpis5"/>
    <w:rsid w:val="005E5A10"/>
    <w:rPr>
      <w:rFonts w:ascii="Times New Roman" w:eastAsia="Times New Roman" w:hAnsi="Times New Roman" w:cs="Times New Roman"/>
      <w:b/>
      <w:i/>
      <w:snapToGrid w:val="0"/>
      <w:color w:val="000000"/>
      <w:sz w:val="24"/>
      <w:szCs w:val="20"/>
      <w:lang w:eastAsia="sk-SK"/>
    </w:rPr>
  </w:style>
  <w:style w:type="character" w:customStyle="1" w:styleId="Nadpis6Char">
    <w:name w:val="Nadpis 6 Char"/>
    <w:basedOn w:val="Predvolenpsmoodseku"/>
    <w:link w:val="Nadpis6"/>
    <w:rsid w:val="005E5A10"/>
    <w:rPr>
      <w:rFonts w:ascii="Times New Roman" w:eastAsia="Times New Roman" w:hAnsi="Times New Roman" w:cs="Times New Roman"/>
      <w:b/>
      <w:bCs/>
      <w:lang w:eastAsia="sk-SK"/>
    </w:rPr>
  </w:style>
  <w:style w:type="character" w:customStyle="1" w:styleId="Nadpis7Char">
    <w:name w:val="Nadpis 7 Char"/>
    <w:basedOn w:val="Predvolenpsmoodseku"/>
    <w:link w:val="Nadpis7"/>
    <w:rsid w:val="005E5A10"/>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rsid w:val="005E5A10"/>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uiPriority w:val="9"/>
    <w:semiHidden/>
    <w:rsid w:val="005E5A10"/>
    <w:rPr>
      <w:rFonts w:ascii="Cambria" w:eastAsia="Times New Roman" w:hAnsi="Cambria" w:cs="Times New Roman"/>
      <w:lang w:eastAsia="sk-SK"/>
    </w:rPr>
  </w:style>
  <w:style w:type="table" w:styleId="Mriekatabuky">
    <w:name w:val="Table Grid"/>
    <w:basedOn w:val="Normlnatabuka"/>
    <w:uiPriority w:val="59"/>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5E5A10"/>
    <w:rPr>
      <w:color w:val="0000FF"/>
      <w:u w:val="single"/>
    </w:rPr>
  </w:style>
  <w:style w:type="paragraph" w:styleId="Odsekzoznamu">
    <w:name w:val="List Paragraph"/>
    <w:aliases w:val="body,List Paragraph,Odsek,Dot pt,F5 List Paragraph,List Paragraph1,No Spacing1,List Paragraph Char Char Char,Indicator Text,Numbered Para 1,Colorful List - Accent 11,Bullet 1,Bullet Points,Párrafo de lista"/>
    <w:basedOn w:val="Normlny"/>
    <w:link w:val="OdsekzoznamuChar"/>
    <w:uiPriority w:val="34"/>
    <w:qFormat/>
    <w:rsid w:val="005E5A10"/>
    <w:pPr>
      <w:spacing w:before="120"/>
      <w:ind w:firstLine="709"/>
    </w:pPr>
    <w:rPr>
      <w:rFonts w:cs="Calibri"/>
      <w:szCs w:val="22"/>
      <w:lang w:eastAsia="en-US"/>
    </w:rPr>
  </w:style>
  <w:style w:type="paragraph" w:styleId="Obsah1">
    <w:name w:val="toc 1"/>
    <w:basedOn w:val="Normlny"/>
    <w:next w:val="Normlny"/>
    <w:autoRedefine/>
    <w:uiPriority w:val="39"/>
    <w:qFormat/>
    <w:rsid w:val="006353F3"/>
    <w:pPr>
      <w:tabs>
        <w:tab w:val="right" w:leader="dot" w:pos="9498"/>
      </w:tabs>
      <w:spacing w:before="120" w:after="120"/>
      <w:ind w:left="284" w:hanging="284"/>
    </w:pPr>
    <w:rPr>
      <w:b/>
      <w:bCs/>
      <w:caps/>
      <w:noProof/>
      <w:lang w:eastAsia="en-US"/>
    </w:rPr>
  </w:style>
  <w:style w:type="paragraph" w:styleId="Obsah2">
    <w:name w:val="toc 2"/>
    <w:basedOn w:val="Normlny"/>
    <w:next w:val="Normlny"/>
    <w:autoRedefine/>
    <w:uiPriority w:val="39"/>
    <w:qFormat/>
    <w:rsid w:val="00ED7654"/>
    <w:pPr>
      <w:tabs>
        <w:tab w:val="right" w:leader="dot" w:pos="9498"/>
      </w:tabs>
      <w:spacing w:after="0"/>
      <w:ind w:left="426" w:hanging="426"/>
      <w:jc w:val="left"/>
    </w:pPr>
    <w:rPr>
      <w:b/>
      <w:bCs/>
      <w:noProof/>
    </w:rPr>
  </w:style>
  <w:style w:type="paragraph" w:styleId="Obsah3">
    <w:name w:val="toc 3"/>
    <w:basedOn w:val="Normlny"/>
    <w:next w:val="Normlny"/>
    <w:autoRedefine/>
    <w:uiPriority w:val="39"/>
    <w:qFormat/>
    <w:rsid w:val="00B92EF3"/>
    <w:pPr>
      <w:tabs>
        <w:tab w:val="left" w:pos="567"/>
        <w:tab w:val="right" w:leader="dot" w:pos="9498"/>
      </w:tabs>
      <w:spacing w:after="0"/>
      <w:ind w:firstLine="0"/>
    </w:pPr>
    <w:rPr>
      <w:iCs/>
      <w:noProof/>
    </w:rPr>
  </w:style>
  <w:style w:type="paragraph" w:styleId="Obsah4">
    <w:name w:val="toc 4"/>
    <w:basedOn w:val="Normlny"/>
    <w:next w:val="Normlny"/>
    <w:autoRedefine/>
    <w:uiPriority w:val="39"/>
    <w:rsid w:val="005E5A10"/>
    <w:pPr>
      <w:tabs>
        <w:tab w:val="right" w:leader="dot" w:pos="9062"/>
      </w:tabs>
      <w:ind w:left="851" w:hanging="567"/>
      <w:jc w:val="left"/>
    </w:pPr>
    <w:rPr>
      <w:rFonts w:ascii="Calibri" w:hAnsi="Calibri"/>
      <w:sz w:val="18"/>
      <w:szCs w:val="18"/>
    </w:rPr>
  </w:style>
  <w:style w:type="paragraph" w:styleId="Obsah5">
    <w:name w:val="toc 5"/>
    <w:basedOn w:val="Normlny"/>
    <w:next w:val="Normlny"/>
    <w:autoRedefine/>
    <w:uiPriority w:val="39"/>
    <w:rsid w:val="005E5A10"/>
    <w:pPr>
      <w:tabs>
        <w:tab w:val="right" w:leader="dot" w:pos="9062"/>
      </w:tabs>
      <w:ind w:left="960"/>
      <w:jc w:val="left"/>
    </w:pPr>
    <w:rPr>
      <w:rFonts w:ascii="Calibri" w:hAnsi="Calibri"/>
      <w:sz w:val="18"/>
      <w:szCs w:val="18"/>
    </w:rPr>
  </w:style>
  <w:style w:type="paragraph" w:styleId="Textbubliny">
    <w:name w:val="Balloon Text"/>
    <w:basedOn w:val="Normlny"/>
    <w:link w:val="TextbublinyChar"/>
    <w:uiPriority w:val="99"/>
    <w:unhideWhenUsed/>
    <w:rsid w:val="005E5A10"/>
    <w:pPr>
      <w:spacing w:after="0"/>
    </w:pPr>
    <w:rPr>
      <w:rFonts w:ascii="Tahoma" w:hAnsi="Tahoma"/>
      <w:sz w:val="16"/>
      <w:szCs w:val="16"/>
    </w:rPr>
  </w:style>
  <w:style w:type="character" w:customStyle="1" w:styleId="TextbublinyChar">
    <w:name w:val="Text bubliny Char"/>
    <w:basedOn w:val="Predvolenpsmoodseku"/>
    <w:link w:val="Textbubliny"/>
    <w:uiPriority w:val="99"/>
    <w:rsid w:val="005E5A10"/>
    <w:rPr>
      <w:rFonts w:ascii="Tahoma" w:eastAsia="Times New Roman" w:hAnsi="Tahoma" w:cs="Times New Roman"/>
      <w:sz w:val="16"/>
      <w:szCs w:val="16"/>
      <w:lang w:eastAsia="sk-SK"/>
    </w:rPr>
  </w:style>
  <w:style w:type="paragraph" w:styleId="Hlavika">
    <w:name w:val="header"/>
    <w:basedOn w:val="Normlny"/>
    <w:link w:val="HlavikaChar"/>
    <w:uiPriority w:val="99"/>
    <w:rsid w:val="005E5A10"/>
    <w:pPr>
      <w:tabs>
        <w:tab w:val="center" w:pos="4536"/>
        <w:tab w:val="right" w:pos="9072"/>
      </w:tabs>
    </w:pPr>
  </w:style>
  <w:style w:type="character" w:customStyle="1" w:styleId="HlavikaChar">
    <w:name w:val="Hlavička Char"/>
    <w:basedOn w:val="Predvolenpsmoodseku"/>
    <w:link w:val="Hlavika"/>
    <w:uiPriority w:val="99"/>
    <w:rsid w:val="005E5A10"/>
    <w:rPr>
      <w:rFonts w:eastAsia="Times New Roman" w:cs="Times New Roman"/>
      <w:sz w:val="24"/>
      <w:szCs w:val="24"/>
      <w:lang w:eastAsia="sk-SK"/>
    </w:rPr>
  </w:style>
  <w:style w:type="paragraph" w:styleId="Pta">
    <w:name w:val="footer"/>
    <w:basedOn w:val="Normlny"/>
    <w:link w:val="PtaChar"/>
    <w:uiPriority w:val="99"/>
    <w:rsid w:val="005E5A10"/>
    <w:pPr>
      <w:tabs>
        <w:tab w:val="center" w:pos="4536"/>
        <w:tab w:val="right" w:pos="9072"/>
      </w:tabs>
    </w:pPr>
  </w:style>
  <w:style w:type="character" w:customStyle="1" w:styleId="PtaChar">
    <w:name w:val="Päta Char"/>
    <w:basedOn w:val="Predvolenpsmoodseku"/>
    <w:link w:val="Pta"/>
    <w:uiPriority w:val="99"/>
    <w:rsid w:val="005E5A10"/>
    <w:rPr>
      <w:rFonts w:eastAsia="Times New Roman" w:cs="Times New Roman"/>
      <w:sz w:val="24"/>
      <w:szCs w:val="24"/>
      <w:lang w:eastAsia="sk-SK"/>
    </w:rPr>
  </w:style>
  <w:style w:type="character" w:styleId="slostrany">
    <w:name w:val="page number"/>
    <w:basedOn w:val="Predvolenpsmoodseku"/>
    <w:rsid w:val="005E5A10"/>
  </w:style>
  <w:style w:type="paragraph" w:styleId="Zkladntext">
    <w:name w:val="Body Text"/>
    <w:aliases w:val="b,Char, Char"/>
    <w:basedOn w:val="Normlny"/>
    <w:link w:val="ZkladntextChar"/>
    <w:rsid w:val="005E5A10"/>
  </w:style>
  <w:style w:type="character" w:customStyle="1" w:styleId="ZkladntextChar">
    <w:name w:val="Základný text Char"/>
    <w:aliases w:val="b Char,Char Char, Char Char"/>
    <w:basedOn w:val="Predvolenpsmoodseku"/>
    <w:link w:val="Zkladntext"/>
    <w:rsid w:val="005E5A10"/>
    <w:rPr>
      <w:rFonts w:eastAsia="Times New Roman" w:cs="Times New Roman"/>
      <w:sz w:val="24"/>
      <w:szCs w:val="24"/>
      <w:lang w:eastAsia="sk-SK"/>
    </w:rPr>
  </w:style>
  <w:style w:type="paragraph" w:styleId="Zkladntext3">
    <w:name w:val="Body Text 3"/>
    <w:basedOn w:val="Normlny"/>
    <w:link w:val="Zkladntext3Char"/>
    <w:rsid w:val="005E5A10"/>
    <w:pPr>
      <w:spacing w:after="120"/>
    </w:pPr>
    <w:rPr>
      <w:sz w:val="16"/>
      <w:szCs w:val="16"/>
    </w:rPr>
  </w:style>
  <w:style w:type="character" w:customStyle="1" w:styleId="Zkladntext3Char">
    <w:name w:val="Základný text 3 Char"/>
    <w:basedOn w:val="Predvolenpsmoodseku"/>
    <w:link w:val="Zkladntext3"/>
    <w:rsid w:val="005E5A10"/>
    <w:rPr>
      <w:rFonts w:eastAsia="Times New Roman" w:cs="Times New Roman"/>
      <w:sz w:val="16"/>
      <w:szCs w:val="16"/>
      <w:lang w:eastAsia="sk-SK"/>
    </w:rPr>
  </w:style>
  <w:style w:type="paragraph" w:styleId="Zkladntext2">
    <w:name w:val="Body Text 2"/>
    <w:basedOn w:val="Normlny"/>
    <w:link w:val="Zkladntext2Char"/>
    <w:rsid w:val="005E5A10"/>
    <w:pPr>
      <w:spacing w:after="120" w:line="480" w:lineRule="auto"/>
    </w:pPr>
  </w:style>
  <w:style w:type="character" w:customStyle="1" w:styleId="Zkladntext2Char">
    <w:name w:val="Základný text 2 Char"/>
    <w:basedOn w:val="Predvolenpsmoodseku"/>
    <w:link w:val="Zkladntext2"/>
    <w:rsid w:val="005E5A10"/>
    <w:rPr>
      <w:rFonts w:eastAsia="Times New Roman" w:cs="Times New Roman"/>
      <w:sz w:val="24"/>
      <w:szCs w:val="24"/>
      <w:lang w:eastAsia="sk-SK"/>
    </w:rPr>
  </w:style>
  <w:style w:type="paragraph" w:styleId="Nzov">
    <w:name w:val="Title"/>
    <w:basedOn w:val="Normlny"/>
    <w:next w:val="Normlny"/>
    <w:link w:val="NzovChar"/>
    <w:qFormat/>
    <w:rsid w:val="005E5A10"/>
    <w:pPr>
      <w:spacing w:after="480"/>
      <w:jc w:val="center"/>
    </w:pPr>
    <w:rPr>
      <w:rFonts w:eastAsia="Batang"/>
      <w:b/>
      <w:bCs/>
      <w:sz w:val="48"/>
      <w:szCs w:val="48"/>
      <w:lang w:val="en-GB"/>
    </w:rPr>
  </w:style>
  <w:style w:type="character" w:customStyle="1" w:styleId="NzovChar">
    <w:name w:val="Názov Char"/>
    <w:basedOn w:val="Predvolenpsmoodseku"/>
    <w:link w:val="Nzov"/>
    <w:rsid w:val="005E5A10"/>
    <w:rPr>
      <w:rFonts w:eastAsia="Batang" w:cs="Times New Roman"/>
      <w:b/>
      <w:bCs/>
      <w:sz w:val="48"/>
      <w:szCs w:val="48"/>
      <w:lang w:val="en-GB" w:eastAsia="sk-SK"/>
    </w:rPr>
  </w:style>
  <w:style w:type="paragraph" w:styleId="Obyajntext">
    <w:name w:val="Plain Text"/>
    <w:basedOn w:val="Normlny"/>
    <w:link w:val="ObyajntextChar"/>
    <w:uiPriority w:val="99"/>
    <w:rsid w:val="005E5A10"/>
    <w:rPr>
      <w:rFonts w:ascii="Courier New" w:eastAsia="Batang" w:hAnsi="Courier New"/>
      <w:sz w:val="20"/>
      <w:szCs w:val="20"/>
      <w:lang w:val="en-GB"/>
    </w:rPr>
  </w:style>
  <w:style w:type="character" w:customStyle="1" w:styleId="ObyajntextChar">
    <w:name w:val="Obyčajný text Char"/>
    <w:basedOn w:val="Predvolenpsmoodseku"/>
    <w:link w:val="Obyajntext"/>
    <w:uiPriority w:val="99"/>
    <w:rsid w:val="005E5A10"/>
    <w:rPr>
      <w:rFonts w:ascii="Courier New" w:eastAsia="Batang" w:hAnsi="Courier New" w:cs="Times New Roman"/>
      <w:sz w:val="20"/>
      <w:szCs w:val="20"/>
      <w:lang w:val="en-GB" w:eastAsia="sk-SK"/>
    </w:rPr>
  </w:style>
  <w:style w:type="paragraph" w:styleId="Zarkazkladnhotextu">
    <w:name w:val="Body Text Indent"/>
    <w:basedOn w:val="Normlny"/>
    <w:link w:val="ZarkazkladnhotextuChar"/>
    <w:rsid w:val="005E5A10"/>
    <w:pPr>
      <w:spacing w:after="120"/>
      <w:ind w:left="283"/>
    </w:pPr>
  </w:style>
  <w:style w:type="character" w:customStyle="1" w:styleId="ZarkazkladnhotextuChar">
    <w:name w:val="Zarážka základného textu Char"/>
    <w:basedOn w:val="Predvolenpsmoodseku"/>
    <w:link w:val="Zarkazkladnhotextu"/>
    <w:rsid w:val="005E5A10"/>
    <w:rPr>
      <w:rFonts w:eastAsia="Times New Roman" w:cs="Times New Roman"/>
      <w:sz w:val="24"/>
      <w:szCs w:val="24"/>
      <w:lang w:eastAsia="sk-SK"/>
    </w:rPr>
  </w:style>
  <w:style w:type="paragraph" w:styleId="PredformtovanHTML">
    <w:name w:val="HTML Preformatted"/>
    <w:basedOn w:val="Normlny"/>
    <w:link w:val="PredformtovanHTMLChar"/>
    <w:rsid w:val="005E5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dformtovanHTMLChar">
    <w:name w:val="Predformátované HTML Char"/>
    <w:basedOn w:val="Predvolenpsmoodseku"/>
    <w:link w:val="PredformtovanHTML"/>
    <w:rsid w:val="005E5A10"/>
    <w:rPr>
      <w:rFonts w:ascii="Courier New" w:eastAsia="Times New Roman" w:hAnsi="Courier New" w:cs="Times New Roman"/>
      <w:sz w:val="20"/>
      <w:szCs w:val="20"/>
      <w:lang w:eastAsia="sk-SK"/>
    </w:rPr>
  </w:style>
  <w:style w:type="paragraph" w:customStyle="1" w:styleId="Normlny0">
    <w:name w:val="Normálny~"/>
    <w:basedOn w:val="Normlny"/>
    <w:rsid w:val="005E5A10"/>
    <w:pPr>
      <w:widowControl w:val="0"/>
    </w:pPr>
    <w:rPr>
      <w:noProof/>
    </w:rPr>
  </w:style>
  <w:style w:type="paragraph" w:customStyle="1" w:styleId="NormlnyWWW">
    <w:name w:val="Normálny (WWW)"/>
    <w:basedOn w:val="Normlny"/>
    <w:rsid w:val="005E5A10"/>
    <w:rPr>
      <w:b/>
      <w:smallCaps/>
      <w:szCs w:val="20"/>
    </w:rPr>
  </w:style>
  <w:style w:type="paragraph" w:styleId="Zarkazkladnhotextu2">
    <w:name w:val="Body Text Indent 2"/>
    <w:basedOn w:val="Normlny"/>
    <w:link w:val="Zarkazkladnhotextu2Char"/>
    <w:rsid w:val="005E5A10"/>
    <w:pPr>
      <w:spacing w:after="120" w:line="480" w:lineRule="auto"/>
      <w:ind w:left="283"/>
    </w:pPr>
  </w:style>
  <w:style w:type="character" w:customStyle="1" w:styleId="Zarkazkladnhotextu2Char">
    <w:name w:val="Zarážka základného textu 2 Char"/>
    <w:basedOn w:val="Predvolenpsmoodseku"/>
    <w:link w:val="Zarkazkladnhotextu2"/>
    <w:rsid w:val="005E5A10"/>
    <w:rPr>
      <w:rFonts w:eastAsia="Times New Roman" w:cs="Times New Roman"/>
      <w:sz w:val="24"/>
      <w:szCs w:val="24"/>
      <w:lang w:eastAsia="sk-SK"/>
    </w:rPr>
  </w:style>
  <w:style w:type="paragraph" w:customStyle="1" w:styleId="Styl1">
    <w:name w:val="Styl1"/>
    <w:basedOn w:val="Normlny"/>
    <w:rsid w:val="005E5A10"/>
    <w:pPr>
      <w:suppressAutoHyphens/>
    </w:pPr>
    <w:rPr>
      <w:rFonts w:ascii="Arial" w:hAnsi="Arial"/>
      <w:sz w:val="22"/>
      <w:szCs w:val="20"/>
      <w:lang w:eastAsia="ar-SA"/>
    </w:rPr>
  </w:style>
  <w:style w:type="paragraph" w:styleId="Zarkazkladnhotextu3">
    <w:name w:val="Body Text Indent 3"/>
    <w:basedOn w:val="Normlny"/>
    <w:link w:val="Zarkazkladnhotextu3Char"/>
    <w:rsid w:val="005E5A10"/>
    <w:pPr>
      <w:spacing w:after="120"/>
      <w:ind w:left="283"/>
    </w:pPr>
    <w:rPr>
      <w:sz w:val="16"/>
      <w:szCs w:val="16"/>
    </w:rPr>
  </w:style>
  <w:style w:type="character" w:customStyle="1" w:styleId="Zarkazkladnhotextu3Char">
    <w:name w:val="Zarážka základného textu 3 Char"/>
    <w:basedOn w:val="Predvolenpsmoodseku"/>
    <w:link w:val="Zarkazkladnhotextu3"/>
    <w:rsid w:val="005E5A10"/>
    <w:rPr>
      <w:rFonts w:eastAsia="Times New Roman" w:cs="Times New Roman"/>
      <w:sz w:val="16"/>
      <w:szCs w:val="16"/>
      <w:lang w:eastAsia="sk-SK"/>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5E5A10"/>
    <w:pPr>
      <w:spacing w:before="100" w:beforeAutospacing="1" w:after="100" w:afterAutospacing="1"/>
    </w:pPr>
    <w:rPr>
      <w:rFonts w:ascii="Verdana" w:hAnsi="Verdana" w:cs="Verdana"/>
      <w:sz w:val="15"/>
      <w:szCs w:val="15"/>
      <w:lang w:val="cs-CZ" w:eastAsia="cs-CZ"/>
    </w:rPr>
  </w:style>
  <w:style w:type="paragraph" w:customStyle="1" w:styleId="WW-Zkladntext2">
    <w:name w:val="WW-Základný text 2"/>
    <w:basedOn w:val="Normlny"/>
    <w:rsid w:val="005E5A10"/>
    <w:pPr>
      <w:suppressAutoHyphens/>
      <w:overflowPunct w:val="0"/>
      <w:autoSpaceDE w:val="0"/>
      <w:textAlignment w:val="baseline"/>
    </w:pPr>
  </w:style>
  <w:style w:type="paragraph" w:customStyle="1" w:styleId="WW-Zkladntextodsazen2">
    <w:name w:val="WW-Základní text odsazený 2"/>
    <w:basedOn w:val="Normlny"/>
    <w:rsid w:val="005E5A10"/>
    <w:pPr>
      <w:suppressAutoHyphens/>
      <w:ind w:left="1080"/>
      <w:jc w:val="center"/>
    </w:pPr>
    <w:rPr>
      <w:lang w:eastAsia="ar-SA"/>
    </w:rPr>
  </w:style>
  <w:style w:type="paragraph" w:styleId="Popis">
    <w:name w:val="caption"/>
    <w:basedOn w:val="Normlny"/>
    <w:next w:val="Normlny"/>
    <w:qFormat/>
    <w:rsid w:val="005E5A10"/>
    <w:pPr>
      <w:ind w:firstLine="708"/>
    </w:pPr>
    <w:rPr>
      <w:szCs w:val="20"/>
    </w:rPr>
  </w:style>
  <w:style w:type="paragraph" w:customStyle="1" w:styleId="Char">
    <w:name w:val="ΚΕΙΜΕΝΟ Char"/>
    <w:basedOn w:val="Normlny"/>
    <w:rsid w:val="005E5A10"/>
    <w:pPr>
      <w:spacing w:before="120" w:after="120"/>
    </w:pPr>
    <w:rPr>
      <w:rFonts w:ascii="Arial" w:hAnsi="Arial"/>
      <w:spacing w:val="-5"/>
      <w:sz w:val="22"/>
      <w:szCs w:val="20"/>
    </w:rPr>
  </w:style>
  <w:style w:type="paragraph" w:customStyle="1" w:styleId="Normln">
    <w:name w:val="Normální~"/>
    <w:basedOn w:val="Normlny"/>
    <w:rsid w:val="005E5A10"/>
    <w:pPr>
      <w:suppressAutoHyphens/>
      <w:overflowPunct w:val="0"/>
      <w:autoSpaceDE w:val="0"/>
      <w:spacing w:line="228" w:lineRule="auto"/>
      <w:textAlignment w:val="baseline"/>
    </w:pPr>
    <w:rPr>
      <w:lang w:eastAsia="ar-SA"/>
    </w:rPr>
  </w:style>
  <w:style w:type="paragraph" w:customStyle="1" w:styleId="BodyText1">
    <w:name w:val="Body Text1"/>
    <w:basedOn w:val="Normlny"/>
    <w:rsid w:val="005E5A10"/>
    <w:pPr>
      <w:suppressAutoHyphens/>
      <w:autoSpaceDE w:val="0"/>
    </w:pPr>
    <w:rPr>
      <w:lang w:eastAsia="ar-SA"/>
    </w:rPr>
  </w:style>
  <w:style w:type="character" w:customStyle="1" w:styleId="WW-Absatz-Standardschriftart">
    <w:name w:val="WW-Absatz-Standardschriftart"/>
    <w:rsid w:val="005E5A10"/>
  </w:style>
  <w:style w:type="character" w:styleId="Siln">
    <w:name w:val="Strong"/>
    <w:uiPriority w:val="22"/>
    <w:qFormat/>
    <w:rsid w:val="005E5A10"/>
    <w:rPr>
      <w:b/>
      <w:bCs/>
    </w:rPr>
  </w:style>
  <w:style w:type="paragraph" w:customStyle="1" w:styleId="iz">
    <w:name w:val="iz"/>
    <w:basedOn w:val="Normlny"/>
    <w:uiPriority w:val="99"/>
    <w:rsid w:val="005E5A10"/>
    <w:pPr>
      <w:spacing w:before="135" w:after="15"/>
      <w:ind w:firstLine="450"/>
    </w:pPr>
    <w:rPr>
      <w:rFonts w:ascii="Verdana" w:hAnsi="Verdana"/>
      <w:sz w:val="18"/>
      <w:szCs w:val="18"/>
    </w:rPr>
  </w:style>
  <w:style w:type="paragraph" w:customStyle="1" w:styleId="Predvolenpsmoodseku1">
    <w:name w:val="Predvolené písmo odseku1"/>
    <w:aliases w:val="Car Char Char Char Char Char Char Char Char Char Char Char Char Char Char Char Char,Car Char Char Char Char Char Char Char Char Char Char Char Char Char Char Char Char Char Char Char"/>
    <w:basedOn w:val="Normlny"/>
    <w:rsid w:val="005E5A10"/>
    <w:pPr>
      <w:spacing w:after="160" w:line="240" w:lineRule="exact"/>
    </w:pPr>
    <w:rPr>
      <w:rFonts w:ascii="Tahoma" w:hAnsi="Tahoma" w:cs="Tahoma"/>
      <w:sz w:val="20"/>
      <w:szCs w:val="20"/>
      <w:lang w:val="en-US" w:eastAsia="en-US"/>
    </w:rPr>
  </w:style>
  <w:style w:type="paragraph" w:customStyle="1" w:styleId="Zkladntext1">
    <w:name w:val="Základní text1"/>
    <w:basedOn w:val="Normlny"/>
    <w:rsid w:val="005E5A10"/>
    <w:pPr>
      <w:widowControl w:val="0"/>
    </w:pPr>
    <w:rPr>
      <w:lang w:val="cs-CZ" w:eastAsia="cs-CZ"/>
    </w:rPr>
  </w:style>
  <w:style w:type="paragraph" w:customStyle="1" w:styleId="WW-Obsahtabuky11111111111111111111111111111111111111111111111111111111111111111111111111111111111111111111111111111111">
    <w:name w:val="WW-Obsah tabuľky11111111111111111111111111111111111111111111111111111111111111111111111111111111111111111111111111111111"/>
    <w:basedOn w:val="Zkladntext"/>
    <w:rsid w:val="005E5A10"/>
    <w:pPr>
      <w:widowControl w:val="0"/>
      <w:suppressLineNumbers/>
      <w:suppressAutoHyphens/>
      <w:spacing w:after="120"/>
      <w:jc w:val="left"/>
    </w:pPr>
  </w:style>
  <w:style w:type="paragraph" w:customStyle="1" w:styleId="WW-Nadpistabuky11111111111111111111111111111111111111111111111111111111111111111111111111111111111111111111111111111111">
    <w:name w:val="WW-Nadpis tabuľky11111111111111111111111111111111111111111111111111111111111111111111111111111111111111111111111111111111"/>
    <w:basedOn w:val="WW-Obsahtabuky11111111111111111111111111111111111111111111111111111111111111111111111111111111111111111111111111111111"/>
    <w:rsid w:val="005E5A10"/>
    <w:pPr>
      <w:jc w:val="center"/>
    </w:pPr>
    <w:rPr>
      <w:b/>
      <w:bCs/>
      <w:i/>
      <w:iCs/>
    </w:rPr>
  </w:style>
  <w:style w:type="paragraph" w:styleId="Zoznam">
    <w:name w:val="List"/>
    <w:basedOn w:val="Zkladntext"/>
    <w:rsid w:val="005E5A10"/>
    <w:pPr>
      <w:suppressAutoHyphens/>
    </w:pPr>
  </w:style>
  <w:style w:type="paragraph" w:customStyle="1" w:styleId="Zarkazkladnhotextu21">
    <w:name w:val="Zarážka základného textu 21"/>
    <w:basedOn w:val="Normlny"/>
    <w:rsid w:val="005E5A10"/>
    <w:pPr>
      <w:suppressAutoHyphens/>
      <w:ind w:firstLine="708"/>
    </w:pPr>
    <w:rPr>
      <w:lang w:eastAsia="ar-SA"/>
    </w:rPr>
  </w:style>
  <w:style w:type="paragraph" w:customStyle="1" w:styleId="Obyajntext1">
    <w:name w:val="Obyčajný text1"/>
    <w:basedOn w:val="Normlny"/>
    <w:rsid w:val="005E5A10"/>
    <w:pPr>
      <w:suppressAutoHyphens/>
    </w:pPr>
    <w:rPr>
      <w:rFonts w:ascii="Courier New" w:hAnsi="Courier New" w:cs="Courier New"/>
      <w:sz w:val="20"/>
      <w:szCs w:val="20"/>
      <w:lang w:eastAsia="ar-SA"/>
    </w:rPr>
  </w:style>
  <w:style w:type="paragraph" w:customStyle="1" w:styleId="Obsahrmca">
    <w:name w:val="Obsah rámca"/>
    <w:basedOn w:val="Zkladntext"/>
    <w:rsid w:val="005E5A10"/>
    <w:pPr>
      <w:suppressAutoHyphens/>
      <w:overflowPunct w:val="0"/>
      <w:autoSpaceDE w:val="0"/>
      <w:autoSpaceDN w:val="0"/>
      <w:adjustRightInd w:val="0"/>
    </w:pPr>
  </w:style>
  <w:style w:type="character" w:customStyle="1" w:styleId="ra">
    <w:name w:val="ra"/>
    <w:basedOn w:val="Predvolenpsmoodseku"/>
    <w:uiPriority w:val="99"/>
    <w:rsid w:val="005E5A10"/>
  </w:style>
  <w:style w:type="paragraph" w:customStyle="1" w:styleId="Odsekzoznamu1">
    <w:name w:val="Odsek zoznamu1"/>
    <w:basedOn w:val="Normlny"/>
    <w:rsid w:val="005E5A10"/>
    <w:pPr>
      <w:widowControl w:val="0"/>
      <w:suppressAutoHyphens/>
      <w:ind w:left="720"/>
    </w:pPr>
  </w:style>
  <w:style w:type="paragraph" w:customStyle="1" w:styleId="WW-Zkladntext3">
    <w:name w:val="WW-Základní text 3"/>
    <w:basedOn w:val="Normlny"/>
    <w:rsid w:val="005E5A10"/>
    <w:pPr>
      <w:widowControl w:val="0"/>
      <w:tabs>
        <w:tab w:val="left" w:pos="720"/>
      </w:tabs>
      <w:suppressAutoHyphens/>
    </w:pPr>
  </w:style>
  <w:style w:type="character" w:customStyle="1" w:styleId="Internetlink">
    <w:name w:val="Internet link"/>
    <w:rsid w:val="005E5A10"/>
    <w:rPr>
      <w:rFonts w:eastAsia="Times New Roman"/>
      <w:color w:val="0000FF"/>
      <w:u w:val="single"/>
    </w:rPr>
  </w:style>
  <w:style w:type="paragraph" w:customStyle="1" w:styleId="WW-Zkladntext30">
    <w:name w:val="WW-Základný text 3"/>
    <w:basedOn w:val="Normlny"/>
    <w:rsid w:val="005E5A10"/>
    <w:pPr>
      <w:tabs>
        <w:tab w:val="left" w:pos="720"/>
      </w:tabs>
      <w:suppressAutoHyphens/>
    </w:pPr>
    <w:rPr>
      <w:lang w:eastAsia="ar-SA"/>
    </w:rPr>
  </w:style>
  <w:style w:type="paragraph" w:styleId="Podtitul">
    <w:name w:val="Subtitle"/>
    <w:basedOn w:val="Normlny"/>
    <w:link w:val="PodtitulChar"/>
    <w:qFormat/>
    <w:rsid w:val="005E5A10"/>
    <w:rPr>
      <w:i/>
      <w:iCs/>
      <w:sz w:val="28"/>
      <w:szCs w:val="28"/>
      <w:lang w:eastAsia="cs-CZ"/>
    </w:rPr>
  </w:style>
  <w:style w:type="character" w:customStyle="1" w:styleId="PodtitulChar">
    <w:name w:val="Podtitul Char"/>
    <w:basedOn w:val="Predvolenpsmoodseku"/>
    <w:link w:val="Podtitul"/>
    <w:rsid w:val="005E5A10"/>
    <w:rPr>
      <w:rFonts w:eastAsia="Times New Roman" w:cs="Times New Roman"/>
      <w:i/>
      <w:iCs/>
      <w:sz w:val="28"/>
      <w:szCs w:val="28"/>
      <w:lang w:eastAsia="cs-CZ"/>
    </w:rPr>
  </w:style>
  <w:style w:type="paragraph" w:customStyle="1" w:styleId="WW-Obyajntext">
    <w:name w:val="WW-Obyčajný text"/>
    <w:basedOn w:val="Normlny"/>
    <w:rsid w:val="005E5A10"/>
    <w:pPr>
      <w:suppressAutoHyphens/>
    </w:pPr>
    <w:rPr>
      <w:rFonts w:ascii="Courier New" w:hAnsi="Courier New" w:cs="Courier New"/>
      <w:sz w:val="20"/>
      <w:szCs w:val="20"/>
      <w:lang w:eastAsia="ar-SA"/>
    </w:rPr>
  </w:style>
  <w:style w:type="paragraph" w:customStyle="1" w:styleId="Normln0">
    <w:name w:val="Norm‡ln’"/>
    <w:rsid w:val="005E5A10"/>
    <w:pPr>
      <w:overflowPunct w:val="0"/>
      <w:autoSpaceDE w:val="0"/>
      <w:autoSpaceDN w:val="0"/>
      <w:adjustRightInd w:val="0"/>
      <w:spacing w:after="40" w:line="360" w:lineRule="auto"/>
      <w:ind w:left="714" w:hanging="357"/>
      <w:jc w:val="both"/>
      <w:textAlignment w:val="baseline"/>
    </w:pPr>
    <w:rPr>
      <w:rFonts w:ascii="Times New Roman" w:eastAsia="Times New Roman" w:hAnsi="Times New Roman" w:cs="Times New Roman"/>
      <w:sz w:val="20"/>
      <w:szCs w:val="20"/>
      <w:lang w:val="cs-CZ" w:eastAsia="sk-SK"/>
    </w:rPr>
  </w:style>
  <w:style w:type="paragraph" w:customStyle="1" w:styleId="WW-Normlnywebov">
    <w:name w:val="WW-Normálny (webový)"/>
    <w:basedOn w:val="Normlny"/>
    <w:rsid w:val="005E5A10"/>
    <w:pPr>
      <w:suppressAutoHyphens/>
      <w:spacing w:before="280" w:after="119"/>
    </w:pPr>
    <w:rPr>
      <w:lang w:eastAsia="ar-SA"/>
    </w:rPr>
  </w:style>
  <w:style w:type="paragraph" w:customStyle="1" w:styleId="CharChar1">
    <w:name w:val="Char Char1"/>
    <w:basedOn w:val="Normlny"/>
    <w:rsid w:val="005E5A10"/>
    <w:pPr>
      <w:spacing w:after="160" w:line="240" w:lineRule="exact"/>
    </w:pPr>
    <w:rPr>
      <w:rFonts w:ascii="Tahoma" w:hAnsi="Tahoma" w:cs="Tahoma"/>
      <w:sz w:val="20"/>
      <w:szCs w:val="20"/>
      <w:lang w:val="en-US" w:eastAsia="en-US"/>
    </w:rPr>
  </w:style>
  <w:style w:type="character" w:styleId="Odkaznakomentr">
    <w:name w:val="annotation reference"/>
    <w:uiPriority w:val="99"/>
    <w:rsid w:val="005E5A10"/>
    <w:rPr>
      <w:sz w:val="16"/>
      <w:szCs w:val="16"/>
    </w:rPr>
  </w:style>
  <w:style w:type="paragraph" w:styleId="Textkomentra">
    <w:name w:val="annotation text"/>
    <w:basedOn w:val="Normlny"/>
    <w:link w:val="TextkomentraChar"/>
    <w:uiPriority w:val="99"/>
    <w:semiHidden/>
    <w:qFormat/>
    <w:rsid w:val="005E5A10"/>
    <w:rPr>
      <w:sz w:val="20"/>
      <w:szCs w:val="20"/>
    </w:rPr>
  </w:style>
  <w:style w:type="character" w:customStyle="1" w:styleId="TextkomentraChar">
    <w:name w:val="Text komentára Char"/>
    <w:basedOn w:val="Predvolenpsmoodseku"/>
    <w:link w:val="Textkomentra"/>
    <w:uiPriority w:val="99"/>
    <w:semiHidden/>
    <w:qFormat/>
    <w:rsid w:val="005E5A10"/>
    <w:rPr>
      <w:rFonts w:eastAsia="Times New Roman" w:cs="Times New Roman"/>
      <w:sz w:val="20"/>
      <w:szCs w:val="20"/>
      <w:lang w:eastAsia="sk-SK"/>
    </w:rPr>
  </w:style>
  <w:style w:type="paragraph" w:styleId="Predmetkomentra">
    <w:name w:val="annotation subject"/>
    <w:basedOn w:val="Textkomentra"/>
    <w:next w:val="Textkomentra"/>
    <w:link w:val="PredmetkomentraChar"/>
    <w:semiHidden/>
    <w:rsid w:val="005E5A10"/>
    <w:rPr>
      <w:b/>
      <w:bCs/>
    </w:rPr>
  </w:style>
  <w:style w:type="character" w:customStyle="1" w:styleId="PredmetkomentraChar">
    <w:name w:val="Predmet komentára Char"/>
    <w:basedOn w:val="TextkomentraChar"/>
    <w:link w:val="Predmetkomentra"/>
    <w:semiHidden/>
    <w:rsid w:val="005E5A10"/>
    <w:rPr>
      <w:rFonts w:eastAsia="Times New Roman" w:cs="Times New Roman"/>
      <w:b/>
      <w:bCs/>
      <w:sz w:val="20"/>
      <w:szCs w:val="20"/>
      <w:lang w:eastAsia="sk-SK"/>
    </w:rPr>
  </w:style>
  <w:style w:type="paragraph" w:styleId="Bezriadkovania">
    <w:name w:val="No Spacing"/>
    <w:uiPriority w:val="1"/>
    <w:qFormat/>
    <w:rsid w:val="005E5A10"/>
    <w:pPr>
      <w:spacing w:after="40" w:line="360" w:lineRule="auto"/>
      <w:ind w:left="714" w:hanging="357"/>
      <w:jc w:val="both"/>
    </w:pPr>
    <w:rPr>
      <w:rFonts w:ascii="Times New Roman" w:eastAsia="Times New Roman" w:hAnsi="Times New Roman" w:cs="Times New Roman"/>
      <w:sz w:val="20"/>
      <w:szCs w:val="20"/>
      <w:lang w:eastAsia="sk-SK"/>
    </w:rPr>
  </w:style>
  <w:style w:type="paragraph" w:styleId="Hlavikaobsahu">
    <w:name w:val="TOC Heading"/>
    <w:basedOn w:val="Nadpis1"/>
    <w:next w:val="Normlny"/>
    <w:uiPriority w:val="39"/>
    <w:semiHidden/>
    <w:unhideWhenUsed/>
    <w:qFormat/>
    <w:rsid w:val="005E5A10"/>
    <w:pPr>
      <w:keepLines/>
      <w:spacing w:before="480" w:line="276" w:lineRule="auto"/>
      <w:outlineLvl w:val="9"/>
    </w:pPr>
    <w:rPr>
      <w:rFonts w:ascii="Cambria" w:hAnsi="Cambria"/>
      <w:color w:val="365F91"/>
      <w:sz w:val="28"/>
      <w:szCs w:val="28"/>
      <w:lang w:eastAsia="en-US"/>
    </w:rPr>
  </w:style>
  <w:style w:type="paragraph" w:styleId="Obsah6">
    <w:name w:val="toc 6"/>
    <w:basedOn w:val="Normlny"/>
    <w:next w:val="Normlny"/>
    <w:autoRedefine/>
    <w:uiPriority w:val="39"/>
    <w:rsid w:val="005E5A10"/>
    <w:pPr>
      <w:ind w:left="1200"/>
    </w:pPr>
    <w:rPr>
      <w:rFonts w:ascii="Calibri" w:hAnsi="Calibri"/>
      <w:sz w:val="18"/>
      <w:szCs w:val="18"/>
    </w:rPr>
  </w:style>
  <w:style w:type="paragraph" w:styleId="Obsah7">
    <w:name w:val="toc 7"/>
    <w:basedOn w:val="Normlny"/>
    <w:next w:val="Normlny"/>
    <w:autoRedefine/>
    <w:uiPriority w:val="39"/>
    <w:rsid w:val="005E5A10"/>
    <w:pPr>
      <w:ind w:left="1440"/>
    </w:pPr>
    <w:rPr>
      <w:rFonts w:ascii="Calibri" w:hAnsi="Calibri"/>
      <w:sz w:val="18"/>
      <w:szCs w:val="18"/>
    </w:rPr>
  </w:style>
  <w:style w:type="paragraph" w:styleId="Obsah8">
    <w:name w:val="toc 8"/>
    <w:basedOn w:val="Normlny"/>
    <w:next w:val="Normlny"/>
    <w:autoRedefine/>
    <w:uiPriority w:val="39"/>
    <w:rsid w:val="005E5A10"/>
    <w:pPr>
      <w:ind w:left="1680"/>
    </w:pPr>
    <w:rPr>
      <w:rFonts w:ascii="Calibri" w:hAnsi="Calibri"/>
      <w:sz w:val="18"/>
      <w:szCs w:val="18"/>
    </w:rPr>
  </w:style>
  <w:style w:type="paragraph" w:styleId="Obsah9">
    <w:name w:val="toc 9"/>
    <w:basedOn w:val="Normlny"/>
    <w:next w:val="Normlny"/>
    <w:autoRedefine/>
    <w:uiPriority w:val="39"/>
    <w:rsid w:val="005E5A10"/>
    <w:pPr>
      <w:ind w:left="1920"/>
    </w:pPr>
    <w:rPr>
      <w:rFonts w:ascii="Calibri" w:hAnsi="Calibri"/>
      <w:sz w:val="18"/>
      <w:szCs w:val="18"/>
    </w:rPr>
  </w:style>
  <w:style w:type="paragraph" w:styleId="truktradokumentu">
    <w:name w:val="Document Map"/>
    <w:basedOn w:val="Normlny"/>
    <w:link w:val="truktradokumentuChar"/>
    <w:rsid w:val="005E5A10"/>
    <w:rPr>
      <w:rFonts w:ascii="Tahoma" w:hAnsi="Tahoma"/>
      <w:sz w:val="16"/>
      <w:szCs w:val="16"/>
    </w:rPr>
  </w:style>
  <w:style w:type="character" w:customStyle="1" w:styleId="truktradokumentuChar">
    <w:name w:val="Štruktúra dokumentu Char"/>
    <w:basedOn w:val="Predvolenpsmoodseku"/>
    <w:link w:val="truktradokumentu"/>
    <w:rsid w:val="005E5A10"/>
    <w:rPr>
      <w:rFonts w:ascii="Tahoma" w:eastAsia="Times New Roman" w:hAnsi="Tahoma" w:cs="Times New Roman"/>
      <w:sz w:val="16"/>
      <w:szCs w:val="16"/>
      <w:lang w:eastAsia="sk-SK"/>
    </w:rPr>
  </w:style>
  <w:style w:type="paragraph" w:customStyle="1" w:styleId="Bezriadkovania1">
    <w:name w:val="Bez riadkovania1"/>
    <w:uiPriority w:val="99"/>
    <w:rsid w:val="005E5A10"/>
    <w:pPr>
      <w:spacing w:after="40" w:line="360" w:lineRule="auto"/>
      <w:ind w:left="714" w:hanging="357"/>
      <w:jc w:val="both"/>
    </w:pPr>
    <w:rPr>
      <w:rFonts w:ascii="Calibri" w:eastAsia="Times New Roman" w:hAnsi="Calibri" w:cs="Calibri"/>
    </w:rPr>
  </w:style>
  <w:style w:type="table" w:styleId="Elegantntabuka">
    <w:name w:val="Table Elegant"/>
    <w:basedOn w:val="Normlnatabuka"/>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ouitHypertextovPrepojenie">
    <w:name w:val="FollowedHyperlink"/>
    <w:rsid w:val="005E5A10"/>
    <w:rPr>
      <w:color w:val="800080"/>
      <w:u w:val="single"/>
    </w:rPr>
  </w:style>
  <w:style w:type="paragraph" w:customStyle="1" w:styleId="CharCharCharChar1">
    <w:name w:val="Char Char Char Char1"/>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Char1">
    <w:name w:val="Char1"/>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
    <w:name w:val="Char Char Char"/>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Char">
    <w:name w:val="Char Char Char Char"/>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Obsahtabuky">
    <w:name w:val="Obsah tabuľky"/>
    <w:basedOn w:val="Zkladntext"/>
    <w:rsid w:val="005E5A10"/>
    <w:pPr>
      <w:widowControl w:val="0"/>
      <w:suppressLineNumbers/>
      <w:suppressAutoHyphens/>
      <w:spacing w:after="120"/>
      <w:ind w:firstLine="0"/>
      <w:jc w:val="left"/>
    </w:pPr>
    <w:rPr>
      <w:rFonts w:eastAsia="Lucida Sans Unicode"/>
      <w:szCs w:val="20"/>
      <w:lang w:eastAsia="en-US"/>
    </w:rPr>
  </w:style>
  <w:style w:type="paragraph" w:styleId="Normlnysozarkami">
    <w:name w:val="Normal Indent"/>
    <w:basedOn w:val="Normlny"/>
    <w:link w:val="NormlnysozarkamiChar"/>
    <w:uiPriority w:val="99"/>
    <w:qFormat/>
    <w:rsid w:val="005E5A10"/>
    <w:pPr>
      <w:spacing w:after="0"/>
      <w:ind w:firstLine="357"/>
    </w:pPr>
    <w:rPr>
      <w:sz w:val="22"/>
    </w:rPr>
  </w:style>
  <w:style w:type="paragraph" w:customStyle="1" w:styleId="bullet1">
    <w:name w:val="bullet1"/>
    <w:basedOn w:val="Odsekzoznamu2"/>
    <w:link w:val="bullet1Char"/>
    <w:qFormat/>
    <w:rsid w:val="005E5A10"/>
    <w:pPr>
      <w:spacing w:line="360" w:lineRule="auto"/>
      <w:ind w:left="0"/>
    </w:pPr>
    <w:rPr>
      <w:b/>
      <w:sz w:val="24"/>
      <w:szCs w:val="24"/>
    </w:rPr>
  </w:style>
  <w:style w:type="character" w:customStyle="1" w:styleId="NormlnysozarkamiChar">
    <w:name w:val="Normálny so zarážkami Char"/>
    <w:link w:val="Normlnysozarkami"/>
    <w:uiPriority w:val="99"/>
    <w:locked/>
    <w:rsid w:val="005E5A10"/>
    <w:rPr>
      <w:rFonts w:eastAsia="Times New Roman" w:cs="Times New Roman"/>
      <w:szCs w:val="24"/>
      <w:lang w:eastAsia="sk-SK"/>
    </w:rPr>
  </w:style>
  <w:style w:type="character" w:customStyle="1" w:styleId="bullet1Char">
    <w:name w:val="bullet1 Char"/>
    <w:link w:val="bullet1"/>
    <w:locked/>
    <w:rsid w:val="005E5A10"/>
    <w:rPr>
      <w:rFonts w:ascii="Calibri" w:eastAsia="Times New Roman" w:hAnsi="Calibri" w:cs="Times New Roman"/>
      <w:b/>
      <w:sz w:val="24"/>
      <w:szCs w:val="24"/>
    </w:r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5E5A10"/>
    <w:pPr>
      <w:spacing w:after="0"/>
      <w:ind w:firstLine="0"/>
    </w:pPr>
    <w:rPr>
      <w:sz w:val="20"/>
      <w:szCs w:val="20"/>
      <w:lang w:eastAsia="cs-CZ"/>
    </w:rPr>
  </w:style>
  <w:style w:type="character" w:customStyle="1" w:styleId="TextpoznmkypodiarouChar">
    <w:name w:val="Text poznámky pod čiarou Char"/>
    <w:aliases w:val="Text poznámky pod čiarou 007 Char,_Poznámka pod čiarou Char,stile 1 Char,Alaviitteen teksti Char Char,Alaviitteen teksti Char Char Char Char Char Char,Märk Char,Fußnotentext arial Char,Footnote Text Char2 Char,fn Char"/>
    <w:basedOn w:val="Predvolenpsmoodseku"/>
    <w:link w:val="Textpoznmkypodiarou"/>
    <w:rsid w:val="005E5A10"/>
    <w:rPr>
      <w:rFonts w:eastAsia="Times New Roman" w:cs="Times New Roman"/>
      <w:sz w:val="20"/>
      <w:szCs w:val="20"/>
      <w:lang w:eastAsia="cs-CZ"/>
    </w:rPr>
  </w:style>
  <w:style w:type="character" w:styleId="Odkaznapoznmkupodiarou">
    <w:name w:val="footnote reference"/>
    <w:aliases w:val="Footnote,Footnotes refss,FRef ISO"/>
    <w:rsid w:val="005E5A10"/>
    <w:rPr>
      <w:vertAlign w:val="superscript"/>
    </w:rPr>
  </w:style>
  <w:style w:type="paragraph" w:customStyle="1" w:styleId="Odsekzoznamu2">
    <w:name w:val="Odsek zoznamu2"/>
    <w:basedOn w:val="Normlny"/>
    <w:link w:val="Odsekzoznamu2Char"/>
    <w:rsid w:val="005E5A10"/>
    <w:pPr>
      <w:spacing w:after="200" w:line="276" w:lineRule="auto"/>
      <w:ind w:left="720" w:firstLine="0"/>
      <w:contextualSpacing/>
      <w:jc w:val="left"/>
    </w:pPr>
    <w:rPr>
      <w:rFonts w:ascii="Calibri" w:hAnsi="Calibri"/>
      <w:sz w:val="22"/>
      <w:szCs w:val="22"/>
      <w:lang w:eastAsia="en-US"/>
    </w:rPr>
  </w:style>
  <w:style w:type="character" w:customStyle="1" w:styleId="Zkladntext5">
    <w:name w:val="Základný text (5)_"/>
    <w:link w:val="Zkladntext50"/>
    <w:rsid w:val="005E5A10"/>
    <w:rPr>
      <w:rFonts w:ascii="Arial" w:eastAsia="Arial" w:hAnsi="Arial" w:cs="Arial"/>
      <w:sz w:val="18"/>
      <w:szCs w:val="18"/>
      <w:shd w:val="clear" w:color="auto" w:fill="FFFFFF"/>
    </w:rPr>
  </w:style>
  <w:style w:type="character" w:customStyle="1" w:styleId="Zkladntext20">
    <w:name w:val="Základný text (2)_"/>
    <w:link w:val="Zkladntext21"/>
    <w:rsid w:val="005E5A10"/>
    <w:rPr>
      <w:rFonts w:ascii="Arial" w:eastAsia="Arial" w:hAnsi="Arial" w:cs="Arial"/>
      <w:sz w:val="17"/>
      <w:szCs w:val="17"/>
      <w:shd w:val="clear" w:color="auto" w:fill="FFFFFF"/>
    </w:rPr>
  </w:style>
  <w:style w:type="character" w:customStyle="1" w:styleId="Zkladntext30">
    <w:name w:val="Základný text (3)_"/>
    <w:link w:val="Zkladntext31"/>
    <w:rsid w:val="005E5A10"/>
    <w:rPr>
      <w:rFonts w:ascii="Arial" w:eastAsia="Arial" w:hAnsi="Arial" w:cs="Arial"/>
      <w:sz w:val="18"/>
      <w:szCs w:val="18"/>
      <w:shd w:val="clear" w:color="auto" w:fill="FFFFFF"/>
    </w:rPr>
  </w:style>
  <w:style w:type="character" w:customStyle="1" w:styleId="Zkladntext29bodovKurzva">
    <w:name w:val="Základný text (2) + 9 bodov;Kurzíva"/>
    <w:rsid w:val="005E5A10"/>
    <w:rPr>
      <w:rFonts w:ascii="Arial" w:eastAsia="Arial" w:hAnsi="Arial" w:cs="Arial"/>
      <w:i/>
      <w:iCs/>
      <w:sz w:val="18"/>
      <w:szCs w:val="18"/>
      <w:shd w:val="clear" w:color="auto" w:fill="FFFFFF"/>
    </w:rPr>
  </w:style>
  <w:style w:type="paragraph" w:customStyle="1" w:styleId="Zkladntext50">
    <w:name w:val="Základný text (5)"/>
    <w:basedOn w:val="Normlny"/>
    <w:link w:val="Zkladntext5"/>
    <w:rsid w:val="005E5A10"/>
    <w:pPr>
      <w:shd w:val="clear" w:color="auto" w:fill="FFFFFF"/>
      <w:spacing w:after="0" w:line="0" w:lineRule="atLeast"/>
      <w:ind w:firstLine="0"/>
      <w:jc w:val="left"/>
    </w:pPr>
    <w:rPr>
      <w:rFonts w:ascii="Arial" w:eastAsia="Arial" w:hAnsi="Arial" w:cs="Arial"/>
      <w:sz w:val="18"/>
      <w:szCs w:val="18"/>
      <w:lang w:eastAsia="en-US"/>
    </w:rPr>
  </w:style>
  <w:style w:type="paragraph" w:customStyle="1" w:styleId="Zkladntext21">
    <w:name w:val="Základný text (2)"/>
    <w:basedOn w:val="Normlny"/>
    <w:link w:val="Zkladntext20"/>
    <w:rsid w:val="005E5A10"/>
    <w:pPr>
      <w:shd w:val="clear" w:color="auto" w:fill="FFFFFF"/>
      <w:spacing w:after="0" w:line="226" w:lineRule="exact"/>
      <w:ind w:firstLine="0"/>
    </w:pPr>
    <w:rPr>
      <w:rFonts w:ascii="Arial" w:eastAsia="Arial" w:hAnsi="Arial" w:cs="Arial"/>
      <w:sz w:val="17"/>
      <w:szCs w:val="17"/>
      <w:lang w:eastAsia="en-US"/>
    </w:rPr>
  </w:style>
  <w:style w:type="paragraph" w:customStyle="1" w:styleId="Zkladntext31">
    <w:name w:val="Základný text (3)"/>
    <w:basedOn w:val="Normlny"/>
    <w:link w:val="Zkladntext30"/>
    <w:rsid w:val="005E5A10"/>
    <w:pPr>
      <w:shd w:val="clear" w:color="auto" w:fill="FFFFFF"/>
      <w:spacing w:after="0" w:line="221" w:lineRule="exact"/>
      <w:ind w:firstLine="0"/>
    </w:pPr>
    <w:rPr>
      <w:rFonts w:ascii="Arial" w:eastAsia="Arial" w:hAnsi="Arial" w:cs="Arial"/>
      <w:sz w:val="18"/>
      <w:szCs w:val="18"/>
      <w:lang w:eastAsia="en-US"/>
    </w:rPr>
  </w:style>
  <w:style w:type="character" w:customStyle="1" w:styleId="Zkladntext0">
    <w:name w:val="Základný text_"/>
    <w:link w:val="Zkladntext10"/>
    <w:rsid w:val="005E5A10"/>
    <w:rPr>
      <w:rFonts w:eastAsia="Times New Roman"/>
      <w:sz w:val="21"/>
      <w:szCs w:val="21"/>
      <w:shd w:val="clear" w:color="auto" w:fill="FFFFFF"/>
    </w:rPr>
  </w:style>
  <w:style w:type="paragraph" w:customStyle="1" w:styleId="Zkladntext10">
    <w:name w:val="Základný text1"/>
    <w:basedOn w:val="Normlny"/>
    <w:link w:val="Zkladntext0"/>
    <w:rsid w:val="005E5A10"/>
    <w:pPr>
      <w:shd w:val="clear" w:color="auto" w:fill="FFFFFF"/>
      <w:spacing w:after="240" w:line="264" w:lineRule="exact"/>
      <w:ind w:firstLine="0"/>
    </w:pPr>
    <w:rPr>
      <w:rFonts w:cstheme="minorBidi"/>
      <w:sz w:val="21"/>
      <w:szCs w:val="21"/>
      <w:lang w:eastAsia="en-US"/>
    </w:rPr>
  </w:style>
  <w:style w:type="paragraph" w:customStyle="1" w:styleId="123">
    <w:name w:val="123"/>
    <w:basedOn w:val="Odsekzoznamu"/>
    <w:link w:val="123Char"/>
    <w:qFormat/>
    <w:rsid w:val="005E5A10"/>
    <w:pPr>
      <w:spacing w:before="240" w:after="60"/>
      <w:ind w:firstLine="0"/>
    </w:pPr>
    <w:rPr>
      <w:rFonts w:cs="Times New Roman"/>
      <w:b/>
      <w:sz w:val="22"/>
      <w:szCs w:val="24"/>
    </w:rPr>
  </w:style>
  <w:style w:type="character" w:customStyle="1" w:styleId="123Char">
    <w:name w:val="123 Char"/>
    <w:link w:val="123"/>
    <w:locked/>
    <w:rsid w:val="005E5A10"/>
    <w:rPr>
      <w:rFonts w:eastAsia="Times New Roman" w:cs="Times New Roman"/>
      <w:b/>
      <w:szCs w:val="24"/>
    </w:rPr>
  </w:style>
  <w:style w:type="table" w:customStyle="1" w:styleId="Svetlpodfarbeniezvraznenie11">
    <w:name w:val="Svetlé podfarbenie – zvýraznenie 11"/>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2">
    <w:name w:val="Svetlé podfarbenie – zvýraznenie 12"/>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3">
    <w:name w:val="Svetlé podfarbenie – zvýraznenie 13"/>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Intenzvnyodkaz">
    <w:name w:val="Intense Reference"/>
    <w:uiPriority w:val="32"/>
    <w:qFormat/>
    <w:rsid w:val="005E5A10"/>
    <w:rPr>
      <w:b/>
      <w:bCs/>
      <w:smallCaps/>
      <w:color w:val="C0504D"/>
      <w:spacing w:val="5"/>
      <w:u w:val="single"/>
    </w:rPr>
  </w:style>
  <w:style w:type="paragraph" w:customStyle="1" w:styleId="NormlnsWWW">
    <w:name w:val="Normální (síť WWW)"/>
    <w:basedOn w:val="Normlny"/>
    <w:uiPriority w:val="99"/>
    <w:rsid w:val="005E5A10"/>
    <w:pPr>
      <w:spacing w:before="100" w:beforeAutospacing="1" w:after="100" w:afterAutospacing="1"/>
      <w:ind w:firstLine="0"/>
      <w:jc w:val="left"/>
    </w:pPr>
    <w:rPr>
      <w:rFonts w:ascii="Arial Unicode MS" w:cs="Arial Unicode MS"/>
    </w:rPr>
  </w:style>
  <w:style w:type="paragraph" w:customStyle="1" w:styleId="Nadpis2">
    <w:name w:val="Nadpis2"/>
    <w:basedOn w:val="Nadpis1"/>
    <w:qFormat/>
    <w:rsid w:val="005E5A10"/>
    <w:pPr>
      <w:numPr>
        <w:ilvl w:val="1"/>
        <w:numId w:val="1"/>
      </w:numPr>
      <w:spacing w:before="120" w:after="120"/>
    </w:pPr>
    <w:rPr>
      <w:rFonts w:ascii="Arial Narrow" w:hAnsi="Arial Narrow"/>
      <w:szCs w:val="20"/>
      <w:lang w:val="cs-CZ"/>
    </w:rPr>
  </w:style>
  <w:style w:type="paragraph" w:customStyle="1" w:styleId="Nadpis3">
    <w:name w:val="Nadpis3"/>
    <w:basedOn w:val="Nadpis2"/>
    <w:link w:val="Nadpis3Char0"/>
    <w:qFormat/>
    <w:rsid w:val="005E5A10"/>
    <w:pPr>
      <w:numPr>
        <w:ilvl w:val="2"/>
      </w:numPr>
      <w:tabs>
        <w:tab w:val="num" w:pos="360"/>
      </w:tabs>
    </w:pPr>
    <w:rPr>
      <w:sz w:val="20"/>
    </w:rPr>
  </w:style>
  <w:style w:type="character" w:customStyle="1" w:styleId="Nadpis3Char0">
    <w:name w:val="Nadpis3 Char"/>
    <w:link w:val="Nadpis3"/>
    <w:locked/>
    <w:rsid w:val="005E5A10"/>
    <w:rPr>
      <w:rFonts w:ascii="Arial Narrow" w:eastAsia="Times New Roman" w:hAnsi="Arial Narrow" w:cs="Times New Roman"/>
      <w:b/>
      <w:color w:val="000000"/>
      <w:sz w:val="20"/>
      <w:szCs w:val="20"/>
      <w:lang w:val="cs-CZ" w:eastAsia="sk-SK"/>
    </w:rPr>
  </w:style>
  <w:style w:type="character" w:customStyle="1" w:styleId="st">
    <w:name w:val="st"/>
    <w:basedOn w:val="Predvolenpsmoodseku"/>
    <w:rsid w:val="005E5A10"/>
  </w:style>
  <w:style w:type="paragraph" w:customStyle="1" w:styleId="Zkladntext4">
    <w:name w:val="Základní text"/>
    <w:basedOn w:val="Normlny"/>
    <w:rsid w:val="005E5A10"/>
    <w:pPr>
      <w:widowControl w:val="0"/>
      <w:spacing w:after="0"/>
      <w:ind w:firstLine="0"/>
      <w:jc w:val="left"/>
    </w:pPr>
    <w:rPr>
      <w:lang w:val="cs-CZ" w:eastAsia="cs-CZ"/>
    </w:rPr>
  </w:style>
  <w:style w:type="paragraph" w:customStyle="1" w:styleId="Default">
    <w:name w:val="Default"/>
    <w:rsid w:val="005E5A10"/>
    <w:pPr>
      <w:autoSpaceDE w:val="0"/>
      <w:autoSpaceDN w:val="0"/>
      <w:adjustRightInd w:val="0"/>
      <w:spacing w:after="0" w:line="240" w:lineRule="auto"/>
    </w:pPr>
    <w:rPr>
      <w:rFonts w:ascii="Calibri" w:eastAsia="Times New Roman" w:hAnsi="Calibri" w:cs="Calibri"/>
      <w:color w:val="000000"/>
      <w:sz w:val="24"/>
      <w:szCs w:val="24"/>
      <w:lang w:eastAsia="sk-SK"/>
    </w:rPr>
  </w:style>
  <w:style w:type="character" w:customStyle="1" w:styleId="OdsekzoznamuChar">
    <w:name w:val="Odsek zoznamu Char"/>
    <w:aliases w:val="body Char,List Paragraph Char,Odsek Char,Dot pt Char,F5 List Paragraph Char,List Paragraph1 Char,No Spacing1 Char,List Paragraph Char Char Char Char,Indicator Text Char,Numbered Para 1 Char,Colorful List - Accent 11 Char,Bullet 1 Char"/>
    <w:basedOn w:val="Predvolenpsmoodseku"/>
    <w:link w:val="Odsekzoznamu"/>
    <w:uiPriority w:val="34"/>
    <w:qFormat/>
    <w:rsid w:val="005E5A10"/>
    <w:rPr>
      <w:rFonts w:eastAsia="Times New Roman" w:cs="Calibri"/>
      <w:sz w:val="24"/>
    </w:rPr>
  </w:style>
  <w:style w:type="paragraph" w:customStyle="1" w:styleId="listparagraph">
    <w:name w:val="listparagraph"/>
    <w:basedOn w:val="Normlny"/>
    <w:rsid w:val="005E5A10"/>
    <w:pPr>
      <w:spacing w:after="200" w:line="276" w:lineRule="auto"/>
      <w:ind w:left="720" w:firstLine="0"/>
      <w:jc w:val="left"/>
    </w:pPr>
    <w:rPr>
      <w:rFonts w:ascii="Calibri" w:eastAsiaTheme="minorHAnsi" w:hAnsi="Calibri" w:cs="Calibri"/>
      <w:sz w:val="22"/>
      <w:szCs w:val="22"/>
      <w:lang w:val="de-AT" w:eastAsia="de-AT"/>
    </w:rPr>
  </w:style>
  <w:style w:type="numbering" w:customStyle="1" w:styleId="Bezzoznamu1">
    <w:name w:val="Bez zoznamu1"/>
    <w:next w:val="Bezzoznamu"/>
    <w:semiHidden/>
    <w:rsid w:val="005E5A10"/>
  </w:style>
  <w:style w:type="table" w:styleId="Webovtabuka2">
    <w:name w:val="Table Web 2"/>
    <w:basedOn w:val="Normlnatabuka"/>
    <w:rsid w:val="005E5A10"/>
    <w:pPr>
      <w:spacing w:after="0" w:line="240" w:lineRule="auto"/>
    </w:pPr>
    <w:rPr>
      <w:rFonts w:ascii="Calibri" w:eastAsia="Times New Roman" w:hAnsi="Calibri"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BLOK12Prvndek063cm">
    <w:name w:val="Styl BLOK 12 + První řádek:  063 cm"/>
    <w:basedOn w:val="Normlny"/>
    <w:autoRedefine/>
    <w:rsid w:val="005E5A10"/>
    <w:pPr>
      <w:spacing w:after="0"/>
      <w:ind w:firstLine="0"/>
    </w:pPr>
    <w:rPr>
      <w:rFonts w:ascii="Calibri" w:hAnsi="Calibri"/>
      <w:i/>
      <w:szCs w:val="20"/>
    </w:rPr>
  </w:style>
  <w:style w:type="table" w:customStyle="1" w:styleId="Mriekatabuky1">
    <w:name w:val="Mriežka tabuľky1"/>
    <w:basedOn w:val="Normlnatabuka"/>
    <w:next w:val="Mriekatabuky"/>
    <w:uiPriority w:val="59"/>
    <w:rsid w:val="005E5A10"/>
    <w:pPr>
      <w:spacing w:after="0" w:line="240" w:lineRule="auto"/>
    </w:pPr>
    <w:rPr>
      <w:rFonts w:ascii="Calibri" w:eastAsia="Times New Roman"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Predvolenpsmoodseku"/>
    <w:rsid w:val="005E5A10"/>
  </w:style>
  <w:style w:type="paragraph" w:customStyle="1" w:styleId="Normlnysozarkami11">
    <w:name w:val="Normálny so zarážkami11"/>
    <w:basedOn w:val="Normlny"/>
    <w:qFormat/>
    <w:rsid w:val="005E5A10"/>
    <w:pPr>
      <w:spacing w:after="0"/>
      <w:ind w:firstLine="357"/>
    </w:pPr>
    <w:rPr>
      <w:sz w:val="22"/>
    </w:rPr>
  </w:style>
  <w:style w:type="paragraph" w:customStyle="1" w:styleId="Normlnysozarkami1">
    <w:name w:val="Normálny so zarážkami1"/>
    <w:basedOn w:val="Normlny"/>
    <w:link w:val="normalindentChar"/>
    <w:qFormat/>
    <w:rsid w:val="005E5A10"/>
    <w:pPr>
      <w:spacing w:after="0"/>
      <w:ind w:firstLine="357"/>
    </w:pPr>
    <w:rPr>
      <w:sz w:val="22"/>
    </w:rPr>
  </w:style>
  <w:style w:type="character" w:customStyle="1" w:styleId="normalindentChar">
    <w:name w:val="normal indent Char"/>
    <w:link w:val="Normlnysozarkami1"/>
    <w:rsid w:val="005E5A10"/>
    <w:rPr>
      <w:rFonts w:eastAsia="Times New Roman" w:cs="Times New Roman"/>
      <w:szCs w:val="24"/>
      <w:lang w:eastAsia="sk-SK"/>
    </w:rPr>
  </w:style>
  <w:style w:type="paragraph" w:customStyle="1" w:styleId="rove1">
    <w:name w:val="úroveň_1"/>
    <w:basedOn w:val="Normlny"/>
    <w:link w:val="rove1Char"/>
    <w:qFormat/>
    <w:rsid w:val="005E5A10"/>
    <w:pPr>
      <w:spacing w:after="0"/>
      <w:ind w:firstLine="0"/>
    </w:pPr>
    <w:rPr>
      <w:b/>
      <w:color w:val="000000"/>
    </w:rPr>
  </w:style>
  <w:style w:type="paragraph" w:customStyle="1" w:styleId="rove2">
    <w:name w:val="úroveň_2"/>
    <w:basedOn w:val="Normlny"/>
    <w:link w:val="rove2Char"/>
    <w:qFormat/>
    <w:rsid w:val="005E5A10"/>
    <w:pPr>
      <w:spacing w:after="0"/>
      <w:ind w:firstLine="0"/>
      <w:jc w:val="left"/>
    </w:pPr>
    <w:rPr>
      <w:b/>
      <w:color w:val="000000"/>
    </w:rPr>
  </w:style>
  <w:style w:type="character" w:customStyle="1" w:styleId="rove1Char">
    <w:name w:val="úroveň_1 Char"/>
    <w:basedOn w:val="Predvolenpsmoodseku"/>
    <w:link w:val="rove1"/>
    <w:rsid w:val="005E5A10"/>
    <w:rPr>
      <w:rFonts w:eastAsia="Times New Roman" w:cs="Times New Roman"/>
      <w:b/>
      <w:color w:val="000000"/>
      <w:sz w:val="24"/>
      <w:szCs w:val="24"/>
      <w:lang w:eastAsia="sk-SK"/>
    </w:rPr>
  </w:style>
  <w:style w:type="paragraph" w:customStyle="1" w:styleId="rove3">
    <w:name w:val="úroveň_3"/>
    <w:basedOn w:val="Odsekzoznamu2"/>
    <w:link w:val="rove3Char"/>
    <w:qFormat/>
    <w:rsid w:val="005E5A10"/>
    <w:pPr>
      <w:numPr>
        <w:ilvl w:val="2"/>
        <w:numId w:val="3"/>
      </w:numPr>
      <w:spacing w:after="0" w:line="360" w:lineRule="auto"/>
      <w:jc w:val="both"/>
    </w:pPr>
    <w:rPr>
      <w:b/>
      <w:bCs/>
      <w:sz w:val="24"/>
      <w:szCs w:val="24"/>
    </w:rPr>
  </w:style>
  <w:style w:type="character" w:customStyle="1" w:styleId="rove2Char">
    <w:name w:val="úroveň_2 Char"/>
    <w:basedOn w:val="Predvolenpsmoodseku"/>
    <w:link w:val="rove2"/>
    <w:rsid w:val="005E5A10"/>
    <w:rPr>
      <w:rFonts w:eastAsia="Times New Roman" w:cs="Times New Roman"/>
      <w:b/>
      <w:color w:val="000000"/>
      <w:sz w:val="24"/>
      <w:szCs w:val="24"/>
      <w:lang w:eastAsia="sk-SK"/>
    </w:rPr>
  </w:style>
  <w:style w:type="character" w:customStyle="1" w:styleId="Odsekzoznamu2Char">
    <w:name w:val="Odsek zoznamu2 Char"/>
    <w:basedOn w:val="Predvolenpsmoodseku"/>
    <w:link w:val="Odsekzoznamu2"/>
    <w:rsid w:val="005E5A10"/>
    <w:rPr>
      <w:rFonts w:ascii="Calibri" w:eastAsia="Times New Roman" w:hAnsi="Calibri" w:cs="Times New Roman"/>
    </w:rPr>
  </w:style>
  <w:style w:type="character" w:customStyle="1" w:styleId="rove3Char">
    <w:name w:val="úroveň_3 Char"/>
    <w:basedOn w:val="Odsekzoznamu2Char"/>
    <w:link w:val="rove3"/>
    <w:rsid w:val="005E5A10"/>
    <w:rPr>
      <w:rFonts w:ascii="Calibri" w:eastAsia="Times New Roman" w:hAnsi="Calibri" w:cs="Times New Roman"/>
      <w:b/>
      <w:bCs/>
      <w:sz w:val="24"/>
      <w:szCs w:val="24"/>
    </w:rPr>
  </w:style>
  <w:style w:type="paragraph" w:customStyle="1" w:styleId="zdroj">
    <w:name w:val="zdroj"/>
    <w:basedOn w:val="Normlny"/>
    <w:link w:val="zdrojChar"/>
    <w:uiPriority w:val="99"/>
    <w:qFormat/>
    <w:rsid w:val="005E5A10"/>
    <w:pPr>
      <w:spacing w:before="60" w:after="120"/>
      <w:ind w:firstLine="567"/>
    </w:pPr>
    <w:rPr>
      <w:i/>
      <w:color w:val="000000"/>
      <w:sz w:val="20"/>
      <w:szCs w:val="20"/>
      <w:lang w:val="cs-CZ"/>
    </w:rPr>
  </w:style>
  <w:style w:type="character" w:customStyle="1" w:styleId="zdrojChar">
    <w:name w:val="zdroj Char"/>
    <w:basedOn w:val="Predvolenpsmoodseku"/>
    <w:link w:val="zdroj"/>
    <w:uiPriority w:val="99"/>
    <w:locked/>
    <w:rsid w:val="005E5A10"/>
    <w:rPr>
      <w:rFonts w:eastAsia="Times New Roman" w:cs="Times New Roman"/>
      <w:i/>
      <w:color w:val="000000"/>
      <w:sz w:val="20"/>
      <w:szCs w:val="20"/>
      <w:lang w:val="cs-CZ" w:eastAsia="sk-SK"/>
    </w:rPr>
  </w:style>
  <w:style w:type="character" w:styleId="Zstupntext">
    <w:name w:val="Placeholder Text"/>
    <w:basedOn w:val="Predvolenpsmoodseku"/>
    <w:uiPriority w:val="99"/>
    <w:semiHidden/>
    <w:rsid w:val="005E5A10"/>
    <w:rPr>
      <w:rFonts w:ascii="Times New Roman" w:hAnsi="Times New Roman" w:cs="Times New Roman"/>
      <w:color w:val="808080"/>
    </w:rPr>
  </w:style>
  <w:style w:type="character" w:styleId="Zvraznenie">
    <w:name w:val="Emphasis"/>
    <w:uiPriority w:val="20"/>
    <w:qFormat/>
    <w:rsid w:val="005E5A10"/>
    <w:rPr>
      <w:i/>
      <w:iCs/>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5E5A10"/>
    <w:rPr>
      <w:rFonts w:ascii="Verdana" w:eastAsia="Times New Roman" w:hAnsi="Verdana" w:cs="Verdana"/>
      <w:sz w:val="15"/>
      <w:szCs w:val="15"/>
      <w:lang w:val="cs-CZ" w:eastAsia="cs-CZ"/>
    </w:rPr>
  </w:style>
  <w:style w:type="paragraph" w:styleId="Citcia">
    <w:name w:val="Quote"/>
    <w:basedOn w:val="Normlny"/>
    <w:next w:val="Normlny"/>
    <w:link w:val="CitciaChar"/>
    <w:uiPriority w:val="29"/>
    <w:qFormat/>
    <w:rsid w:val="005E5A10"/>
    <w:pPr>
      <w:spacing w:after="200" w:line="276" w:lineRule="auto"/>
      <w:ind w:firstLine="0"/>
      <w:jc w:val="left"/>
    </w:pPr>
    <w:rPr>
      <w:rFonts w:eastAsiaTheme="minorEastAsia" w:cstheme="minorBidi"/>
      <w:i/>
      <w:iCs/>
      <w:color w:val="000000" w:themeColor="text1"/>
      <w:sz w:val="22"/>
      <w:szCs w:val="22"/>
    </w:rPr>
  </w:style>
  <w:style w:type="character" w:customStyle="1" w:styleId="CitciaChar">
    <w:name w:val="Citácia Char"/>
    <w:basedOn w:val="Predvolenpsmoodseku"/>
    <w:link w:val="Citcia"/>
    <w:uiPriority w:val="29"/>
    <w:rsid w:val="005E5A10"/>
    <w:rPr>
      <w:rFonts w:eastAsiaTheme="minorEastAsia"/>
      <w:i/>
      <w:iCs/>
      <w:color w:val="000000" w:themeColor="text1"/>
      <w:lang w:eastAsia="sk-SK"/>
    </w:rPr>
  </w:style>
  <w:style w:type="paragraph" w:styleId="z-Hornokrajformulra">
    <w:name w:val="HTML Top of Form"/>
    <w:basedOn w:val="Normlny"/>
    <w:next w:val="Normlny"/>
    <w:link w:val="z-HornokrajformulraChar"/>
    <w:hidden/>
    <w:uiPriority w:val="99"/>
    <w:semiHidden/>
    <w:unhideWhenUsed/>
    <w:rsid w:val="005E5A10"/>
    <w:pPr>
      <w:pBdr>
        <w:bottom w:val="single" w:sz="6" w:space="1" w:color="auto"/>
      </w:pBdr>
      <w:spacing w:after="0"/>
      <w:ind w:firstLine="0"/>
      <w:jc w:val="center"/>
    </w:pPr>
    <w:rPr>
      <w:rFonts w:ascii="Arial" w:hAnsi="Arial" w:cs="Arial"/>
      <w:vanish/>
      <w:sz w:val="16"/>
      <w:szCs w:val="16"/>
    </w:rPr>
  </w:style>
  <w:style w:type="character" w:customStyle="1" w:styleId="z-HornokrajformulraChar">
    <w:name w:val="z-Horný okraj formulára Char"/>
    <w:basedOn w:val="Predvolenpsmoodseku"/>
    <w:link w:val="z-Hornokrajformulra"/>
    <w:uiPriority w:val="99"/>
    <w:semiHidden/>
    <w:rsid w:val="005E5A1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unhideWhenUsed/>
    <w:rsid w:val="005E5A10"/>
    <w:pPr>
      <w:pBdr>
        <w:top w:val="single" w:sz="6" w:space="1" w:color="auto"/>
      </w:pBdr>
      <w:spacing w:after="0"/>
      <w:ind w:firstLine="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rsid w:val="005E5A10"/>
    <w:rPr>
      <w:rFonts w:ascii="Arial" w:eastAsia="Times New Roman" w:hAnsi="Arial" w:cs="Arial"/>
      <w:vanish/>
      <w:sz w:val="16"/>
      <w:szCs w:val="16"/>
      <w:lang w:eastAsia="sk-SK"/>
    </w:rPr>
  </w:style>
  <w:style w:type="table" w:customStyle="1" w:styleId="Mriekatabuky2">
    <w:name w:val="Mriežka tabuľky2"/>
    <w:basedOn w:val="Normlnatabuka"/>
    <w:next w:val="Mriekatabuky"/>
    <w:uiPriority w:val="59"/>
    <w:rsid w:val="005E5A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sodsekom">
    <w:name w:val="normálny s odsekom"/>
    <w:basedOn w:val="Normlny"/>
    <w:qFormat/>
    <w:rsid w:val="005E5A10"/>
    <w:pPr>
      <w:spacing w:after="120" w:line="360" w:lineRule="auto"/>
      <w:ind w:firstLine="709"/>
    </w:pPr>
    <w:rPr>
      <w:rFonts w:ascii="Calibri" w:eastAsia="Calibri" w:hAnsi="Calibri"/>
      <w:sz w:val="22"/>
      <w:szCs w:val="22"/>
      <w:lang w:eastAsia="en-US"/>
    </w:rPr>
  </w:style>
  <w:style w:type="table" w:styleId="Svetlpodfarbeniezvraznenie1">
    <w:name w:val="Light Shading Accent 1"/>
    <w:basedOn w:val="Normlnatabuka"/>
    <w:uiPriority w:val="60"/>
    <w:rsid w:val="005E5A10"/>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oznamsodrkami">
    <w:name w:val="List Bullet"/>
    <w:basedOn w:val="Normlny"/>
    <w:rsid w:val="00FF4642"/>
    <w:pPr>
      <w:numPr>
        <w:numId w:val="8"/>
      </w:numPr>
      <w:spacing w:after="240"/>
    </w:pPr>
    <w:rPr>
      <w:szCs w:val="20"/>
      <w:lang w:val="en-GB" w:eastAsia="ko-KR"/>
    </w:rPr>
  </w:style>
  <w:style w:type="numbering" w:customStyle="1" w:styleId="Bezzoznamu2">
    <w:name w:val="Bez zoznamu2"/>
    <w:next w:val="Bezzoznamu"/>
    <w:uiPriority w:val="99"/>
    <w:semiHidden/>
    <w:unhideWhenUsed/>
    <w:rsid w:val="00326B32"/>
  </w:style>
  <w:style w:type="table" w:customStyle="1" w:styleId="Svetlpodfarbeniezvraznenie111">
    <w:name w:val="Svetlé podfarbenie – zvýraznenie 111"/>
    <w:basedOn w:val="Normlnatabuka"/>
    <w:next w:val="Svetlpodfarbeniezvraznenie1"/>
    <w:uiPriority w:val="60"/>
    <w:rsid w:val="003B3DCF"/>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rednmrieka3zvraznenie3">
    <w:name w:val="Medium Grid 3 Accent 3"/>
    <w:basedOn w:val="Normlnatabuka"/>
    <w:uiPriority w:val="69"/>
    <w:semiHidden/>
    <w:unhideWhenUsed/>
    <w:rsid w:val="008A5C8E"/>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Nevyrieenzmienka1">
    <w:name w:val="Nevyriešená zmienka1"/>
    <w:basedOn w:val="Predvolenpsmoodseku"/>
    <w:uiPriority w:val="99"/>
    <w:semiHidden/>
    <w:unhideWhenUsed/>
    <w:rsid w:val="0024364E"/>
    <w:rPr>
      <w:color w:val="605E5C"/>
      <w:shd w:val="clear" w:color="auto" w:fill="E1DFDD"/>
    </w:rPr>
  </w:style>
  <w:style w:type="paragraph" w:customStyle="1" w:styleId="Zkladntext23">
    <w:name w:val="Základný text 23"/>
    <w:basedOn w:val="Normlny"/>
    <w:rsid w:val="00A65842"/>
    <w:pPr>
      <w:spacing w:after="0"/>
      <w:ind w:firstLine="0"/>
    </w:pPr>
    <w:rPr>
      <w:szCs w:val="20"/>
    </w:rPr>
  </w:style>
  <w:style w:type="table" w:customStyle="1" w:styleId="Mriekatabuky21">
    <w:name w:val="Mriežka tabuľky21"/>
    <w:basedOn w:val="Normlnatabuka"/>
    <w:next w:val="Mriekatabuky"/>
    <w:uiPriority w:val="59"/>
    <w:rsid w:val="00401A8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lny"/>
    <w:rsid w:val="002D5060"/>
    <w:pPr>
      <w:spacing w:before="100" w:beforeAutospacing="1" w:after="100" w:afterAutospacing="1"/>
      <w:ind w:firstLine="0"/>
      <w:jc w:val="left"/>
    </w:pPr>
  </w:style>
  <w:style w:type="character" w:customStyle="1" w:styleId="cf01">
    <w:name w:val="cf01"/>
    <w:basedOn w:val="Predvolenpsmoodseku"/>
    <w:rsid w:val="002D5060"/>
    <w:rPr>
      <w:rFonts w:ascii="Segoe UI" w:hAnsi="Segoe UI" w:cs="Segoe UI" w:hint="default"/>
      <w:sz w:val="18"/>
      <w:szCs w:val="18"/>
    </w:rPr>
  </w:style>
  <w:style w:type="character" w:customStyle="1" w:styleId="cf11">
    <w:name w:val="cf11"/>
    <w:basedOn w:val="Predvolenpsmoodseku"/>
    <w:rsid w:val="002D5060"/>
    <w:rPr>
      <w:rFonts w:ascii="Segoe UI" w:hAnsi="Segoe UI" w:cs="Segoe UI" w:hint="default"/>
      <w:b/>
      <w:bCs/>
      <w:sz w:val="18"/>
      <w:szCs w:val="18"/>
    </w:rPr>
  </w:style>
  <w:style w:type="table" w:customStyle="1" w:styleId="Svetlpodfarbeniezvraznenie112">
    <w:name w:val="Svetlé podfarbenie – zvýraznenie 112"/>
    <w:basedOn w:val="Normlnatabuka"/>
    <w:next w:val="Svetlpodfarbeniezvraznenie1"/>
    <w:uiPriority w:val="60"/>
    <w:rsid w:val="000F4585"/>
    <w:pPr>
      <w:spacing w:after="0" w:line="240" w:lineRule="auto"/>
    </w:pPr>
    <w:rPr>
      <w:rFonts w:ascii="Times New Roman" w:eastAsia="Times New Roman" w:hAnsi="Times New Roman"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etlpodfarbeniezvraznenie131">
    <w:name w:val="Svetlé podfarbenie – zvýraznenie 131"/>
    <w:basedOn w:val="Normlnatabuka"/>
    <w:next w:val="Svetlpodfarbeniezvraznenie1"/>
    <w:uiPriority w:val="60"/>
    <w:rsid w:val="000F4585"/>
    <w:pPr>
      <w:spacing w:after="0" w:line="240" w:lineRule="auto"/>
    </w:pPr>
    <w:rPr>
      <w:rFonts w:ascii="Times New Roman" w:eastAsia="Times New Roman" w:hAnsi="Times New Roman"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etlpodfarbeniezvraznenie113">
    <w:name w:val="Svetlé podfarbenie – zvýraznenie 113"/>
    <w:basedOn w:val="Normlnatabuka"/>
    <w:next w:val="Svetlpodfarbeniezvraznenie1"/>
    <w:uiPriority w:val="60"/>
    <w:rsid w:val="008611D9"/>
    <w:pPr>
      <w:spacing w:after="0" w:line="240" w:lineRule="auto"/>
    </w:pPr>
    <w:rPr>
      <w:rFonts w:ascii="Times New Roman" w:eastAsia="Times New Roman" w:hAnsi="Times New Roman"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Normlnysozarkami12">
    <w:name w:val="Normálny so zarážkami12"/>
    <w:basedOn w:val="Normlny"/>
    <w:qFormat/>
    <w:rsid w:val="008509A7"/>
    <w:pPr>
      <w:spacing w:after="0"/>
      <w:ind w:firstLine="357"/>
    </w:pPr>
    <w:rPr>
      <w:rFonts w:ascii="Arial Narrow" w:hAnsi="Arial Narrow"/>
      <w:sz w:val="22"/>
    </w:rPr>
  </w:style>
  <w:style w:type="character" w:customStyle="1" w:styleId="Nevyrieenzmienka2">
    <w:name w:val="Nevyriešená zmienka2"/>
    <w:basedOn w:val="Predvolenpsmoodseku"/>
    <w:uiPriority w:val="99"/>
    <w:semiHidden/>
    <w:unhideWhenUsed/>
    <w:rsid w:val="006D23AB"/>
    <w:rPr>
      <w:color w:val="605E5C"/>
      <w:shd w:val="clear" w:color="auto" w:fill="E1DFDD"/>
    </w:rPr>
  </w:style>
  <w:style w:type="paragraph" w:customStyle="1" w:styleId="text-justify">
    <w:name w:val="text-justify"/>
    <w:basedOn w:val="Normlny"/>
    <w:rsid w:val="006D0703"/>
    <w:pPr>
      <w:spacing w:before="100" w:beforeAutospacing="1" w:after="100" w:afterAutospacing="1"/>
      <w:ind w:firstLine="0"/>
      <w:jc w:val="left"/>
    </w:pPr>
  </w:style>
  <w:style w:type="character" w:customStyle="1" w:styleId="normaltextrun">
    <w:name w:val="normaltextrun"/>
    <w:basedOn w:val="Predvolenpsmoodseku"/>
    <w:rsid w:val="000D5301"/>
  </w:style>
  <w:style w:type="character" w:customStyle="1" w:styleId="FontStyle51">
    <w:name w:val="Font Style51"/>
    <w:uiPriority w:val="99"/>
    <w:qFormat/>
    <w:rsid w:val="0089154E"/>
    <w:rPr>
      <w:rFonts w:ascii="Times New Roman" w:hAnsi="Times New Roman" w:cs="Times New Roman"/>
      <w:sz w:val="22"/>
      <w:szCs w:val="22"/>
    </w:rPr>
  </w:style>
  <w:style w:type="paragraph" w:customStyle="1" w:styleId="Style38">
    <w:name w:val="Style38"/>
    <w:basedOn w:val="Normlny"/>
    <w:uiPriority w:val="99"/>
    <w:qFormat/>
    <w:rsid w:val="0089154E"/>
    <w:pPr>
      <w:widowControl w:val="0"/>
      <w:spacing w:after="0" w:line="274" w:lineRule="exact"/>
      <w:ind w:hanging="341"/>
    </w:pPr>
    <w:rPr>
      <w:rFonts w:ascii="Arial" w:hAnsi="Arial" w:cs="Arial"/>
      <w:color w:val="00000A"/>
    </w:rPr>
  </w:style>
  <w:style w:type="table" w:customStyle="1" w:styleId="tltabsprava3">
    <w:name w:val="Štýl_tab_sprava3"/>
    <w:basedOn w:val="Normlnatabuka"/>
    <w:uiPriority w:val="99"/>
    <w:rsid w:val="00D218F0"/>
    <w:pPr>
      <w:spacing w:after="0" w:line="240" w:lineRule="auto"/>
      <w:jc w:val="center"/>
    </w:pPr>
    <w:rPr>
      <w:rFonts w:ascii="Arial Narrow" w:eastAsia="Times New Roman" w:hAnsi="Arial Narrow" w:cs="Times New Roman"/>
      <w:szCs w:val="20"/>
      <w:lang w:val="en-US"/>
    </w:rPr>
    <w:tblPr>
      <w:tblStyleRowBandSize w:val="1"/>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Pr>
    <w:tcPr>
      <w:shd w:val="clear" w:color="auto" w:fill="auto"/>
      <w:vAlign w:val="center"/>
    </w:tcPr>
    <w:tblStylePr w:type="firstRow">
      <w:pPr>
        <w:jc w:val="center"/>
      </w:pPr>
      <w:rPr>
        <w:rFonts w:ascii="Bahnschrift SemiLight" w:hAnsi="Bahnschrift SemiLight"/>
        <w:b/>
        <w:color w:val="FFFFFF" w:themeColor="background1"/>
        <w:sz w:val="22"/>
      </w:rPr>
      <w:tblPr/>
      <w:tcPr>
        <w:shd w:val="clear" w:color="auto" w:fill="B7194A"/>
      </w:tcPr>
    </w:tblStylePr>
    <w:tblStylePr w:type="band1Horz">
      <w:pPr>
        <w:jc w:val="center"/>
      </w:pPr>
      <w:rPr>
        <w:color w:val="auto"/>
      </w:rPr>
    </w:tblStylePr>
  </w:style>
  <w:style w:type="paragraph" w:customStyle="1" w:styleId="paragraph">
    <w:name w:val="paragraph"/>
    <w:basedOn w:val="Normlny"/>
    <w:rsid w:val="00DE27B1"/>
    <w:pPr>
      <w:spacing w:before="100" w:beforeAutospacing="1" w:after="100" w:afterAutospacing="1"/>
      <w:ind w:firstLine="0"/>
      <w:jc w:val="left"/>
    </w:pPr>
  </w:style>
  <w:style w:type="character" w:customStyle="1" w:styleId="eop">
    <w:name w:val="eop"/>
    <w:basedOn w:val="Predvolenpsmoodseku"/>
    <w:rsid w:val="00DE27B1"/>
  </w:style>
  <w:style w:type="character" w:customStyle="1" w:styleId="scxw28692272">
    <w:name w:val="scxw28692272"/>
    <w:basedOn w:val="Predvolenpsmoodseku"/>
    <w:rsid w:val="00DE2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5688">
      <w:bodyDiv w:val="1"/>
      <w:marLeft w:val="0"/>
      <w:marRight w:val="0"/>
      <w:marTop w:val="0"/>
      <w:marBottom w:val="0"/>
      <w:divBdr>
        <w:top w:val="none" w:sz="0" w:space="0" w:color="auto"/>
        <w:left w:val="none" w:sz="0" w:space="0" w:color="auto"/>
        <w:bottom w:val="none" w:sz="0" w:space="0" w:color="auto"/>
        <w:right w:val="none" w:sz="0" w:space="0" w:color="auto"/>
      </w:divBdr>
    </w:div>
    <w:div w:id="5640212">
      <w:bodyDiv w:val="1"/>
      <w:marLeft w:val="0"/>
      <w:marRight w:val="0"/>
      <w:marTop w:val="0"/>
      <w:marBottom w:val="0"/>
      <w:divBdr>
        <w:top w:val="none" w:sz="0" w:space="0" w:color="auto"/>
        <w:left w:val="none" w:sz="0" w:space="0" w:color="auto"/>
        <w:bottom w:val="none" w:sz="0" w:space="0" w:color="auto"/>
        <w:right w:val="none" w:sz="0" w:space="0" w:color="auto"/>
      </w:divBdr>
    </w:div>
    <w:div w:id="13043970">
      <w:bodyDiv w:val="1"/>
      <w:marLeft w:val="0"/>
      <w:marRight w:val="0"/>
      <w:marTop w:val="0"/>
      <w:marBottom w:val="0"/>
      <w:divBdr>
        <w:top w:val="none" w:sz="0" w:space="0" w:color="auto"/>
        <w:left w:val="none" w:sz="0" w:space="0" w:color="auto"/>
        <w:bottom w:val="none" w:sz="0" w:space="0" w:color="auto"/>
        <w:right w:val="none" w:sz="0" w:space="0" w:color="auto"/>
      </w:divBdr>
      <w:divsChild>
        <w:div w:id="1738550675">
          <w:marLeft w:val="0"/>
          <w:marRight w:val="75"/>
          <w:marTop w:val="0"/>
          <w:marBottom w:val="0"/>
          <w:divBdr>
            <w:top w:val="none" w:sz="0" w:space="0" w:color="auto"/>
            <w:left w:val="none" w:sz="0" w:space="0" w:color="auto"/>
            <w:bottom w:val="none" w:sz="0" w:space="0" w:color="auto"/>
            <w:right w:val="none" w:sz="0" w:space="0" w:color="auto"/>
          </w:divBdr>
        </w:div>
        <w:div w:id="126634299">
          <w:marLeft w:val="0"/>
          <w:marRight w:val="0"/>
          <w:marTop w:val="0"/>
          <w:marBottom w:val="300"/>
          <w:divBdr>
            <w:top w:val="none" w:sz="0" w:space="0" w:color="auto"/>
            <w:left w:val="none" w:sz="0" w:space="0" w:color="auto"/>
            <w:bottom w:val="none" w:sz="0" w:space="0" w:color="auto"/>
            <w:right w:val="none" w:sz="0" w:space="0" w:color="auto"/>
          </w:divBdr>
        </w:div>
      </w:divsChild>
    </w:div>
    <w:div w:id="15429431">
      <w:bodyDiv w:val="1"/>
      <w:marLeft w:val="0"/>
      <w:marRight w:val="0"/>
      <w:marTop w:val="0"/>
      <w:marBottom w:val="0"/>
      <w:divBdr>
        <w:top w:val="none" w:sz="0" w:space="0" w:color="auto"/>
        <w:left w:val="none" w:sz="0" w:space="0" w:color="auto"/>
        <w:bottom w:val="none" w:sz="0" w:space="0" w:color="auto"/>
        <w:right w:val="none" w:sz="0" w:space="0" w:color="auto"/>
      </w:divBdr>
    </w:div>
    <w:div w:id="15546954">
      <w:bodyDiv w:val="1"/>
      <w:marLeft w:val="0"/>
      <w:marRight w:val="0"/>
      <w:marTop w:val="0"/>
      <w:marBottom w:val="0"/>
      <w:divBdr>
        <w:top w:val="none" w:sz="0" w:space="0" w:color="auto"/>
        <w:left w:val="none" w:sz="0" w:space="0" w:color="auto"/>
        <w:bottom w:val="none" w:sz="0" w:space="0" w:color="auto"/>
        <w:right w:val="none" w:sz="0" w:space="0" w:color="auto"/>
      </w:divBdr>
    </w:div>
    <w:div w:id="18624615">
      <w:bodyDiv w:val="1"/>
      <w:marLeft w:val="0"/>
      <w:marRight w:val="0"/>
      <w:marTop w:val="0"/>
      <w:marBottom w:val="0"/>
      <w:divBdr>
        <w:top w:val="none" w:sz="0" w:space="0" w:color="auto"/>
        <w:left w:val="none" w:sz="0" w:space="0" w:color="auto"/>
        <w:bottom w:val="none" w:sz="0" w:space="0" w:color="auto"/>
        <w:right w:val="none" w:sz="0" w:space="0" w:color="auto"/>
      </w:divBdr>
    </w:div>
    <w:div w:id="20514294">
      <w:bodyDiv w:val="1"/>
      <w:marLeft w:val="0"/>
      <w:marRight w:val="0"/>
      <w:marTop w:val="0"/>
      <w:marBottom w:val="0"/>
      <w:divBdr>
        <w:top w:val="none" w:sz="0" w:space="0" w:color="auto"/>
        <w:left w:val="none" w:sz="0" w:space="0" w:color="auto"/>
        <w:bottom w:val="none" w:sz="0" w:space="0" w:color="auto"/>
        <w:right w:val="none" w:sz="0" w:space="0" w:color="auto"/>
      </w:divBdr>
    </w:div>
    <w:div w:id="43676382">
      <w:bodyDiv w:val="1"/>
      <w:marLeft w:val="0"/>
      <w:marRight w:val="0"/>
      <w:marTop w:val="0"/>
      <w:marBottom w:val="0"/>
      <w:divBdr>
        <w:top w:val="none" w:sz="0" w:space="0" w:color="auto"/>
        <w:left w:val="none" w:sz="0" w:space="0" w:color="auto"/>
        <w:bottom w:val="none" w:sz="0" w:space="0" w:color="auto"/>
        <w:right w:val="none" w:sz="0" w:space="0" w:color="auto"/>
      </w:divBdr>
    </w:div>
    <w:div w:id="46681857">
      <w:bodyDiv w:val="1"/>
      <w:marLeft w:val="0"/>
      <w:marRight w:val="0"/>
      <w:marTop w:val="0"/>
      <w:marBottom w:val="0"/>
      <w:divBdr>
        <w:top w:val="none" w:sz="0" w:space="0" w:color="auto"/>
        <w:left w:val="none" w:sz="0" w:space="0" w:color="auto"/>
        <w:bottom w:val="none" w:sz="0" w:space="0" w:color="auto"/>
        <w:right w:val="none" w:sz="0" w:space="0" w:color="auto"/>
      </w:divBdr>
    </w:div>
    <w:div w:id="52504090">
      <w:bodyDiv w:val="1"/>
      <w:marLeft w:val="0"/>
      <w:marRight w:val="0"/>
      <w:marTop w:val="0"/>
      <w:marBottom w:val="0"/>
      <w:divBdr>
        <w:top w:val="none" w:sz="0" w:space="0" w:color="auto"/>
        <w:left w:val="none" w:sz="0" w:space="0" w:color="auto"/>
        <w:bottom w:val="none" w:sz="0" w:space="0" w:color="auto"/>
        <w:right w:val="none" w:sz="0" w:space="0" w:color="auto"/>
      </w:divBdr>
    </w:div>
    <w:div w:id="56363994">
      <w:bodyDiv w:val="1"/>
      <w:marLeft w:val="0"/>
      <w:marRight w:val="0"/>
      <w:marTop w:val="0"/>
      <w:marBottom w:val="0"/>
      <w:divBdr>
        <w:top w:val="none" w:sz="0" w:space="0" w:color="auto"/>
        <w:left w:val="none" w:sz="0" w:space="0" w:color="auto"/>
        <w:bottom w:val="none" w:sz="0" w:space="0" w:color="auto"/>
        <w:right w:val="none" w:sz="0" w:space="0" w:color="auto"/>
      </w:divBdr>
    </w:div>
    <w:div w:id="101799996">
      <w:bodyDiv w:val="1"/>
      <w:marLeft w:val="0"/>
      <w:marRight w:val="0"/>
      <w:marTop w:val="0"/>
      <w:marBottom w:val="0"/>
      <w:divBdr>
        <w:top w:val="none" w:sz="0" w:space="0" w:color="auto"/>
        <w:left w:val="none" w:sz="0" w:space="0" w:color="auto"/>
        <w:bottom w:val="none" w:sz="0" w:space="0" w:color="auto"/>
        <w:right w:val="none" w:sz="0" w:space="0" w:color="auto"/>
      </w:divBdr>
    </w:div>
    <w:div w:id="116460237">
      <w:bodyDiv w:val="1"/>
      <w:marLeft w:val="0"/>
      <w:marRight w:val="0"/>
      <w:marTop w:val="0"/>
      <w:marBottom w:val="0"/>
      <w:divBdr>
        <w:top w:val="none" w:sz="0" w:space="0" w:color="auto"/>
        <w:left w:val="none" w:sz="0" w:space="0" w:color="auto"/>
        <w:bottom w:val="none" w:sz="0" w:space="0" w:color="auto"/>
        <w:right w:val="none" w:sz="0" w:space="0" w:color="auto"/>
      </w:divBdr>
    </w:div>
    <w:div w:id="118913568">
      <w:bodyDiv w:val="1"/>
      <w:marLeft w:val="0"/>
      <w:marRight w:val="0"/>
      <w:marTop w:val="0"/>
      <w:marBottom w:val="0"/>
      <w:divBdr>
        <w:top w:val="none" w:sz="0" w:space="0" w:color="auto"/>
        <w:left w:val="none" w:sz="0" w:space="0" w:color="auto"/>
        <w:bottom w:val="none" w:sz="0" w:space="0" w:color="auto"/>
        <w:right w:val="none" w:sz="0" w:space="0" w:color="auto"/>
      </w:divBdr>
    </w:div>
    <w:div w:id="123470190">
      <w:bodyDiv w:val="1"/>
      <w:marLeft w:val="0"/>
      <w:marRight w:val="0"/>
      <w:marTop w:val="0"/>
      <w:marBottom w:val="0"/>
      <w:divBdr>
        <w:top w:val="none" w:sz="0" w:space="0" w:color="auto"/>
        <w:left w:val="none" w:sz="0" w:space="0" w:color="auto"/>
        <w:bottom w:val="none" w:sz="0" w:space="0" w:color="auto"/>
        <w:right w:val="none" w:sz="0" w:space="0" w:color="auto"/>
      </w:divBdr>
    </w:div>
    <w:div w:id="123737195">
      <w:bodyDiv w:val="1"/>
      <w:marLeft w:val="0"/>
      <w:marRight w:val="0"/>
      <w:marTop w:val="0"/>
      <w:marBottom w:val="0"/>
      <w:divBdr>
        <w:top w:val="none" w:sz="0" w:space="0" w:color="auto"/>
        <w:left w:val="none" w:sz="0" w:space="0" w:color="auto"/>
        <w:bottom w:val="none" w:sz="0" w:space="0" w:color="auto"/>
        <w:right w:val="none" w:sz="0" w:space="0" w:color="auto"/>
      </w:divBdr>
    </w:div>
    <w:div w:id="161628349">
      <w:bodyDiv w:val="1"/>
      <w:marLeft w:val="0"/>
      <w:marRight w:val="0"/>
      <w:marTop w:val="0"/>
      <w:marBottom w:val="0"/>
      <w:divBdr>
        <w:top w:val="none" w:sz="0" w:space="0" w:color="auto"/>
        <w:left w:val="none" w:sz="0" w:space="0" w:color="auto"/>
        <w:bottom w:val="none" w:sz="0" w:space="0" w:color="auto"/>
        <w:right w:val="none" w:sz="0" w:space="0" w:color="auto"/>
      </w:divBdr>
    </w:div>
    <w:div w:id="175846856">
      <w:bodyDiv w:val="1"/>
      <w:marLeft w:val="0"/>
      <w:marRight w:val="0"/>
      <w:marTop w:val="0"/>
      <w:marBottom w:val="0"/>
      <w:divBdr>
        <w:top w:val="none" w:sz="0" w:space="0" w:color="auto"/>
        <w:left w:val="none" w:sz="0" w:space="0" w:color="auto"/>
        <w:bottom w:val="none" w:sz="0" w:space="0" w:color="auto"/>
        <w:right w:val="none" w:sz="0" w:space="0" w:color="auto"/>
      </w:divBdr>
    </w:div>
    <w:div w:id="181747330">
      <w:bodyDiv w:val="1"/>
      <w:marLeft w:val="0"/>
      <w:marRight w:val="0"/>
      <w:marTop w:val="0"/>
      <w:marBottom w:val="0"/>
      <w:divBdr>
        <w:top w:val="none" w:sz="0" w:space="0" w:color="auto"/>
        <w:left w:val="none" w:sz="0" w:space="0" w:color="auto"/>
        <w:bottom w:val="none" w:sz="0" w:space="0" w:color="auto"/>
        <w:right w:val="none" w:sz="0" w:space="0" w:color="auto"/>
      </w:divBdr>
    </w:div>
    <w:div w:id="192110996">
      <w:bodyDiv w:val="1"/>
      <w:marLeft w:val="0"/>
      <w:marRight w:val="0"/>
      <w:marTop w:val="0"/>
      <w:marBottom w:val="0"/>
      <w:divBdr>
        <w:top w:val="none" w:sz="0" w:space="0" w:color="auto"/>
        <w:left w:val="none" w:sz="0" w:space="0" w:color="auto"/>
        <w:bottom w:val="none" w:sz="0" w:space="0" w:color="auto"/>
        <w:right w:val="none" w:sz="0" w:space="0" w:color="auto"/>
      </w:divBdr>
    </w:div>
    <w:div w:id="196545173">
      <w:bodyDiv w:val="1"/>
      <w:marLeft w:val="0"/>
      <w:marRight w:val="0"/>
      <w:marTop w:val="0"/>
      <w:marBottom w:val="0"/>
      <w:divBdr>
        <w:top w:val="none" w:sz="0" w:space="0" w:color="auto"/>
        <w:left w:val="none" w:sz="0" w:space="0" w:color="auto"/>
        <w:bottom w:val="none" w:sz="0" w:space="0" w:color="auto"/>
        <w:right w:val="none" w:sz="0" w:space="0" w:color="auto"/>
      </w:divBdr>
    </w:div>
    <w:div w:id="201987619">
      <w:bodyDiv w:val="1"/>
      <w:marLeft w:val="0"/>
      <w:marRight w:val="0"/>
      <w:marTop w:val="0"/>
      <w:marBottom w:val="0"/>
      <w:divBdr>
        <w:top w:val="none" w:sz="0" w:space="0" w:color="auto"/>
        <w:left w:val="none" w:sz="0" w:space="0" w:color="auto"/>
        <w:bottom w:val="none" w:sz="0" w:space="0" w:color="auto"/>
        <w:right w:val="none" w:sz="0" w:space="0" w:color="auto"/>
      </w:divBdr>
    </w:div>
    <w:div w:id="218439221">
      <w:bodyDiv w:val="1"/>
      <w:marLeft w:val="0"/>
      <w:marRight w:val="0"/>
      <w:marTop w:val="0"/>
      <w:marBottom w:val="0"/>
      <w:divBdr>
        <w:top w:val="none" w:sz="0" w:space="0" w:color="auto"/>
        <w:left w:val="none" w:sz="0" w:space="0" w:color="auto"/>
        <w:bottom w:val="none" w:sz="0" w:space="0" w:color="auto"/>
        <w:right w:val="none" w:sz="0" w:space="0" w:color="auto"/>
      </w:divBdr>
    </w:div>
    <w:div w:id="221018729">
      <w:bodyDiv w:val="1"/>
      <w:marLeft w:val="0"/>
      <w:marRight w:val="0"/>
      <w:marTop w:val="0"/>
      <w:marBottom w:val="0"/>
      <w:divBdr>
        <w:top w:val="none" w:sz="0" w:space="0" w:color="auto"/>
        <w:left w:val="none" w:sz="0" w:space="0" w:color="auto"/>
        <w:bottom w:val="none" w:sz="0" w:space="0" w:color="auto"/>
        <w:right w:val="none" w:sz="0" w:space="0" w:color="auto"/>
      </w:divBdr>
    </w:div>
    <w:div w:id="223878282">
      <w:bodyDiv w:val="1"/>
      <w:marLeft w:val="0"/>
      <w:marRight w:val="0"/>
      <w:marTop w:val="0"/>
      <w:marBottom w:val="0"/>
      <w:divBdr>
        <w:top w:val="none" w:sz="0" w:space="0" w:color="auto"/>
        <w:left w:val="none" w:sz="0" w:space="0" w:color="auto"/>
        <w:bottom w:val="none" w:sz="0" w:space="0" w:color="auto"/>
        <w:right w:val="none" w:sz="0" w:space="0" w:color="auto"/>
      </w:divBdr>
    </w:div>
    <w:div w:id="233052625">
      <w:bodyDiv w:val="1"/>
      <w:marLeft w:val="0"/>
      <w:marRight w:val="0"/>
      <w:marTop w:val="0"/>
      <w:marBottom w:val="0"/>
      <w:divBdr>
        <w:top w:val="none" w:sz="0" w:space="0" w:color="auto"/>
        <w:left w:val="none" w:sz="0" w:space="0" w:color="auto"/>
        <w:bottom w:val="none" w:sz="0" w:space="0" w:color="auto"/>
        <w:right w:val="none" w:sz="0" w:space="0" w:color="auto"/>
      </w:divBdr>
    </w:div>
    <w:div w:id="234559828">
      <w:bodyDiv w:val="1"/>
      <w:marLeft w:val="0"/>
      <w:marRight w:val="0"/>
      <w:marTop w:val="0"/>
      <w:marBottom w:val="0"/>
      <w:divBdr>
        <w:top w:val="none" w:sz="0" w:space="0" w:color="auto"/>
        <w:left w:val="none" w:sz="0" w:space="0" w:color="auto"/>
        <w:bottom w:val="none" w:sz="0" w:space="0" w:color="auto"/>
        <w:right w:val="none" w:sz="0" w:space="0" w:color="auto"/>
      </w:divBdr>
    </w:div>
    <w:div w:id="242569100">
      <w:bodyDiv w:val="1"/>
      <w:marLeft w:val="0"/>
      <w:marRight w:val="0"/>
      <w:marTop w:val="0"/>
      <w:marBottom w:val="0"/>
      <w:divBdr>
        <w:top w:val="none" w:sz="0" w:space="0" w:color="auto"/>
        <w:left w:val="none" w:sz="0" w:space="0" w:color="auto"/>
        <w:bottom w:val="none" w:sz="0" w:space="0" w:color="auto"/>
        <w:right w:val="none" w:sz="0" w:space="0" w:color="auto"/>
      </w:divBdr>
    </w:div>
    <w:div w:id="246695574">
      <w:bodyDiv w:val="1"/>
      <w:marLeft w:val="0"/>
      <w:marRight w:val="0"/>
      <w:marTop w:val="0"/>
      <w:marBottom w:val="0"/>
      <w:divBdr>
        <w:top w:val="none" w:sz="0" w:space="0" w:color="auto"/>
        <w:left w:val="none" w:sz="0" w:space="0" w:color="auto"/>
        <w:bottom w:val="none" w:sz="0" w:space="0" w:color="auto"/>
        <w:right w:val="none" w:sz="0" w:space="0" w:color="auto"/>
      </w:divBdr>
    </w:div>
    <w:div w:id="272058250">
      <w:bodyDiv w:val="1"/>
      <w:marLeft w:val="0"/>
      <w:marRight w:val="0"/>
      <w:marTop w:val="0"/>
      <w:marBottom w:val="0"/>
      <w:divBdr>
        <w:top w:val="none" w:sz="0" w:space="0" w:color="auto"/>
        <w:left w:val="none" w:sz="0" w:space="0" w:color="auto"/>
        <w:bottom w:val="none" w:sz="0" w:space="0" w:color="auto"/>
        <w:right w:val="none" w:sz="0" w:space="0" w:color="auto"/>
      </w:divBdr>
    </w:div>
    <w:div w:id="304241605">
      <w:bodyDiv w:val="1"/>
      <w:marLeft w:val="0"/>
      <w:marRight w:val="0"/>
      <w:marTop w:val="0"/>
      <w:marBottom w:val="0"/>
      <w:divBdr>
        <w:top w:val="none" w:sz="0" w:space="0" w:color="auto"/>
        <w:left w:val="none" w:sz="0" w:space="0" w:color="auto"/>
        <w:bottom w:val="none" w:sz="0" w:space="0" w:color="auto"/>
        <w:right w:val="none" w:sz="0" w:space="0" w:color="auto"/>
      </w:divBdr>
    </w:div>
    <w:div w:id="308872179">
      <w:bodyDiv w:val="1"/>
      <w:marLeft w:val="0"/>
      <w:marRight w:val="0"/>
      <w:marTop w:val="0"/>
      <w:marBottom w:val="0"/>
      <w:divBdr>
        <w:top w:val="none" w:sz="0" w:space="0" w:color="auto"/>
        <w:left w:val="none" w:sz="0" w:space="0" w:color="auto"/>
        <w:bottom w:val="none" w:sz="0" w:space="0" w:color="auto"/>
        <w:right w:val="none" w:sz="0" w:space="0" w:color="auto"/>
      </w:divBdr>
    </w:div>
    <w:div w:id="336465829">
      <w:bodyDiv w:val="1"/>
      <w:marLeft w:val="0"/>
      <w:marRight w:val="0"/>
      <w:marTop w:val="0"/>
      <w:marBottom w:val="0"/>
      <w:divBdr>
        <w:top w:val="none" w:sz="0" w:space="0" w:color="auto"/>
        <w:left w:val="none" w:sz="0" w:space="0" w:color="auto"/>
        <w:bottom w:val="none" w:sz="0" w:space="0" w:color="auto"/>
        <w:right w:val="none" w:sz="0" w:space="0" w:color="auto"/>
      </w:divBdr>
    </w:div>
    <w:div w:id="338970200">
      <w:bodyDiv w:val="1"/>
      <w:marLeft w:val="0"/>
      <w:marRight w:val="0"/>
      <w:marTop w:val="0"/>
      <w:marBottom w:val="0"/>
      <w:divBdr>
        <w:top w:val="none" w:sz="0" w:space="0" w:color="auto"/>
        <w:left w:val="none" w:sz="0" w:space="0" w:color="auto"/>
        <w:bottom w:val="none" w:sz="0" w:space="0" w:color="auto"/>
        <w:right w:val="none" w:sz="0" w:space="0" w:color="auto"/>
      </w:divBdr>
    </w:div>
    <w:div w:id="346717080">
      <w:bodyDiv w:val="1"/>
      <w:marLeft w:val="0"/>
      <w:marRight w:val="0"/>
      <w:marTop w:val="0"/>
      <w:marBottom w:val="0"/>
      <w:divBdr>
        <w:top w:val="none" w:sz="0" w:space="0" w:color="auto"/>
        <w:left w:val="none" w:sz="0" w:space="0" w:color="auto"/>
        <w:bottom w:val="none" w:sz="0" w:space="0" w:color="auto"/>
        <w:right w:val="none" w:sz="0" w:space="0" w:color="auto"/>
      </w:divBdr>
    </w:div>
    <w:div w:id="349111475">
      <w:bodyDiv w:val="1"/>
      <w:marLeft w:val="0"/>
      <w:marRight w:val="0"/>
      <w:marTop w:val="0"/>
      <w:marBottom w:val="0"/>
      <w:divBdr>
        <w:top w:val="none" w:sz="0" w:space="0" w:color="auto"/>
        <w:left w:val="none" w:sz="0" w:space="0" w:color="auto"/>
        <w:bottom w:val="none" w:sz="0" w:space="0" w:color="auto"/>
        <w:right w:val="none" w:sz="0" w:space="0" w:color="auto"/>
      </w:divBdr>
    </w:div>
    <w:div w:id="352221805">
      <w:bodyDiv w:val="1"/>
      <w:marLeft w:val="0"/>
      <w:marRight w:val="0"/>
      <w:marTop w:val="0"/>
      <w:marBottom w:val="0"/>
      <w:divBdr>
        <w:top w:val="none" w:sz="0" w:space="0" w:color="auto"/>
        <w:left w:val="none" w:sz="0" w:space="0" w:color="auto"/>
        <w:bottom w:val="none" w:sz="0" w:space="0" w:color="auto"/>
        <w:right w:val="none" w:sz="0" w:space="0" w:color="auto"/>
      </w:divBdr>
    </w:div>
    <w:div w:id="352533790">
      <w:bodyDiv w:val="1"/>
      <w:marLeft w:val="0"/>
      <w:marRight w:val="0"/>
      <w:marTop w:val="0"/>
      <w:marBottom w:val="0"/>
      <w:divBdr>
        <w:top w:val="none" w:sz="0" w:space="0" w:color="auto"/>
        <w:left w:val="none" w:sz="0" w:space="0" w:color="auto"/>
        <w:bottom w:val="none" w:sz="0" w:space="0" w:color="auto"/>
        <w:right w:val="none" w:sz="0" w:space="0" w:color="auto"/>
      </w:divBdr>
    </w:div>
    <w:div w:id="356464137">
      <w:bodyDiv w:val="1"/>
      <w:marLeft w:val="0"/>
      <w:marRight w:val="0"/>
      <w:marTop w:val="0"/>
      <w:marBottom w:val="0"/>
      <w:divBdr>
        <w:top w:val="none" w:sz="0" w:space="0" w:color="auto"/>
        <w:left w:val="none" w:sz="0" w:space="0" w:color="auto"/>
        <w:bottom w:val="none" w:sz="0" w:space="0" w:color="auto"/>
        <w:right w:val="none" w:sz="0" w:space="0" w:color="auto"/>
      </w:divBdr>
    </w:div>
    <w:div w:id="362051405">
      <w:bodyDiv w:val="1"/>
      <w:marLeft w:val="0"/>
      <w:marRight w:val="0"/>
      <w:marTop w:val="0"/>
      <w:marBottom w:val="0"/>
      <w:divBdr>
        <w:top w:val="none" w:sz="0" w:space="0" w:color="auto"/>
        <w:left w:val="none" w:sz="0" w:space="0" w:color="auto"/>
        <w:bottom w:val="none" w:sz="0" w:space="0" w:color="auto"/>
        <w:right w:val="none" w:sz="0" w:space="0" w:color="auto"/>
      </w:divBdr>
    </w:div>
    <w:div w:id="367951677">
      <w:bodyDiv w:val="1"/>
      <w:marLeft w:val="0"/>
      <w:marRight w:val="0"/>
      <w:marTop w:val="0"/>
      <w:marBottom w:val="0"/>
      <w:divBdr>
        <w:top w:val="none" w:sz="0" w:space="0" w:color="auto"/>
        <w:left w:val="none" w:sz="0" w:space="0" w:color="auto"/>
        <w:bottom w:val="none" w:sz="0" w:space="0" w:color="auto"/>
        <w:right w:val="none" w:sz="0" w:space="0" w:color="auto"/>
      </w:divBdr>
    </w:div>
    <w:div w:id="372539366">
      <w:bodyDiv w:val="1"/>
      <w:marLeft w:val="0"/>
      <w:marRight w:val="0"/>
      <w:marTop w:val="0"/>
      <w:marBottom w:val="0"/>
      <w:divBdr>
        <w:top w:val="none" w:sz="0" w:space="0" w:color="auto"/>
        <w:left w:val="none" w:sz="0" w:space="0" w:color="auto"/>
        <w:bottom w:val="none" w:sz="0" w:space="0" w:color="auto"/>
        <w:right w:val="none" w:sz="0" w:space="0" w:color="auto"/>
      </w:divBdr>
    </w:div>
    <w:div w:id="388386526">
      <w:bodyDiv w:val="1"/>
      <w:marLeft w:val="0"/>
      <w:marRight w:val="0"/>
      <w:marTop w:val="0"/>
      <w:marBottom w:val="0"/>
      <w:divBdr>
        <w:top w:val="none" w:sz="0" w:space="0" w:color="auto"/>
        <w:left w:val="none" w:sz="0" w:space="0" w:color="auto"/>
        <w:bottom w:val="none" w:sz="0" w:space="0" w:color="auto"/>
        <w:right w:val="none" w:sz="0" w:space="0" w:color="auto"/>
      </w:divBdr>
    </w:div>
    <w:div w:id="390347811">
      <w:bodyDiv w:val="1"/>
      <w:marLeft w:val="0"/>
      <w:marRight w:val="0"/>
      <w:marTop w:val="0"/>
      <w:marBottom w:val="0"/>
      <w:divBdr>
        <w:top w:val="none" w:sz="0" w:space="0" w:color="auto"/>
        <w:left w:val="none" w:sz="0" w:space="0" w:color="auto"/>
        <w:bottom w:val="none" w:sz="0" w:space="0" w:color="auto"/>
        <w:right w:val="none" w:sz="0" w:space="0" w:color="auto"/>
      </w:divBdr>
    </w:div>
    <w:div w:id="392196768">
      <w:bodyDiv w:val="1"/>
      <w:marLeft w:val="0"/>
      <w:marRight w:val="0"/>
      <w:marTop w:val="0"/>
      <w:marBottom w:val="0"/>
      <w:divBdr>
        <w:top w:val="none" w:sz="0" w:space="0" w:color="auto"/>
        <w:left w:val="none" w:sz="0" w:space="0" w:color="auto"/>
        <w:bottom w:val="none" w:sz="0" w:space="0" w:color="auto"/>
        <w:right w:val="none" w:sz="0" w:space="0" w:color="auto"/>
      </w:divBdr>
    </w:div>
    <w:div w:id="395202011">
      <w:bodyDiv w:val="1"/>
      <w:marLeft w:val="0"/>
      <w:marRight w:val="0"/>
      <w:marTop w:val="0"/>
      <w:marBottom w:val="0"/>
      <w:divBdr>
        <w:top w:val="none" w:sz="0" w:space="0" w:color="auto"/>
        <w:left w:val="none" w:sz="0" w:space="0" w:color="auto"/>
        <w:bottom w:val="none" w:sz="0" w:space="0" w:color="auto"/>
        <w:right w:val="none" w:sz="0" w:space="0" w:color="auto"/>
      </w:divBdr>
    </w:div>
    <w:div w:id="420025334">
      <w:bodyDiv w:val="1"/>
      <w:marLeft w:val="0"/>
      <w:marRight w:val="0"/>
      <w:marTop w:val="0"/>
      <w:marBottom w:val="0"/>
      <w:divBdr>
        <w:top w:val="none" w:sz="0" w:space="0" w:color="auto"/>
        <w:left w:val="none" w:sz="0" w:space="0" w:color="auto"/>
        <w:bottom w:val="none" w:sz="0" w:space="0" w:color="auto"/>
        <w:right w:val="none" w:sz="0" w:space="0" w:color="auto"/>
      </w:divBdr>
    </w:div>
    <w:div w:id="431366551">
      <w:bodyDiv w:val="1"/>
      <w:marLeft w:val="0"/>
      <w:marRight w:val="0"/>
      <w:marTop w:val="0"/>
      <w:marBottom w:val="0"/>
      <w:divBdr>
        <w:top w:val="none" w:sz="0" w:space="0" w:color="auto"/>
        <w:left w:val="none" w:sz="0" w:space="0" w:color="auto"/>
        <w:bottom w:val="none" w:sz="0" w:space="0" w:color="auto"/>
        <w:right w:val="none" w:sz="0" w:space="0" w:color="auto"/>
      </w:divBdr>
    </w:div>
    <w:div w:id="486214101">
      <w:bodyDiv w:val="1"/>
      <w:marLeft w:val="0"/>
      <w:marRight w:val="0"/>
      <w:marTop w:val="0"/>
      <w:marBottom w:val="0"/>
      <w:divBdr>
        <w:top w:val="none" w:sz="0" w:space="0" w:color="auto"/>
        <w:left w:val="none" w:sz="0" w:space="0" w:color="auto"/>
        <w:bottom w:val="none" w:sz="0" w:space="0" w:color="auto"/>
        <w:right w:val="none" w:sz="0" w:space="0" w:color="auto"/>
      </w:divBdr>
    </w:div>
    <w:div w:id="487936713">
      <w:bodyDiv w:val="1"/>
      <w:marLeft w:val="0"/>
      <w:marRight w:val="0"/>
      <w:marTop w:val="0"/>
      <w:marBottom w:val="0"/>
      <w:divBdr>
        <w:top w:val="none" w:sz="0" w:space="0" w:color="auto"/>
        <w:left w:val="none" w:sz="0" w:space="0" w:color="auto"/>
        <w:bottom w:val="none" w:sz="0" w:space="0" w:color="auto"/>
        <w:right w:val="none" w:sz="0" w:space="0" w:color="auto"/>
      </w:divBdr>
    </w:div>
    <w:div w:id="494422427">
      <w:bodyDiv w:val="1"/>
      <w:marLeft w:val="0"/>
      <w:marRight w:val="0"/>
      <w:marTop w:val="0"/>
      <w:marBottom w:val="0"/>
      <w:divBdr>
        <w:top w:val="none" w:sz="0" w:space="0" w:color="auto"/>
        <w:left w:val="none" w:sz="0" w:space="0" w:color="auto"/>
        <w:bottom w:val="none" w:sz="0" w:space="0" w:color="auto"/>
        <w:right w:val="none" w:sz="0" w:space="0" w:color="auto"/>
      </w:divBdr>
    </w:div>
    <w:div w:id="508834954">
      <w:bodyDiv w:val="1"/>
      <w:marLeft w:val="0"/>
      <w:marRight w:val="0"/>
      <w:marTop w:val="0"/>
      <w:marBottom w:val="0"/>
      <w:divBdr>
        <w:top w:val="none" w:sz="0" w:space="0" w:color="auto"/>
        <w:left w:val="none" w:sz="0" w:space="0" w:color="auto"/>
        <w:bottom w:val="none" w:sz="0" w:space="0" w:color="auto"/>
        <w:right w:val="none" w:sz="0" w:space="0" w:color="auto"/>
      </w:divBdr>
    </w:div>
    <w:div w:id="534851245">
      <w:bodyDiv w:val="1"/>
      <w:marLeft w:val="0"/>
      <w:marRight w:val="0"/>
      <w:marTop w:val="0"/>
      <w:marBottom w:val="0"/>
      <w:divBdr>
        <w:top w:val="none" w:sz="0" w:space="0" w:color="auto"/>
        <w:left w:val="none" w:sz="0" w:space="0" w:color="auto"/>
        <w:bottom w:val="none" w:sz="0" w:space="0" w:color="auto"/>
        <w:right w:val="none" w:sz="0" w:space="0" w:color="auto"/>
      </w:divBdr>
    </w:div>
    <w:div w:id="546186792">
      <w:bodyDiv w:val="1"/>
      <w:marLeft w:val="0"/>
      <w:marRight w:val="0"/>
      <w:marTop w:val="0"/>
      <w:marBottom w:val="0"/>
      <w:divBdr>
        <w:top w:val="none" w:sz="0" w:space="0" w:color="auto"/>
        <w:left w:val="none" w:sz="0" w:space="0" w:color="auto"/>
        <w:bottom w:val="none" w:sz="0" w:space="0" w:color="auto"/>
        <w:right w:val="none" w:sz="0" w:space="0" w:color="auto"/>
      </w:divBdr>
    </w:div>
    <w:div w:id="548305391">
      <w:bodyDiv w:val="1"/>
      <w:marLeft w:val="0"/>
      <w:marRight w:val="0"/>
      <w:marTop w:val="0"/>
      <w:marBottom w:val="0"/>
      <w:divBdr>
        <w:top w:val="none" w:sz="0" w:space="0" w:color="auto"/>
        <w:left w:val="none" w:sz="0" w:space="0" w:color="auto"/>
        <w:bottom w:val="none" w:sz="0" w:space="0" w:color="auto"/>
        <w:right w:val="none" w:sz="0" w:space="0" w:color="auto"/>
      </w:divBdr>
    </w:div>
    <w:div w:id="548497233">
      <w:bodyDiv w:val="1"/>
      <w:marLeft w:val="0"/>
      <w:marRight w:val="0"/>
      <w:marTop w:val="0"/>
      <w:marBottom w:val="0"/>
      <w:divBdr>
        <w:top w:val="none" w:sz="0" w:space="0" w:color="auto"/>
        <w:left w:val="none" w:sz="0" w:space="0" w:color="auto"/>
        <w:bottom w:val="none" w:sz="0" w:space="0" w:color="auto"/>
        <w:right w:val="none" w:sz="0" w:space="0" w:color="auto"/>
      </w:divBdr>
    </w:div>
    <w:div w:id="568543920">
      <w:bodyDiv w:val="1"/>
      <w:marLeft w:val="0"/>
      <w:marRight w:val="0"/>
      <w:marTop w:val="0"/>
      <w:marBottom w:val="0"/>
      <w:divBdr>
        <w:top w:val="none" w:sz="0" w:space="0" w:color="auto"/>
        <w:left w:val="none" w:sz="0" w:space="0" w:color="auto"/>
        <w:bottom w:val="none" w:sz="0" w:space="0" w:color="auto"/>
        <w:right w:val="none" w:sz="0" w:space="0" w:color="auto"/>
      </w:divBdr>
    </w:div>
    <w:div w:id="579489076">
      <w:bodyDiv w:val="1"/>
      <w:marLeft w:val="0"/>
      <w:marRight w:val="0"/>
      <w:marTop w:val="0"/>
      <w:marBottom w:val="0"/>
      <w:divBdr>
        <w:top w:val="none" w:sz="0" w:space="0" w:color="auto"/>
        <w:left w:val="none" w:sz="0" w:space="0" w:color="auto"/>
        <w:bottom w:val="none" w:sz="0" w:space="0" w:color="auto"/>
        <w:right w:val="none" w:sz="0" w:space="0" w:color="auto"/>
      </w:divBdr>
    </w:div>
    <w:div w:id="585384010">
      <w:bodyDiv w:val="1"/>
      <w:marLeft w:val="0"/>
      <w:marRight w:val="0"/>
      <w:marTop w:val="0"/>
      <w:marBottom w:val="0"/>
      <w:divBdr>
        <w:top w:val="none" w:sz="0" w:space="0" w:color="auto"/>
        <w:left w:val="none" w:sz="0" w:space="0" w:color="auto"/>
        <w:bottom w:val="none" w:sz="0" w:space="0" w:color="auto"/>
        <w:right w:val="none" w:sz="0" w:space="0" w:color="auto"/>
      </w:divBdr>
    </w:div>
    <w:div w:id="598611068">
      <w:bodyDiv w:val="1"/>
      <w:marLeft w:val="0"/>
      <w:marRight w:val="0"/>
      <w:marTop w:val="0"/>
      <w:marBottom w:val="0"/>
      <w:divBdr>
        <w:top w:val="none" w:sz="0" w:space="0" w:color="auto"/>
        <w:left w:val="none" w:sz="0" w:space="0" w:color="auto"/>
        <w:bottom w:val="none" w:sz="0" w:space="0" w:color="auto"/>
        <w:right w:val="none" w:sz="0" w:space="0" w:color="auto"/>
      </w:divBdr>
    </w:div>
    <w:div w:id="611977930">
      <w:bodyDiv w:val="1"/>
      <w:marLeft w:val="0"/>
      <w:marRight w:val="0"/>
      <w:marTop w:val="0"/>
      <w:marBottom w:val="0"/>
      <w:divBdr>
        <w:top w:val="none" w:sz="0" w:space="0" w:color="auto"/>
        <w:left w:val="none" w:sz="0" w:space="0" w:color="auto"/>
        <w:bottom w:val="none" w:sz="0" w:space="0" w:color="auto"/>
        <w:right w:val="none" w:sz="0" w:space="0" w:color="auto"/>
      </w:divBdr>
    </w:div>
    <w:div w:id="620234352">
      <w:bodyDiv w:val="1"/>
      <w:marLeft w:val="0"/>
      <w:marRight w:val="0"/>
      <w:marTop w:val="0"/>
      <w:marBottom w:val="0"/>
      <w:divBdr>
        <w:top w:val="none" w:sz="0" w:space="0" w:color="auto"/>
        <w:left w:val="none" w:sz="0" w:space="0" w:color="auto"/>
        <w:bottom w:val="none" w:sz="0" w:space="0" w:color="auto"/>
        <w:right w:val="none" w:sz="0" w:space="0" w:color="auto"/>
      </w:divBdr>
    </w:div>
    <w:div w:id="624772382">
      <w:bodyDiv w:val="1"/>
      <w:marLeft w:val="0"/>
      <w:marRight w:val="0"/>
      <w:marTop w:val="0"/>
      <w:marBottom w:val="0"/>
      <w:divBdr>
        <w:top w:val="none" w:sz="0" w:space="0" w:color="auto"/>
        <w:left w:val="none" w:sz="0" w:space="0" w:color="auto"/>
        <w:bottom w:val="none" w:sz="0" w:space="0" w:color="auto"/>
        <w:right w:val="none" w:sz="0" w:space="0" w:color="auto"/>
      </w:divBdr>
    </w:div>
    <w:div w:id="632909791">
      <w:bodyDiv w:val="1"/>
      <w:marLeft w:val="0"/>
      <w:marRight w:val="0"/>
      <w:marTop w:val="0"/>
      <w:marBottom w:val="0"/>
      <w:divBdr>
        <w:top w:val="none" w:sz="0" w:space="0" w:color="auto"/>
        <w:left w:val="none" w:sz="0" w:space="0" w:color="auto"/>
        <w:bottom w:val="none" w:sz="0" w:space="0" w:color="auto"/>
        <w:right w:val="none" w:sz="0" w:space="0" w:color="auto"/>
      </w:divBdr>
    </w:div>
    <w:div w:id="637613559">
      <w:bodyDiv w:val="1"/>
      <w:marLeft w:val="0"/>
      <w:marRight w:val="0"/>
      <w:marTop w:val="0"/>
      <w:marBottom w:val="0"/>
      <w:divBdr>
        <w:top w:val="none" w:sz="0" w:space="0" w:color="auto"/>
        <w:left w:val="none" w:sz="0" w:space="0" w:color="auto"/>
        <w:bottom w:val="none" w:sz="0" w:space="0" w:color="auto"/>
        <w:right w:val="none" w:sz="0" w:space="0" w:color="auto"/>
      </w:divBdr>
    </w:div>
    <w:div w:id="665400306">
      <w:bodyDiv w:val="1"/>
      <w:marLeft w:val="0"/>
      <w:marRight w:val="0"/>
      <w:marTop w:val="0"/>
      <w:marBottom w:val="0"/>
      <w:divBdr>
        <w:top w:val="none" w:sz="0" w:space="0" w:color="auto"/>
        <w:left w:val="none" w:sz="0" w:space="0" w:color="auto"/>
        <w:bottom w:val="none" w:sz="0" w:space="0" w:color="auto"/>
        <w:right w:val="none" w:sz="0" w:space="0" w:color="auto"/>
      </w:divBdr>
    </w:div>
    <w:div w:id="689842379">
      <w:bodyDiv w:val="1"/>
      <w:marLeft w:val="0"/>
      <w:marRight w:val="0"/>
      <w:marTop w:val="0"/>
      <w:marBottom w:val="0"/>
      <w:divBdr>
        <w:top w:val="none" w:sz="0" w:space="0" w:color="auto"/>
        <w:left w:val="none" w:sz="0" w:space="0" w:color="auto"/>
        <w:bottom w:val="none" w:sz="0" w:space="0" w:color="auto"/>
        <w:right w:val="none" w:sz="0" w:space="0" w:color="auto"/>
      </w:divBdr>
    </w:div>
    <w:div w:id="690643215">
      <w:bodyDiv w:val="1"/>
      <w:marLeft w:val="0"/>
      <w:marRight w:val="0"/>
      <w:marTop w:val="0"/>
      <w:marBottom w:val="0"/>
      <w:divBdr>
        <w:top w:val="none" w:sz="0" w:space="0" w:color="auto"/>
        <w:left w:val="none" w:sz="0" w:space="0" w:color="auto"/>
        <w:bottom w:val="none" w:sz="0" w:space="0" w:color="auto"/>
        <w:right w:val="none" w:sz="0" w:space="0" w:color="auto"/>
      </w:divBdr>
    </w:div>
    <w:div w:id="750855500">
      <w:bodyDiv w:val="1"/>
      <w:marLeft w:val="0"/>
      <w:marRight w:val="0"/>
      <w:marTop w:val="0"/>
      <w:marBottom w:val="0"/>
      <w:divBdr>
        <w:top w:val="none" w:sz="0" w:space="0" w:color="auto"/>
        <w:left w:val="none" w:sz="0" w:space="0" w:color="auto"/>
        <w:bottom w:val="none" w:sz="0" w:space="0" w:color="auto"/>
        <w:right w:val="none" w:sz="0" w:space="0" w:color="auto"/>
      </w:divBdr>
    </w:div>
    <w:div w:id="757214257">
      <w:bodyDiv w:val="1"/>
      <w:marLeft w:val="0"/>
      <w:marRight w:val="0"/>
      <w:marTop w:val="0"/>
      <w:marBottom w:val="0"/>
      <w:divBdr>
        <w:top w:val="none" w:sz="0" w:space="0" w:color="auto"/>
        <w:left w:val="none" w:sz="0" w:space="0" w:color="auto"/>
        <w:bottom w:val="none" w:sz="0" w:space="0" w:color="auto"/>
        <w:right w:val="none" w:sz="0" w:space="0" w:color="auto"/>
      </w:divBdr>
    </w:div>
    <w:div w:id="757219113">
      <w:bodyDiv w:val="1"/>
      <w:marLeft w:val="0"/>
      <w:marRight w:val="0"/>
      <w:marTop w:val="0"/>
      <w:marBottom w:val="0"/>
      <w:divBdr>
        <w:top w:val="none" w:sz="0" w:space="0" w:color="auto"/>
        <w:left w:val="none" w:sz="0" w:space="0" w:color="auto"/>
        <w:bottom w:val="none" w:sz="0" w:space="0" w:color="auto"/>
        <w:right w:val="none" w:sz="0" w:space="0" w:color="auto"/>
      </w:divBdr>
    </w:div>
    <w:div w:id="769352207">
      <w:bodyDiv w:val="1"/>
      <w:marLeft w:val="0"/>
      <w:marRight w:val="0"/>
      <w:marTop w:val="0"/>
      <w:marBottom w:val="0"/>
      <w:divBdr>
        <w:top w:val="none" w:sz="0" w:space="0" w:color="auto"/>
        <w:left w:val="none" w:sz="0" w:space="0" w:color="auto"/>
        <w:bottom w:val="none" w:sz="0" w:space="0" w:color="auto"/>
        <w:right w:val="none" w:sz="0" w:space="0" w:color="auto"/>
      </w:divBdr>
    </w:div>
    <w:div w:id="772478020">
      <w:bodyDiv w:val="1"/>
      <w:marLeft w:val="0"/>
      <w:marRight w:val="0"/>
      <w:marTop w:val="0"/>
      <w:marBottom w:val="0"/>
      <w:divBdr>
        <w:top w:val="none" w:sz="0" w:space="0" w:color="auto"/>
        <w:left w:val="none" w:sz="0" w:space="0" w:color="auto"/>
        <w:bottom w:val="none" w:sz="0" w:space="0" w:color="auto"/>
        <w:right w:val="none" w:sz="0" w:space="0" w:color="auto"/>
      </w:divBdr>
    </w:div>
    <w:div w:id="778649882">
      <w:bodyDiv w:val="1"/>
      <w:marLeft w:val="0"/>
      <w:marRight w:val="0"/>
      <w:marTop w:val="0"/>
      <w:marBottom w:val="0"/>
      <w:divBdr>
        <w:top w:val="none" w:sz="0" w:space="0" w:color="auto"/>
        <w:left w:val="none" w:sz="0" w:space="0" w:color="auto"/>
        <w:bottom w:val="none" w:sz="0" w:space="0" w:color="auto"/>
        <w:right w:val="none" w:sz="0" w:space="0" w:color="auto"/>
      </w:divBdr>
    </w:div>
    <w:div w:id="786967171">
      <w:bodyDiv w:val="1"/>
      <w:marLeft w:val="0"/>
      <w:marRight w:val="0"/>
      <w:marTop w:val="0"/>
      <w:marBottom w:val="0"/>
      <w:divBdr>
        <w:top w:val="none" w:sz="0" w:space="0" w:color="auto"/>
        <w:left w:val="none" w:sz="0" w:space="0" w:color="auto"/>
        <w:bottom w:val="none" w:sz="0" w:space="0" w:color="auto"/>
        <w:right w:val="none" w:sz="0" w:space="0" w:color="auto"/>
      </w:divBdr>
    </w:div>
    <w:div w:id="793713443">
      <w:bodyDiv w:val="1"/>
      <w:marLeft w:val="0"/>
      <w:marRight w:val="0"/>
      <w:marTop w:val="0"/>
      <w:marBottom w:val="0"/>
      <w:divBdr>
        <w:top w:val="none" w:sz="0" w:space="0" w:color="auto"/>
        <w:left w:val="none" w:sz="0" w:space="0" w:color="auto"/>
        <w:bottom w:val="none" w:sz="0" w:space="0" w:color="auto"/>
        <w:right w:val="none" w:sz="0" w:space="0" w:color="auto"/>
      </w:divBdr>
    </w:div>
    <w:div w:id="818763189">
      <w:bodyDiv w:val="1"/>
      <w:marLeft w:val="0"/>
      <w:marRight w:val="0"/>
      <w:marTop w:val="0"/>
      <w:marBottom w:val="0"/>
      <w:divBdr>
        <w:top w:val="none" w:sz="0" w:space="0" w:color="auto"/>
        <w:left w:val="none" w:sz="0" w:space="0" w:color="auto"/>
        <w:bottom w:val="none" w:sz="0" w:space="0" w:color="auto"/>
        <w:right w:val="none" w:sz="0" w:space="0" w:color="auto"/>
      </w:divBdr>
    </w:div>
    <w:div w:id="834804593">
      <w:bodyDiv w:val="1"/>
      <w:marLeft w:val="0"/>
      <w:marRight w:val="0"/>
      <w:marTop w:val="0"/>
      <w:marBottom w:val="0"/>
      <w:divBdr>
        <w:top w:val="none" w:sz="0" w:space="0" w:color="auto"/>
        <w:left w:val="none" w:sz="0" w:space="0" w:color="auto"/>
        <w:bottom w:val="none" w:sz="0" w:space="0" w:color="auto"/>
        <w:right w:val="none" w:sz="0" w:space="0" w:color="auto"/>
      </w:divBdr>
    </w:div>
    <w:div w:id="855074281">
      <w:bodyDiv w:val="1"/>
      <w:marLeft w:val="0"/>
      <w:marRight w:val="0"/>
      <w:marTop w:val="0"/>
      <w:marBottom w:val="0"/>
      <w:divBdr>
        <w:top w:val="none" w:sz="0" w:space="0" w:color="auto"/>
        <w:left w:val="none" w:sz="0" w:space="0" w:color="auto"/>
        <w:bottom w:val="none" w:sz="0" w:space="0" w:color="auto"/>
        <w:right w:val="none" w:sz="0" w:space="0" w:color="auto"/>
      </w:divBdr>
    </w:div>
    <w:div w:id="859048528">
      <w:bodyDiv w:val="1"/>
      <w:marLeft w:val="0"/>
      <w:marRight w:val="0"/>
      <w:marTop w:val="0"/>
      <w:marBottom w:val="0"/>
      <w:divBdr>
        <w:top w:val="none" w:sz="0" w:space="0" w:color="auto"/>
        <w:left w:val="none" w:sz="0" w:space="0" w:color="auto"/>
        <w:bottom w:val="none" w:sz="0" w:space="0" w:color="auto"/>
        <w:right w:val="none" w:sz="0" w:space="0" w:color="auto"/>
      </w:divBdr>
    </w:div>
    <w:div w:id="882446409">
      <w:bodyDiv w:val="1"/>
      <w:marLeft w:val="0"/>
      <w:marRight w:val="0"/>
      <w:marTop w:val="0"/>
      <w:marBottom w:val="0"/>
      <w:divBdr>
        <w:top w:val="none" w:sz="0" w:space="0" w:color="auto"/>
        <w:left w:val="none" w:sz="0" w:space="0" w:color="auto"/>
        <w:bottom w:val="none" w:sz="0" w:space="0" w:color="auto"/>
        <w:right w:val="none" w:sz="0" w:space="0" w:color="auto"/>
      </w:divBdr>
    </w:div>
    <w:div w:id="901788885">
      <w:bodyDiv w:val="1"/>
      <w:marLeft w:val="0"/>
      <w:marRight w:val="0"/>
      <w:marTop w:val="0"/>
      <w:marBottom w:val="0"/>
      <w:divBdr>
        <w:top w:val="none" w:sz="0" w:space="0" w:color="auto"/>
        <w:left w:val="none" w:sz="0" w:space="0" w:color="auto"/>
        <w:bottom w:val="none" w:sz="0" w:space="0" w:color="auto"/>
        <w:right w:val="none" w:sz="0" w:space="0" w:color="auto"/>
      </w:divBdr>
    </w:div>
    <w:div w:id="910697686">
      <w:bodyDiv w:val="1"/>
      <w:marLeft w:val="0"/>
      <w:marRight w:val="0"/>
      <w:marTop w:val="0"/>
      <w:marBottom w:val="0"/>
      <w:divBdr>
        <w:top w:val="none" w:sz="0" w:space="0" w:color="auto"/>
        <w:left w:val="none" w:sz="0" w:space="0" w:color="auto"/>
        <w:bottom w:val="none" w:sz="0" w:space="0" w:color="auto"/>
        <w:right w:val="none" w:sz="0" w:space="0" w:color="auto"/>
      </w:divBdr>
    </w:div>
    <w:div w:id="912929476">
      <w:bodyDiv w:val="1"/>
      <w:marLeft w:val="0"/>
      <w:marRight w:val="0"/>
      <w:marTop w:val="0"/>
      <w:marBottom w:val="0"/>
      <w:divBdr>
        <w:top w:val="none" w:sz="0" w:space="0" w:color="auto"/>
        <w:left w:val="none" w:sz="0" w:space="0" w:color="auto"/>
        <w:bottom w:val="none" w:sz="0" w:space="0" w:color="auto"/>
        <w:right w:val="none" w:sz="0" w:space="0" w:color="auto"/>
      </w:divBdr>
    </w:div>
    <w:div w:id="917863783">
      <w:bodyDiv w:val="1"/>
      <w:marLeft w:val="0"/>
      <w:marRight w:val="0"/>
      <w:marTop w:val="0"/>
      <w:marBottom w:val="0"/>
      <w:divBdr>
        <w:top w:val="none" w:sz="0" w:space="0" w:color="auto"/>
        <w:left w:val="none" w:sz="0" w:space="0" w:color="auto"/>
        <w:bottom w:val="none" w:sz="0" w:space="0" w:color="auto"/>
        <w:right w:val="none" w:sz="0" w:space="0" w:color="auto"/>
      </w:divBdr>
    </w:div>
    <w:div w:id="943418845">
      <w:bodyDiv w:val="1"/>
      <w:marLeft w:val="0"/>
      <w:marRight w:val="0"/>
      <w:marTop w:val="0"/>
      <w:marBottom w:val="0"/>
      <w:divBdr>
        <w:top w:val="none" w:sz="0" w:space="0" w:color="auto"/>
        <w:left w:val="none" w:sz="0" w:space="0" w:color="auto"/>
        <w:bottom w:val="none" w:sz="0" w:space="0" w:color="auto"/>
        <w:right w:val="none" w:sz="0" w:space="0" w:color="auto"/>
      </w:divBdr>
    </w:div>
    <w:div w:id="952248774">
      <w:bodyDiv w:val="1"/>
      <w:marLeft w:val="0"/>
      <w:marRight w:val="0"/>
      <w:marTop w:val="0"/>
      <w:marBottom w:val="0"/>
      <w:divBdr>
        <w:top w:val="none" w:sz="0" w:space="0" w:color="auto"/>
        <w:left w:val="none" w:sz="0" w:space="0" w:color="auto"/>
        <w:bottom w:val="none" w:sz="0" w:space="0" w:color="auto"/>
        <w:right w:val="none" w:sz="0" w:space="0" w:color="auto"/>
      </w:divBdr>
    </w:div>
    <w:div w:id="954365678">
      <w:bodyDiv w:val="1"/>
      <w:marLeft w:val="0"/>
      <w:marRight w:val="0"/>
      <w:marTop w:val="0"/>
      <w:marBottom w:val="0"/>
      <w:divBdr>
        <w:top w:val="none" w:sz="0" w:space="0" w:color="auto"/>
        <w:left w:val="none" w:sz="0" w:space="0" w:color="auto"/>
        <w:bottom w:val="none" w:sz="0" w:space="0" w:color="auto"/>
        <w:right w:val="none" w:sz="0" w:space="0" w:color="auto"/>
      </w:divBdr>
    </w:div>
    <w:div w:id="954673713">
      <w:bodyDiv w:val="1"/>
      <w:marLeft w:val="0"/>
      <w:marRight w:val="0"/>
      <w:marTop w:val="0"/>
      <w:marBottom w:val="0"/>
      <w:divBdr>
        <w:top w:val="none" w:sz="0" w:space="0" w:color="auto"/>
        <w:left w:val="none" w:sz="0" w:space="0" w:color="auto"/>
        <w:bottom w:val="none" w:sz="0" w:space="0" w:color="auto"/>
        <w:right w:val="none" w:sz="0" w:space="0" w:color="auto"/>
      </w:divBdr>
    </w:div>
    <w:div w:id="955407205">
      <w:bodyDiv w:val="1"/>
      <w:marLeft w:val="0"/>
      <w:marRight w:val="0"/>
      <w:marTop w:val="0"/>
      <w:marBottom w:val="0"/>
      <w:divBdr>
        <w:top w:val="none" w:sz="0" w:space="0" w:color="auto"/>
        <w:left w:val="none" w:sz="0" w:space="0" w:color="auto"/>
        <w:bottom w:val="none" w:sz="0" w:space="0" w:color="auto"/>
        <w:right w:val="none" w:sz="0" w:space="0" w:color="auto"/>
      </w:divBdr>
    </w:div>
    <w:div w:id="975793869">
      <w:bodyDiv w:val="1"/>
      <w:marLeft w:val="0"/>
      <w:marRight w:val="0"/>
      <w:marTop w:val="0"/>
      <w:marBottom w:val="0"/>
      <w:divBdr>
        <w:top w:val="none" w:sz="0" w:space="0" w:color="auto"/>
        <w:left w:val="none" w:sz="0" w:space="0" w:color="auto"/>
        <w:bottom w:val="none" w:sz="0" w:space="0" w:color="auto"/>
        <w:right w:val="none" w:sz="0" w:space="0" w:color="auto"/>
      </w:divBdr>
    </w:div>
    <w:div w:id="980622641">
      <w:bodyDiv w:val="1"/>
      <w:marLeft w:val="0"/>
      <w:marRight w:val="0"/>
      <w:marTop w:val="0"/>
      <w:marBottom w:val="0"/>
      <w:divBdr>
        <w:top w:val="none" w:sz="0" w:space="0" w:color="auto"/>
        <w:left w:val="none" w:sz="0" w:space="0" w:color="auto"/>
        <w:bottom w:val="none" w:sz="0" w:space="0" w:color="auto"/>
        <w:right w:val="none" w:sz="0" w:space="0" w:color="auto"/>
      </w:divBdr>
    </w:div>
    <w:div w:id="987393119">
      <w:bodyDiv w:val="1"/>
      <w:marLeft w:val="0"/>
      <w:marRight w:val="0"/>
      <w:marTop w:val="0"/>
      <w:marBottom w:val="0"/>
      <w:divBdr>
        <w:top w:val="none" w:sz="0" w:space="0" w:color="auto"/>
        <w:left w:val="none" w:sz="0" w:space="0" w:color="auto"/>
        <w:bottom w:val="none" w:sz="0" w:space="0" w:color="auto"/>
        <w:right w:val="none" w:sz="0" w:space="0" w:color="auto"/>
      </w:divBdr>
    </w:div>
    <w:div w:id="1004745344">
      <w:bodyDiv w:val="1"/>
      <w:marLeft w:val="0"/>
      <w:marRight w:val="0"/>
      <w:marTop w:val="0"/>
      <w:marBottom w:val="0"/>
      <w:divBdr>
        <w:top w:val="none" w:sz="0" w:space="0" w:color="auto"/>
        <w:left w:val="none" w:sz="0" w:space="0" w:color="auto"/>
        <w:bottom w:val="none" w:sz="0" w:space="0" w:color="auto"/>
        <w:right w:val="none" w:sz="0" w:space="0" w:color="auto"/>
      </w:divBdr>
    </w:div>
    <w:div w:id="1018506188">
      <w:bodyDiv w:val="1"/>
      <w:marLeft w:val="0"/>
      <w:marRight w:val="0"/>
      <w:marTop w:val="0"/>
      <w:marBottom w:val="0"/>
      <w:divBdr>
        <w:top w:val="none" w:sz="0" w:space="0" w:color="auto"/>
        <w:left w:val="none" w:sz="0" w:space="0" w:color="auto"/>
        <w:bottom w:val="none" w:sz="0" w:space="0" w:color="auto"/>
        <w:right w:val="none" w:sz="0" w:space="0" w:color="auto"/>
      </w:divBdr>
    </w:div>
    <w:div w:id="1018964975">
      <w:bodyDiv w:val="1"/>
      <w:marLeft w:val="0"/>
      <w:marRight w:val="0"/>
      <w:marTop w:val="0"/>
      <w:marBottom w:val="0"/>
      <w:divBdr>
        <w:top w:val="none" w:sz="0" w:space="0" w:color="auto"/>
        <w:left w:val="none" w:sz="0" w:space="0" w:color="auto"/>
        <w:bottom w:val="none" w:sz="0" w:space="0" w:color="auto"/>
        <w:right w:val="none" w:sz="0" w:space="0" w:color="auto"/>
      </w:divBdr>
    </w:div>
    <w:div w:id="1031078059">
      <w:bodyDiv w:val="1"/>
      <w:marLeft w:val="0"/>
      <w:marRight w:val="0"/>
      <w:marTop w:val="0"/>
      <w:marBottom w:val="0"/>
      <w:divBdr>
        <w:top w:val="none" w:sz="0" w:space="0" w:color="auto"/>
        <w:left w:val="none" w:sz="0" w:space="0" w:color="auto"/>
        <w:bottom w:val="none" w:sz="0" w:space="0" w:color="auto"/>
        <w:right w:val="none" w:sz="0" w:space="0" w:color="auto"/>
      </w:divBdr>
    </w:div>
    <w:div w:id="1050880736">
      <w:bodyDiv w:val="1"/>
      <w:marLeft w:val="0"/>
      <w:marRight w:val="0"/>
      <w:marTop w:val="0"/>
      <w:marBottom w:val="0"/>
      <w:divBdr>
        <w:top w:val="none" w:sz="0" w:space="0" w:color="auto"/>
        <w:left w:val="none" w:sz="0" w:space="0" w:color="auto"/>
        <w:bottom w:val="none" w:sz="0" w:space="0" w:color="auto"/>
        <w:right w:val="none" w:sz="0" w:space="0" w:color="auto"/>
      </w:divBdr>
    </w:div>
    <w:div w:id="1067607569">
      <w:bodyDiv w:val="1"/>
      <w:marLeft w:val="0"/>
      <w:marRight w:val="0"/>
      <w:marTop w:val="0"/>
      <w:marBottom w:val="0"/>
      <w:divBdr>
        <w:top w:val="none" w:sz="0" w:space="0" w:color="auto"/>
        <w:left w:val="none" w:sz="0" w:space="0" w:color="auto"/>
        <w:bottom w:val="none" w:sz="0" w:space="0" w:color="auto"/>
        <w:right w:val="none" w:sz="0" w:space="0" w:color="auto"/>
      </w:divBdr>
    </w:div>
    <w:div w:id="1101218395">
      <w:bodyDiv w:val="1"/>
      <w:marLeft w:val="0"/>
      <w:marRight w:val="0"/>
      <w:marTop w:val="0"/>
      <w:marBottom w:val="0"/>
      <w:divBdr>
        <w:top w:val="none" w:sz="0" w:space="0" w:color="auto"/>
        <w:left w:val="none" w:sz="0" w:space="0" w:color="auto"/>
        <w:bottom w:val="none" w:sz="0" w:space="0" w:color="auto"/>
        <w:right w:val="none" w:sz="0" w:space="0" w:color="auto"/>
      </w:divBdr>
    </w:div>
    <w:div w:id="1117601276">
      <w:bodyDiv w:val="1"/>
      <w:marLeft w:val="0"/>
      <w:marRight w:val="0"/>
      <w:marTop w:val="0"/>
      <w:marBottom w:val="0"/>
      <w:divBdr>
        <w:top w:val="none" w:sz="0" w:space="0" w:color="auto"/>
        <w:left w:val="none" w:sz="0" w:space="0" w:color="auto"/>
        <w:bottom w:val="none" w:sz="0" w:space="0" w:color="auto"/>
        <w:right w:val="none" w:sz="0" w:space="0" w:color="auto"/>
      </w:divBdr>
    </w:div>
    <w:div w:id="1118261099">
      <w:bodyDiv w:val="1"/>
      <w:marLeft w:val="0"/>
      <w:marRight w:val="0"/>
      <w:marTop w:val="0"/>
      <w:marBottom w:val="0"/>
      <w:divBdr>
        <w:top w:val="none" w:sz="0" w:space="0" w:color="auto"/>
        <w:left w:val="none" w:sz="0" w:space="0" w:color="auto"/>
        <w:bottom w:val="none" w:sz="0" w:space="0" w:color="auto"/>
        <w:right w:val="none" w:sz="0" w:space="0" w:color="auto"/>
      </w:divBdr>
    </w:div>
    <w:div w:id="1123966301">
      <w:bodyDiv w:val="1"/>
      <w:marLeft w:val="0"/>
      <w:marRight w:val="0"/>
      <w:marTop w:val="0"/>
      <w:marBottom w:val="0"/>
      <w:divBdr>
        <w:top w:val="none" w:sz="0" w:space="0" w:color="auto"/>
        <w:left w:val="none" w:sz="0" w:space="0" w:color="auto"/>
        <w:bottom w:val="none" w:sz="0" w:space="0" w:color="auto"/>
        <w:right w:val="none" w:sz="0" w:space="0" w:color="auto"/>
      </w:divBdr>
    </w:div>
    <w:div w:id="1128933412">
      <w:bodyDiv w:val="1"/>
      <w:marLeft w:val="0"/>
      <w:marRight w:val="0"/>
      <w:marTop w:val="0"/>
      <w:marBottom w:val="0"/>
      <w:divBdr>
        <w:top w:val="none" w:sz="0" w:space="0" w:color="auto"/>
        <w:left w:val="none" w:sz="0" w:space="0" w:color="auto"/>
        <w:bottom w:val="none" w:sz="0" w:space="0" w:color="auto"/>
        <w:right w:val="none" w:sz="0" w:space="0" w:color="auto"/>
      </w:divBdr>
    </w:div>
    <w:div w:id="1136485473">
      <w:bodyDiv w:val="1"/>
      <w:marLeft w:val="0"/>
      <w:marRight w:val="0"/>
      <w:marTop w:val="0"/>
      <w:marBottom w:val="0"/>
      <w:divBdr>
        <w:top w:val="none" w:sz="0" w:space="0" w:color="auto"/>
        <w:left w:val="none" w:sz="0" w:space="0" w:color="auto"/>
        <w:bottom w:val="none" w:sz="0" w:space="0" w:color="auto"/>
        <w:right w:val="none" w:sz="0" w:space="0" w:color="auto"/>
      </w:divBdr>
    </w:div>
    <w:div w:id="1158686525">
      <w:bodyDiv w:val="1"/>
      <w:marLeft w:val="0"/>
      <w:marRight w:val="0"/>
      <w:marTop w:val="0"/>
      <w:marBottom w:val="0"/>
      <w:divBdr>
        <w:top w:val="none" w:sz="0" w:space="0" w:color="auto"/>
        <w:left w:val="none" w:sz="0" w:space="0" w:color="auto"/>
        <w:bottom w:val="none" w:sz="0" w:space="0" w:color="auto"/>
        <w:right w:val="none" w:sz="0" w:space="0" w:color="auto"/>
      </w:divBdr>
    </w:div>
    <w:div w:id="1160122927">
      <w:bodyDiv w:val="1"/>
      <w:marLeft w:val="0"/>
      <w:marRight w:val="0"/>
      <w:marTop w:val="0"/>
      <w:marBottom w:val="0"/>
      <w:divBdr>
        <w:top w:val="none" w:sz="0" w:space="0" w:color="auto"/>
        <w:left w:val="none" w:sz="0" w:space="0" w:color="auto"/>
        <w:bottom w:val="none" w:sz="0" w:space="0" w:color="auto"/>
        <w:right w:val="none" w:sz="0" w:space="0" w:color="auto"/>
      </w:divBdr>
    </w:div>
    <w:div w:id="1175460334">
      <w:bodyDiv w:val="1"/>
      <w:marLeft w:val="0"/>
      <w:marRight w:val="0"/>
      <w:marTop w:val="0"/>
      <w:marBottom w:val="0"/>
      <w:divBdr>
        <w:top w:val="none" w:sz="0" w:space="0" w:color="auto"/>
        <w:left w:val="none" w:sz="0" w:space="0" w:color="auto"/>
        <w:bottom w:val="none" w:sz="0" w:space="0" w:color="auto"/>
        <w:right w:val="none" w:sz="0" w:space="0" w:color="auto"/>
      </w:divBdr>
    </w:div>
    <w:div w:id="1187865457">
      <w:bodyDiv w:val="1"/>
      <w:marLeft w:val="0"/>
      <w:marRight w:val="0"/>
      <w:marTop w:val="0"/>
      <w:marBottom w:val="0"/>
      <w:divBdr>
        <w:top w:val="none" w:sz="0" w:space="0" w:color="auto"/>
        <w:left w:val="none" w:sz="0" w:space="0" w:color="auto"/>
        <w:bottom w:val="none" w:sz="0" w:space="0" w:color="auto"/>
        <w:right w:val="none" w:sz="0" w:space="0" w:color="auto"/>
      </w:divBdr>
    </w:div>
    <w:div w:id="1222061111">
      <w:bodyDiv w:val="1"/>
      <w:marLeft w:val="0"/>
      <w:marRight w:val="0"/>
      <w:marTop w:val="0"/>
      <w:marBottom w:val="0"/>
      <w:divBdr>
        <w:top w:val="none" w:sz="0" w:space="0" w:color="auto"/>
        <w:left w:val="none" w:sz="0" w:space="0" w:color="auto"/>
        <w:bottom w:val="none" w:sz="0" w:space="0" w:color="auto"/>
        <w:right w:val="none" w:sz="0" w:space="0" w:color="auto"/>
      </w:divBdr>
    </w:div>
    <w:div w:id="1231959805">
      <w:bodyDiv w:val="1"/>
      <w:marLeft w:val="0"/>
      <w:marRight w:val="0"/>
      <w:marTop w:val="0"/>
      <w:marBottom w:val="0"/>
      <w:divBdr>
        <w:top w:val="none" w:sz="0" w:space="0" w:color="auto"/>
        <w:left w:val="none" w:sz="0" w:space="0" w:color="auto"/>
        <w:bottom w:val="none" w:sz="0" w:space="0" w:color="auto"/>
        <w:right w:val="none" w:sz="0" w:space="0" w:color="auto"/>
      </w:divBdr>
    </w:div>
    <w:div w:id="1249778325">
      <w:bodyDiv w:val="1"/>
      <w:marLeft w:val="0"/>
      <w:marRight w:val="0"/>
      <w:marTop w:val="0"/>
      <w:marBottom w:val="0"/>
      <w:divBdr>
        <w:top w:val="none" w:sz="0" w:space="0" w:color="auto"/>
        <w:left w:val="none" w:sz="0" w:space="0" w:color="auto"/>
        <w:bottom w:val="none" w:sz="0" w:space="0" w:color="auto"/>
        <w:right w:val="none" w:sz="0" w:space="0" w:color="auto"/>
      </w:divBdr>
    </w:div>
    <w:div w:id="1281916034">
      <w:bodyDiv w:val="1"/>
      <w:marLeft w:val="0"/>
      <w:marRight w:val="0"/>
      <w:marTop w:val="0"/>
      <w:marBottom w:val="0"/>
      <w:divBdr>
        <w:top w:val="none" w:sz="0" w:space="0" w:color="auto"/>
        <w:left w:val="none" w:sz="0" w:space="0" w:color="auto"/>
        <w:bottom w:val="none" w:sz="0" w:space="0" w:color="auto"/>
        <w:right w:val="none" w:sz="0" w:space="0" w:color="auto"/>
      </w:divBdr>
    </w:div>
    <w:div w:id="1301378192">
      <w:bodyDiv w:val="1"/>
      <w:marLeft w:val="0"/>
      <w:marRight w:val="0"/>
      <w:marTop w:val="0"/>
      <w:marBottom w:val="0"/>
      <w:divBdr>
        <w:top w:val="none" w:sz="0" w:space="0" w:color="auto"/>
        <w:left w:val="none" w:sz="0" w:space="0" w:color="auto"/>
        <w:bottom w:val="none" w:sz="0" w:space="0" w:color="auto"/>
        <w:right w:val="none" w:sz="0" w:space="0" w:color="auto"/>
      </w:divBdr>
    </w:div>
    <w:div w:id="1309363357">
      <w:bodyDiv w:val="1"/>
      <w:marLeft w:val="0"/>
      <w:marRight w:val="0"/>
      <w:marTop w:val="0"/>
      <w:marBottom w:val="0"/>
      <w:divBdr>
        <w:top w:val="none" w:sz="0" w:space="0" w:color="auto"/>
        <w:left w:val="none" w:sz="0" w:space="0" w:color="auto"/>
        <w:bottom w:val="none" w:sz="0" w:space="0" w:color="auto"/>
        <w:right w:val="none" w:sz="0" w:space="0" w:color="auto"/>
      </w:divBdr>
    </w:div>
    <w:div w:id="1309935971">
      <w:bodyDiv w:val="1"/>
      <w:marLeft w:val="0"/>
      <w:marRight w:val="0"/>
      <w:marTop w:val="0"/>
      <w:marBottom w:val="0"/>
      <w:divBdr>
        <w:top w:val="none" w:sz="0" w:space="0" w:color="auto"/>
        <w:left w:val="none" w:sz="0" w:space="0" w:color="auto"/>
        <w:bottom w:val="none" w:sz="0" w:space="0" w:color="auto"/>
        <w:right w:val="none" w:sz="0" w:space="0" w:color="auto"/>
      </w:divBdr>
    </w:div>
    <w:div w:id="1311403996">
      <w:bodyDiv w:val="1"/>
      <w:marLeft w:val="0"/>
      <w:marRight w:val="0"/>
      <w:marTop w:val="0"/>
      <w:marBottom w:val="0"/>
      <w:divBdr>
        <w:top w:val="none" w:sz="0" w:space="0" w:color="auto"/>
        <w:left w:val="none" w:sz="0" w:space="0" w:color="auto"/>
        <w:bottom w:val="none" w:sz="0" w:space="0" w:color="auto"/>
        <w:right w:val="none" w:sz="0" w:space="0" w:color="auto"/>
      </w:divBdr>
    </w:div>
    <w:div w:id="1317145845">
      <w:bodyDiv w:val="1"/>
      <w:marLeft w:val="0"/>
      <w:marRight w:val="0"/>
      <w:marTop w:val="0"/>
      <w:marBottom w:val="0"/>
      <w:divBdr>
        <w:top w:val="none" w:sz="0" w:space="0" w:color="auto"/>
        <w:left w:val="none" w:sz="0" w:space="0" w:color="auto"/>
        <w:bottom w:val="none" w:sz="0" w:space="0" w:color="auto"/>
        <w:right w:val="none" w:sz="0" w:space="0" w:color="auto"/>
      </w:divBdr>
    </w:div>
    <w:div w:id="1321814636">
      <w:bodyDiv w:val="1"/>
      <w:marLeft w:val="0"/>
      <w:marRight w:val="0"/>
      <w:marTop w:val="0"/>
      <w:marBottom w:val="0"/>
      <w:divBdr>
        <w:top w:val="none" w:sz="0" w:space="0" w:color="auto"/>
        <w:left w:val="none" w:sz="0" w:space="0" w:color="auto"/>
        <w:bottom w:val="none" w:sz="0" w:space="0" w:color="auto"/>
        <w:right w:val="none" w:sz="0" w:space="0" w:color="auto"/>
      </w:divBdr>
    </w:div>
    <w:div w:id="1350840682">
      <w:bodyDiv w:val="1"/>
      <w:marLeft w:val="0"/>
      <w:marRight w:val="0"/>
      <w:marTop w:val="0"/>
      <w:marBottom w:val="0"/>
      <w:divBdr>
        <w:top w:val="none" w:sz="0" w:space="0" w:color="auto"/>
        <w:left w:val="none" w:sz="0" w:space="0" w:color="auto"/>
        <w:bottom w:val="none" w:sz="0" w:space="0" w:color="auto"/>
        <w:right w:val="none" w:sz="0" w:space="0" w:color="auto"/>
      </w:divBdr>
    </w:div>
    <w:div w:id="1354114958">
      <w:bodyDiv w:val="1"/>
      <w:marLeft w:val="0"/>
      <w:marRight w:val="0"/>
      <w:marTop w:val="0"/>
      <w:marBottom w:val="0"/>
      <w:divBdr>
        <w:top w:val="none" w:sz="0" w:space="0" w:color="auto"/>
        <w:left w:val="none" w:sz="0" w:space="0" w:color="auto"/>
        <w:bottom w:val="none" w:sz="0" w:space="0" w:color="auto"/>
        <w:right w:val="none" w:sz="0" w:space="0" w:color="auto"/>
      </w:divBdr>
    </w:div>
    <w:div w:id="1355955220">
      <w:bodyDiv w:val="1"/>
      <w:marLeft w:val="0"/>
      <w:marRight w:val="0"/>
      <w:marTop w:val="0"/>
      <w:marBottom w:val="0"/>
      <w:divBdr>
        <w:top w:val="none" w:sz="0" w:space="0" w:color="auto"/>
        <w:left w:val="none" w:sz="0" w:space="0" w:color="auto"/>
        <w:bottom w:val="none" w:sz="0" w:space="0" w:color="auto"/>
        <w:right w:val="none" w:sz="0" w:space="0" w:color="auto"/>
      </w:divBdr>
    </w:div>
    <w:div w:id="1420372711">
      <w:bodyDiv w:val="1"/>
      <w:marLeft w:val="0"/>
      <w:marRight w:val="0"/>
      <w:marTop w:val="0"/>
      <w:marBottom w:val="0"/>
      <w:divBdr>
        <w:top w:val="none" w:sz="0" w:space="0" w:color="auto"/>
        <w:left w:val="none" w:sz="0" w:space="0" w:color="auto"/>
        <w:bottom w:val="none" w:sz="0" w:space="0" w:color="auto"/>
        <w:right w:val="none" w:sz="0" w:space="0" w:color="auto"/>
      </w:divBdr>
    </w:div>
    <w:div w:id="1450783560">
      <w:bodyDiv w:val="1"/>
      <w:marLeft w:val="0"/>
      <w:marRight w:val="0"/>
      <w:marTop w:val="0"/>
      <w:marBottom w:val="0"/>
      <w:divBdr>
        <w:top w:val="none" w:sz="0" w:space="0" w:color="auto"/>
        <w:left w:val="none" w:sz="0" w:space="0" w:color="auto"/>
        <w:bottom w:val="none" w:sz="0" w:space="0" w:color="auto"/>
        <w:right w:val="none" w:sz="0" w:space="0" w:color="auto"/>
      </w:divBdr>
    </w:div>
    <w:div w:id="1462529353">
      <w:bodyDiv w:val="1"/>
      <w:marLeft w:val="0"/>
      <w:marRight w:val="0"/>
      <w:marTop w:val="0"/>
      <w:marBottom w:val="0"/>
      <w:divBdr>
        <w:top w:val="none" w:sz="0" w:space="0" w:color="auto"/>
        <w:left w:val="none" w:sz="0" w:space="0" w:color="auto"/>
        <w:bottom w:val="none" w:sz="0" w:space="0" w:color="auto"/>
        <w:right w:val="none" w:sz="0" w:space="0" w:color="auto"/>
      </w:divBdr>
    </w:div>
    <w:div w:id="1496728706">
      <w:bodyDiv w:val="1"/>
      <w:marLeft w:val="0"/>
      <w:marRight w:val="0"/>
      <w:marTop w:val="0"/>
      <w:marBottom w:val="0"/>
      <w:divBdr>
        <w:top w:val="none" w:sz="0" w:space="0" w:color="auto"/>
        <w:left w:val="none" w:sz="0" w:space="0" w:color="auto"/>
        <w:bottom w:val="none" w:sz="0" w:space="0" w:color="auto"/>
        <w:right w:val="none" w:sz="0" w:space="0" w:color="auto"/>
      </w:divBdr>
    </w:div>
    <w:div w:id="1499347305">
      <w:bodyDiv w:val="1"/>
      <w:marLeft w:val="0"/>
      <w:marRight w:val="0"/>
      <w:marTop w:val="0"/>
      <w:marBottom w:val="0"/>
      <w:divBdr>
        <w:top w:val="none" w:sz="0" w:space="0" w:color="auto"/>
        <w:left w:val="none" w:sz="0" w:space="0" w:color="auto"/>
        <w:bottom w:val="none" w:sz="0" w:space="0" w:color="auto"/>
        <w:right w:val="none" w:sz="0" w:space="0" w:color="auto"/>
      </w:divBdr>
    </w:div>
    <w:div w:id="1500315956">
      <w:bodyDiv w:val="1"/>
      <w:marLeft w:val="0"/>
      <w:marRight w:val="0"/>
      <w:marTop w:val="0"/>
      <w:marBottom w:val="0"/>
      <w:divBdr>
        <w:top w:val="none" w:sz="0" w:space="0" w:color="auto"/>
        <w:left w:val="none" w:sz="0" w:space="0" w:color="auto"/>
        <w:bottom w:val="none" w:sz="0" w:space="0" w:color="auto"/>
        <w:right w:val="none" w:sz="0" w:space="0" w:color="auto"/>
      </w:divBdr>
    </w:div>
    <w:div w:id="1501308699">
      <w:bodyDiv w:val="1"/>
      <w:marLeft w:val="0"/>
      <w:marRight w:val="0"/>
      <w:marTop w:val="0"/>
      <w:marBottom w:val="0"/>
      <w:divBdr>
        <w:top w:val="none" w:sz="0" w:space="0" w:color="auto"/>
        <w:left w:val="none" w:sz="0" w:space="0" w:color="auto"/>
        <w:bottom w:val="none" w:sz="0" w:space="0" w:color="auto"/>
        <w:right w:val="none" w:sz="0" w:space="0" w:color="auto"/>
      </w:divBdr>
    </w:div>
    <w:div w:id="1509323017">
      <w:bodyDiv w:val="1"/>
      <w:marLeft w:val="0"/>
      <w:marRight w:val="0"/>
      <w:marTop w:val="0"/>
      <w:marBottom w:val="0"/>
      <w:divBdr>
        <w:top w:val="none" w:sz="0" w:space="0" w:color="auto"/>
        <w:left w:val="none" w:sz="0" w:space="0" w:color="auto"/>
        <w:bottom w:val="none" w:sz="0" w:space="0" w:color="auto"/>
        <w:right w:val="none" w:sz="0" w:space="0" w:color="auto"/>
      </w:divBdr>
    </w:div>
    <w:div w:id="1540974082">
      <w:bodyDiv w:val="1"/>
      <w:marLeft w:val="0"/>
      <w:marRight w:val="0"/>
      <w:marTop w:val="0"/>
      <w:marBottom w:val="0"/>
      <w:divBdr>
        <w:top w:val="none" w:sz="0" w:space="0" w:color="auto"/>
        <w:left w:val="none" w:sz="0" w:space="0" w:color="auto"/>
        <w:bottom w:val="none" w:sz="0" w:space="0" w:color="auto"/>
        <w:right w:val="none" w:sz="0" w:space="0" w:color="auto"/>
      </w:divBdr>
    </w:div>
    <w:div w:id="1550267853">
      <w:bodyDiv w:val="1"/>
      <w:marLeft w:val="0"/>
      <w:marRight w:val="0"/>
      <w:marTop w:val="0"/>
      <w:marBottom w:val="0"/>
      <w:divBdr>
        <w:top w:val="none" w:sz="0" w:space="0" w:color="auto"/>
        <w:left w:val="none" w:sz="0" w:space="0" w:color="auto"/>
        <w:bottom w:val="none" w:sz="0" w:space="0" w:color="auto"/>
        <w:right w:val="none" w:sz="0" w:space="0" w:color="auto"/>
      </w:divBdr>
    </w:div>
    <w:div w:id="1555971082">
      <w:bodyDiv w:val="1"/>
      <w:marLeft w:val="0"/>
      <w:marRight w:val="0"/>
      <w:marTop w:val="0"/>
      <w:marBottom w:val="0"/>
      <w:divBdr>
        <w:top w:val="none" w:sz="0" w:space="0" w:color="auto"/>
        <w:left w:val="none" w:sz="0" w:space="0" w:color="auto"/>
        <w:bottom w:val="none" w:sz="0" w:space="0" w:color="auto"/>
        <w:right w:val="none" w:sz="0" w:space="0" w:color="auto"/>
      </w:divBdr>
    </w:div>
    <w:div w:id="1560945695">
      <w:bodyDiv w:val="1"/>
      <w:marLeft w:val="0"/>
      <w:marRight w:val="0"/>
      <w:marTop w:val="0"/>
      <w:marBottom w:val="0"/>
      <w:divBdr>
        <w:top w:val="none" w:sz="0" w:space="0" w:color="auto"/>
        <w:left w:val="none" w:sz="0" w:space="0" w:color="auto"/>
        <w:bottom w:val="none" w:sz="0" w:space="0" w:color="auto"/>
        <w:right w:val="none" w:sz="0" w:space="0" w:color="auto"/>
      </w:divBdr>
    </w:div>
    <w:div w:id="1580485721">
      <w:bodyDiv w:val="1"/>
      <w:marLeft w:val="0"/>
      <w:marRight w:val="0"/>
      <w:marTop w:val="0"/>
      <w:marBottom w:val="0"/>
      <w:divBdr>
        <w:top w:val="none" w:sz="0" w:space="0" w:color="auto"/>
        <w:left w:val="none" w:sz="0" w:space="0" w:color="auto"/>
        <w:bottom w:val="none" w:sz="0" w:space="0" w:color="auto"/>
        <w:right w:val="none" w:sz="0" w:space="0" w:color="auto"/>
      </w:divBdr>
    </w:div>
    <w:div w:id="1586571778">
      <w:bodyDiv w:val="1"/>
      <w:marLeft w:val="0"/>
      <w:marRight w:val="0"/>
      <w:marTop w:val="0"/>
      <w:marBottom w:val="0"/>
      <w:divBdr>
        <w:top w:val="none" w:sz="0" w:space="0" w:color="auto"/>
        <w:left w:val="none" w:sz="0" w:space="0" w:color="auto"/>
        <w:bottom w:val="none" w:sz="0" w:space="0" w:color="auto"/>
        <w:right w:val="none" w:sz="0" w:space="0" w:color="auto"/>
      </w:divBdr>
    </w:div>
    <w:div w:id="1587882931">
      <w:bodyDiv w:val="1"/>
      <w:marLeft w:val="0"/>
      <w:marRight w:val="0"/>
      <w:marTop w:val="0"/>
      <w:marBottom w:val="0"/>
      <w:divBdr>
        <w:top w:val="none" w:sz="0" w:space="0" w:color="auto"/>
        <w:left w:val="none" w:sz="0" w:space="0" w:color="auto"/>
        <w:bottom w:val="none" w:sz="0" w:space="0" w:color="auto"/>
        <w:right w:val="none" w:sz="0" w:space="0" w:color="auto"/>
      </w:divBdr>
    </w:div>
    <w:div w:id="1590581202">
      <w:bodyDiv w:val="1"/>
      <w:marLeft w:val="0"/>
      <w:marRight w:val="0"/>
      <w:marTop w:val="0"/>
      <w:marBottom w:val="0"/>
      <w:divBdr>
        <w:top w:val="none" w:sz="0" w:space="0" w:color="auto"/>
        <w:left w:val="none" w:sz="0" w:space="0" w:color="auto"/>
        <w:bottom w:val="none" w:sz="0" w:space="0" w:color="auto"/>
        <w:right w:val="none" w:sz="0" w:space="0" w:color="auto"/>
      </w:divBdr>
    </w:div>
    <w:div w:id="1597785063">
      <w:bodyDiv w:val="1"/>
      <w:marLeft w:val="0"/>
      <w:marRight w:val="0"/>
      <w:marTop w:val="0"/>
      <w:marBottom w:val="0"/>
      <w:divBdr>
        <w:top w:val="none" w:sz="0" w:space="0" w:color="auto"/>
        <w:left w:val="none" w:sz="0" w:space="0" w:color="auto"/>
        <w:bottom w:val="none" w:sz="0" w:space="0" w:color="auto"/>
        <w:right w:val="none" w:sz="0" w:space="0" w:color="auto"/>
      </w:divBdr>
    </w:div>
    <w:div w:id="1599557056">
      <w:bodyDiv w:val="1"/>
      <w:marLeft w:val="0"/>
      <w:marRight w:val="0"/>
      <w:marTop w:val="0"/>
      <w:marBottom w:val="0"/>
      <w:divBdr>
        <w:top w:val="none" w:sz="0" w:space="0" w:color="auto"/>
        <w:left w:val="none" w:sz="0" w:space="0" w:color="auto"/>
        <w:bottom w:val="none" w:sz="0" w:space="0" w:color="auto"/>
        <w:right w:val="none" w:sz="0" w:space="0" w:color="auto"/>
      </w:divBdr>
    </w:div>
    <w:div w:id="1633947827">
      <w:bodyDiv w:val="1"/>
      <w:marLeft w:val="0"/>
      <w:marRight w:val="0"/>
      <w:marTop w:val="0"/>
      <w:marBottom w:val="0"/>
      <w:divBdr>
        <w:top w:val="none" w:sz="0" w:space="0" w:color="auto"/>
        <w:left w:val="none" w:sz="0" w:space="0" w:color="auto"/>
        <w:bottom w:val="none" w:sz="0" w:space="0" w:color="auto"/>
        <w:right w:val="none" w:sz="0" w:space="0" w:color="auto"/>
      </w:divBdr>
    </w:div>
    <w:div w:id="1636521067">
      <w:bodyDiv w:val="1"/>
      <w:marLeft w:val="0"/>
      <w:marRight w:val="0"/>
      <w:marTop w:val="0"/>
      <w:marBottom w:val="0"/>
      <w:divBdr>
        <w:top w:val="none" w:sz="0" w:space="0" w:color="auto"/>
        <w:left w:val="none" w:sz="0" w:space="0" w:color="auto"/>
        <w:bottom w:val="none" w:sz="0" w:space="0" w:color="auto"/>
        <w:right w:val="none" w:sz="0" w:space="0" w:color="auto"/>
      </w:divBdr>
    </w:div>
    <w:div w:id="1648246054">
      <w:bodyDiv w:val="1"/>
      <w:marLeft w:val="0"/>
      <w:marRight w:val="0"/>
      <w:marTop w:val="0"/>
      <w:marBottom w:val="0"/>
      <w:divBdr>
        <w:top w:val="none" w:sz="0" w:space="0" w:color="auto"/>
        <w:left w:val="none" w:sz="0" w:space="0" w:color="auto"/>
        <w:bottom w:val="none" w:sz="0" w:space="0" w:color="auto"/>
        <w:right w:val="none" w:sz="0" w:space="0" w:color="auto"/>
      </w:divBdr>
    </w:div>
    <w:div w:id="1655374086">
      <w:bodyDiv w:val="1"/>
      <w:marLeft w:val="0"/>
      <w:marRight w:val="0"/>
      <w:marTop w:val="0"/>
      <w:marBottom w:val="0"/>
      <w:divBdr>
        <w:top w:val="none" w:sz="0" w:space="0" w:color="auto"/>
        <w:left w:val="none" w:sz="0" w:space="0" w:color="auto"/>
        <w:bottom w:val="none" w:sz="0" w:space="0" w:color="auto"/>
        <w:right w:val="none" w:sz="0" w:space="0" w:color="auto"/>
      </w:divBdr>
    </w:div>
    <w:div w:id="1656907348">
      <w:bodyDiv w:val="1"/>
      <w:marLeft w:val="0"/>
      <w:marRight w:val="0"/>
      <w:marTop w:val="0"/>
      <w:marBottom w:val="0"/>
      <w:divBdr>
        <w:top w:val="none" w:sz="0" w:space="0" w:color="auto"/>
        <w:left w:val="none" w:sz="0" w:space="0" w:color="auto"/>
        <w:bottom w:val="none" w:sz="0" w:space="0" w:color="auto"/>
        <w:right w:val="none" w:sz="0" w:space="0" w:color="auto"/>
      </w:divBdr>
    </w:div>
    <w:div w:id="1673603963">
      <w:bodyDiv w:val="1"/>
      <w:marLeft w:val="0"/>
      <w:marRight w:val="0"/>
      <w:marTop w:val="0"/>
      <w:marBottom w:val="0"/>
      <w:divBdr>
        <w:top w:val="none" w:sz="0" w:space="0" w:color="auto"/>
        <w:left w:val="none" w:sz="0" w:space="0" w:color="auto"/>
        <w:bottom w:val="none" w:sz="0" w:space="0" w:color="auto"/>
        <w:right w:val="none" w:sz="0" w:space="0" w:color="auto"/>
      </w:divBdr>
    </w:div>
    <w:div w:id="1676689218">
      <w:bodyDiv w:val="1"/>
      <w:marLeft w:val="0"/>
      <w:marRight w:val="0"/>
      <w:marTop w:val="0"/>
      <w:marBottom w:val="0"/>
      <w:divBdr>
        <w:top w:val="none" w:sz="0" w:space="0" w:color="auto"/>
        <w:left w:val="none" w:sz="0" w:space="0" w:color="auto"/>
        <w:bottom w:val="none" w:sz="0" w:space="0" w:color="auto"/>
        <w:right w:val="none" w:sz="0" w:space="0" w:color="auto"/>
      </w:divBdr>
    </w:div>
    <w:div w:id="1699769326">
      <w:bodyDiv w:val="1"/>
      <w:marLeft w:val="0"/>
      <w:marRight w:val="0"/>
      <w:marTop w:val="0"/>
      <w:marBottom w:val="0"/>
      <w:divBdr>
        <w:top w:val="none" w:sz="0" w:space="0" w:color="auto"/>
        <w:left w:val="none" w:sz="0" w:space="0" w:color="auto"/>
        <w:bottom w:val="none" w:sz="0" w:space="0" w:color="auto"/>
        <w:right w:val="none" w:sz="0" w:space="0" w:color="auto"/>
      </w:divBdr>
    </w:div>
    <w:div w:id="1710371499">
      <w:bodyDiv w:val="1"/>
      <w:marLeft w:val="0"/>
      <w:marRight w:val="0"/>
      <w:marTop w:val="0"/>
      <w:marBottom w:val="0"/>
      <w:divBdr>
        <w:top w:val="none" w:sz="0" w:space="0" w:color="auto"/>
        <w:left w:val="none" w:sz="0" w:space="0" w:color="auto"/>
        <w:bottom w:val="none" w:sz="0" w:space="0" w:color="auto"/>
        <w:right w:val="none" w:sz="0" w:space="0" w:color="auto"/>
      </w:divBdr>
    </w:div>
    <w:div w:id="1712268188">
      <w:bodyDiv w:val="1"/>
      <w:marLeft w:val="0"/>
      <w:marRight w:val="0"/>
      <w:marTop w:val="0"/>
      <w:marBottom w:val="0"/>
      <w:divBdr>
        <w:top w:val="none" w:sz="0" w:space="0" w:color="auto"/>
        <w:left w:val="none" w:sz="0" w:space="0" w:color="auto"/>
        <w:bottom w:val="none" w:sz="0" w:space="0" w:color="auto"/>
        <w:right w:val="none" w:sz="0" w:space="0" w:color="auto"/>
      </w:divBdr>
    </w:div>
    <w:div w:id="1755975577">
      <w:bodyDiv w:val="1"/>
      <w:marLeft w:val="0"/>
      <w:marRight w:val="0"/>
      <w:marTop w:val="0"/>
      <w:marBottom w:val="0"/>
      <w:divBdr>
        <w:top w:val="none" w:sz="0" w:space="0" w:color="auto"/>
        <w:left w:val="none" w:sz="0" w:space="0" w:color="auto"/>
        <w:bottom w:val="none" w:sz="0" w:space="0" w:color="auto"/>
        <w:right w:val="none" w:sz="0" w:space="0" w:color="auto"/>
      </w:divBdr>
    </w:div>
    <w:div w:id="1771124672">
      <w:bodyDiv w:val="1"/>
      <w:marLeft w:val="0"/>
      <w:marRight w:val="0"/>
      <w:marTop w:val="0"/>
      <w:marBottom w:val="0"/>
      <w:divBdr>
        <w:top w:val="none" w:sz="0" w:space="0" w:color="auto"/>
        <w:left w:val="none" w:sz="0" w:space="0" w:color="auto"/>
        <w:bottom w:val="none" w:sz="0" w:space="0" w:color="auto"/>
        <w:right w:val="none" w:sz="0" w:space="0" w:color="auto"/>
      </w:divBdr>
    </w:div>
    <w:div w:id="1776242293">
      <w:bodyDiv w:val="1"/>
      <w:marLeft w:val="0"/>
      <w:marRight w:val="0"/>
      <w:marTop w:val="0"/>
      <w:marBottom w:val="0"/>
      <w:divBdr>
        <w:top w:val="none" w:sz="0" w:space="0" w:color="auto"/>
        <w:left w:val="none" w:sz="0" w:space="0" w:color="auto"/>
        <w:bottom w:val="none" w:sz="0" w:space="0" w:color="auto"/>
        <w:right w:val="none" w:sz="0" w:space="0" w:color="auto"/>
      </w:divBdr>
    </w:div>
    <w:div w:id="1810319020">
      <w:bodyDiv w:val="1"/>
      <w:marLeft w:val="0"/>
      <w:marRight w:val="0"/>
      <w:marTop w:val="0"/>
      <w:marBottom w:val="0"/>
      <w:divBdr>
        <w:top w:val="none" w:sz="0" w:space="0" w:color="auto"/>
        <w:left w:val="none" w:sz="0" w:space="0" w:color="auto"/>
        <w:bottom w:val="none" w:sz="0" w:space="0" w:color="auto"/>
        <w:right w:val="none" w:sz="0" w:space="0" w:color="auto"/>
      </w:divBdr>
    </w:div>
    <w:div w:id="1827623052">
      <w:bodyDiv w:val="1"/>
      <w:marLeft w:val="0"/>
      <w:marRight w:val="0"/>
      <w:marTop w:val="0"/>
      <w:marBottom w:val="0"/>
      <w:divBdr>
        <w:top w:val="none" w:sz="0" w:space="0" w:color="auto"/>
        <w:left w:val="none" w:sz="0" w:space="0" w:color="auto"/>
        <w:bottom w:val="none" w:sz="0" w:space="0" w:color="auto"/>
        <w:right w:val="none" w:sz="0" w:space="0" w:color="auto"/>
      </w:divBdr>
    </w:div>
    <w:div w:id="1850560612">
      <w:bodyDiv w:val="1"/>
      <w:marLeft w:val="0"/>
      <w:marRight w:val="0"/>
      <w:marTop w:val="0"/>
      <w:marBottom w:val="0"/>
      <w:divBdr>
        <w:top w:val="none" w:sz="0" w:space="0" w:color="auto"/>
        <w:left w:val="none" w:sz="0" w:space="0" w:color="auto"/>
        <w:bottom w:val="none" w:sz="0" w:space="0" w:color="auto"/>
        <w:right w:val="none" w:sz="0" w:space="0" w:color="auto"/>
      </w:divBdr>
    </w:div>
    <w:div w:id="1854876199">
      <w:bodyDiv w:val="1"/>
      <w:marLeft w:val="0"/>
      <w:marRight w:val="0"/>
      <w:marTop w:val="0"/>
      <w:marBottom w:val="0"/>
      <w:divBdr>
        <w:top w:val="none" w:sz="0" w:space="0" w:color="auto"/>
        <w:left w:val="none" w:sz="0" w:space="0" w:color="auto"/>
        <w:bottom w:val="none" w:sz="0" w:space="0" w:color="auto"/>
        <w:right w:val="none" w:sz="0" w:space="0" w:color="auto"/>
      </w:divBdr>
    </w:div>
    <w:div w:id="1862621013">
      <w:bodyDiv w:val="1"/>
      <w:marLeft w:val="0"/>
      <w:marRight w:val="0"/>
      <w:marTop w:val="0"/>
      <w:marBottom w:val="0"/>
      <w:divBdr>
        <w:top w:val="none" w:sz="0" w:space="0" w:color="auto"/>
        <w:left w:val="none" w:sz="0" w:space="0" w:color="auto"/>
        <w:bottom w:val="none" w:sz="0" w:space="0" w:color="auto"/>
        <w:right w:val="none" w:sz="0" w:space="0" w:color="auto"/>
      </w:divBdr>
    </w:div>
    <w:div w:id="1871602052">
      <w:bodyDiv w:val="1"/>
      <w:marLeft w:val="0"/>
      <w:marRight w:val="0"/>
      <w:marTop w:val="0"/>
      <w:marBottom w:val="0"/>
      <w:divBdr>
        <w:top w:val="none" w:sz="0" w:space="0" w:color="auto"/>
        <w:left w:val="none" w:sz="0" w:space="0" w:color="auto"/>
        <w:bottom w:val="none" w:sz="0" w:space="0" w:color="auto"/>
        <w:right w:val="none" w:sz="0" w:space="0" w:color="auto"/>
      </w:divBdr>
      <w:divsChild>
        <w:div w:id="1290817147">
          <w:marLeft w:val="0"/>
          <w:marRight w:val="75"/>
          <w:marTop w:val="0"/>
          <w:marBottom w:val="0"/>
          <w:divBdr>
            <w:top w:val="none" w:sz="0" w:space="0" w:color="auto"/>
            <w:left w:val="none" w:sz="0" w:space="0" w:color="auto"/>
            <w:bottom w:val="none" w:sz="0" w:space="0" w:color="auto"/>
            <w:right w:val="none" w:sz="0" w:space="0" w:color="auto"/>
          </w:divBdr>
        </w:div>
        <w:div w:id="1975913302">
          <w:marLeft w:val="0"/>
          <w:marRight w:val="0"/>
          <w:marTop w:val="0"/>
          <w:marBottom w:val="300"/>
          <w:divBdr>
            <w:top w:val="none" w:sz="0" w:space="0" w:color="auto"/>
            <w:left w:val="none" w:sz="0" w:space="0" w:color="auto"/>
            <w:bottom w:val="none" w:sz="0" w:space="0" w:color="auto"/>
            <w:right w:val="none" w:sz="0" w:space="0" w:color="auto"/>
          </w:divBdr>
        </w:div>
      </w:divsChild>
    </w:div>
    <w:div w:id="1880632169">
      <w:bodyDiv w:val="1"/>
      <w:marLeft w:val="0"/>
      <w:marRight w:val="0"/>
      <w:marTop w:val="0"/>
      <w:marBottom w:val="0"/>
      <w:divBdr>
        <w:top w:val="none" w:sz="0" w:space="0" w:color="auto"/>
        <w:left w:val="none" w:sz="0" w:space="0" w:color="auto"/>
        <w:bottom w:val="none" w:sz="0" w:space="0" w:color="auto"/>
        <w:right w:val="none" w:sz="0" w:space="0" w:color="auto"/>
      </w:divBdr>
    </w:div>
    <w:div w:id="1897162905">
      <w:bodyDiv w:val="1"/>
      <w:marLeft w:val="0"/>
      <w:marRight w:val="0"/>
      <w:marTop w:val="0"/>
      <w:marBottom w:val="0"/>
      <w:divBdr>
        <w:top w:val="none" w:sz="0" w:space="0" w:color="auto"/>
        <w:left w:val="none" w:sz="0" w:space="0" w:color="auto"/>
        <w:bottom w:val="none" w:sz="0" w:space="0" w:color="auto"/>
        <w:right w:val="none" w:sz="0" w:space="0" w:color="auto"/>
      </w:divBdr>
    </w:div>
    <w:div w:id="1902716313">
      <w:bodyDiv w:val="1"/>
      <w:marLeft w:val="0"/>
      <w:marRight w:val="0"/>
      <w:marTop w:val="0"/>
      <w:marBottom w:val="0"/>
      <w:divBdr>
        <w:top w:val="none" w:sz="0" w:space="0" w:color="auto"/>
        <w:left w:val="none" w:sz="0" w:space="0" w:color="auto"/>
        <w:bottom w:val="none" w:sz="0" w:space="0" w:color="auto"/>
        <w:right w:val="none" w:sz="0" w:space="0" w:color="auto"/>
      </w:divBdr>
    </w:div>
    <w:div w:id="1907572692">
      <w:bodyDiv w:val="1"/>
      <w:marLeft w:val="0"/>
      <w:marRight w:val="0"/>
      <w:marTop w:val="0"/>
      <w:marBottom w:val="0"/>
      <w:divBdr>
        <w:top w:val="none" w:sz="0" w:space="0" w:color="auto"/>
        <w:left w:val="none" w:sz="0" w:space="0" w:color="auto"/>
        <w:bottom w:val="none" w:sz="0" w:space="0" w:color="auto"/>
        <w:right w:val="none" w:sz="0" w:space="0" w:color="auto"/>
      </w:divBdr>
    </w:div>
    <w:div w:id="1907955244">
      <w:bodyDiv w:val="1"/>
      <w:marLeft w:val="0"/>
      <w:marRight w:val="0"/>
      <w:marTop w:val="0"/>
      <w:marBottom w:val="0"/>
      <w:divBdr>
        <w:top w:val="none" w:sz="0" w:space="0" w:color="auto"/>
        <w:left w:val="none" w:sz="0" w:space="0" w:color="auto"/>
        <w:bottom w:val="none" w:sz="0" w:space="0" w:color="auto"/>
        <w:right w:val="none" w:sz="0" w:space="0" w:color="auto"/>
      </w:divBdr>
    </w:div>
    <w:div w:id="1910654759">
      <w:bodyDiv w:val="1"/>
      <w:marLeft w:val="0"/>
      <w:marRight w:val="0"/>
      <w:marTop w:val="0"/>
      <w:marBottom w:val="0"/>
      <w:divBdr>
        <w:top w:val="none" w:sz="0" w:space="0" w:color="auto"/>
        <w:left w:val="none" w:sz="0" w:space="0" w:color="auto"/>
        <w:bottom w:val="none" w:sz="0" w:space="0" w:color="auto"/>
        <w:right w:val="none" w:sz="0" w:space="0" w:color="auto"/>
      </w:divBdr>
    </w:div>
    <w:div w:id="1923953669">
      <w:bodyDiv w:val="1"/>
      <w:marLeft w:val="0"/>
      <w:marRight w:val="0"/>
      <w:marTop w:val="0"/>
      <w:marBottom w:val="0"/>
      <w:divBdr>
        <w:top w:val="none" w:sz="0" w:space="0" w:color="auto"/>
        <w:left w:val="none" w:sz="0" w:space="0" w:color="auto"/>
        <w:bottom w:val="none" w:sz="0" w:space="0" w:color="auto"/>
        <w:right w:val="none" w:sz="0" w:space="0" w:color="auto"/>
      </w:divBdr>
    </w:div>
    <w:div w:id="1924608078">
      <w:bodyDiv w:val="1"/>
      <w:marLeft w:val="0"/>
      <w:marRight w:val="0"/>
      <w:marTop w:val="0"/>
      <w:marBottom w:val="0"/>
      <w:divBdr>
        <w:top w:val="none" w:sz="0" w:space="0" w:color="auto"/>
        <w:left w:val="none" w:sz="0" w:space="0" w:color="auto"/>
        <w:bottom w:val="none" w:sz="0" w:space="0" w:color="auto"/>
        <w:right w:val="none" w:sz="0" w:space="0" w:color="auto"/>
      </w:divBdr>
    </w:div>
    <w:div w:id="1938782004">
      <w:bodyDiv w:val="1"/>
      <w:marLeft w:val="0"/>
      <w:marRight w:val="0"/>
      <w:marTop w:val="0"/>
      <w:marBottom w:val="0"/>
      <w:divBdr>
        <w:top w:val="none" w:sz="0" w:space="0" w:color="auto"/>
        <w:left w:val="none" w:sz="0" w:space="0" w:color="auto"/>
        <w:bottom w:val="none" w:sz="0" w:space="0" w:color="auto"/>
        <w:right w:val="none" w:sz="0" w:space="0" w:color="auto"/>
      </w:divBdr>
    </w:div>
    <w:div w:id="1951277590">
      <w:bodyDiv w:val="1"/>
      <w:marLeft w:val="0"/>
      <w:marRight w:val="0"/>
      <w:marTop w:val="0"/>
      <w:marBottom w:val="0"/>
      <w:divBdr>
        <w:top w:val="none" w:sz="0" w:space="0" w:color="auto"/>
        <w:left w:val="none" w:sz="0" w:space="0" w:color="auto"/>
        <w:bottom w:val="none" w:sz="0" w:space="0" w:color="auto"/>
        <w:right w:val="none" w:sz="0" w:space="0" w:color="auto"/>
      </w:divBdr>
    </w:div>
    <w:div w:id="1957634986">
      <w:bodyDiv w:val="1"/>
      <w:marLeft w:val="0"/>
      <w:marRight w:val="0"/>
      <w:marTop w:val="0"/>
      <w:marBottom w:val="0"/>
      <w:divBdr>
        <w:top w:val="none" w:sz="0" w:space="0" w:color="auto"/>
        <w:left w:val="none" w:sz="0" w:space="0" w:color="auto"/>
        <w:bottom w:val="none" w:sz="0" w:space="0" w:color="auto"/>
        <w:right w:val="none" w:sz="0" w:space="0" w:color="auto"/>
      </w:divBdr>
    </w:div>
    <w:div w:id="1981810042">
      <w:bodyDiv w:val="1"/>
      <w:marLeft w:val="0"/>
      <w:marRight w:val="0"/>
      <w:marTop w:val="0"/>
      <w:marBottom w:val="0"/>
      <w:divBdr>
        <w:top w:val="none" w:sz="0" w:space="0" w:color="auto"/>
        <w:left w:val="none" w:sz="0" w:space="0" w:color="auto"/>
        <w:bottom w:val="none" w:sz="0" w:space="0" w:color="auto"/>
        <w:right w:val="none" w:sz="0" w:space="0" w:color="auto"/>
      </w:divBdr>
    </w:div>
    <w:div w:id="1986423043">
      <w:bodyDiv w:val="1"/>
      <w:marLeft w:val="0"/>
      <w:marRight w:val="0"/>
      <w:marTop w:val="0"/>
      <w:marBottom w:val="0"/>
      <w:divBdr>
        <w:top w:val="none" w:sz="0" w:space="0" w:color="auto"/>
        <w:left w:val="none" w:sz="0" w:space="0" w:color="auto"/>
        <w:bottom w:val="none" w:sz="0" w:space="0" w:color="auto"/>
        <w:right w:val="none" w:sz="0" w:space="0" w:color="auto"/>
      </w:divBdr>
    </w:div>
    <w:div w:id="1987390361">
      <w:bodyDiv w:val="1"/>
      <w:marLeft w:val="0"/>
      <w:marRight w:val="0"/>
      <w:marTop w:val="0"/>
      <w:marBottom w:val="0"/>
      <w:divBdr>
        <w:top w:val="none" w:sz="0" w:space="0" w:color="auto"/>
        <w:left w:val="none" w:sz="0" w:space="0" w:color="auto"/>
        <w:bottom w:val="none" w:sz="0" w:space="0" w:color="auto"/>
        <w:right w:val="none" w:sz="0" w:space="0" w:color="auto"/>
      </w:divBdr>
    </w:div>
    <w:div w:id="1993437118">
      <w:bodyDiv w:val="1"/>
      <w:marLeft w:val="0"/>
      <w:marRight w:val="0"/>
      <w:marTop w:val="0"/>
      <w:marBottom w:val="0"/>
      <w:divBdr>
        <w:top w:val="none" w:sz="0" w:space="0" w:color="auto"/>
        <w:left w:val="none" w:sz="0" w:space="0" w:color="auto"/>
        <w:bottom w:val="none" w:sz="0" w:space="0" w:color="auto"/>
        <w:right w:val="none" w:sz="0" w:space="0" w:color="auto"/>
      </w:divBdr>
    </w:div>
    <w:div w:id="2012484822">
      <w:bodyDiv w:val="1"/>
      <w:marLeft w:val="0"/>
      <w:marRight w:val="0"/>
      <w:marTop w:val="0"/>
      <w:marBottom w:val="0"/>
      <w:divBdr>
        <w:top w:val="none" w:sz="0" w:space="0" w:color="auto"/>
        <w:left w:val="none" w:sz="0" w:space="0" w:color="auto"/>
        <w:bottom w:val="none" w:sz="0" w:space="0" w:color="auto"/>
        <w:right w:val="none" w:sz="0" w:space="0" w:color="auto"/>
      </w:divBdr>
    </w:div>
    <w:div w:id="2028673818">
      <w:bodyDiv w:val="1"/>
      <w:marLeft w:val="0"/>
      <w:marRight w:val="0"/>
      <w:marTop w:val="0"/>
      <w:marBottom w:val="0"/>
      <w:divBdr>
        <w:top w:val="none" w:sz="0" w:space="0" w:color="auto"/>
        <w:left w:val="none" w:sz="0" w:space="0" w:color="auto"/>
        <w:bottom w:val="none" w:sz="0" w:space="0" w:color="auto"/>
        <w:right w:val="none" w:sz="0" w:space="0" w:color="auto"/>
      </w:divBdr>
    </w:div>
    <w:div w:id="2032561829">
      <w:bodyDiv w:val="1"/>
      <w:marLeft w:val="0"/>
      <w:marRight w:val="0"/>
      <w:marTop w:val="0"/>
      <w:marBottom w:val="0"/>
      <w:divBdr>
        <w:top w:val="none" w:sz="0" w:space="0" w:color="auto"/>
        <w:left w:val="none" w:sz="0" w:space="0" w:color="auto"/>
        <w:bottom w:val="none" w:sz="0" w:space="0" w:color="auto"/>
        <w:right w:val="none" w:sz="0" w:space="0" w:color="auto"/>
      </w:divBdr>
    </w:div>
    <w:div w:id="2046131037">
      <w:bodyDiv w:val="1"/>
      <w:marLeft w:val="0"/>
      <w:marRight w:val="0"/>
      <w:marTop w:val="0"/>
      <w:marBottom w:val="0"/>
      <w:divBdr>
        <w:top w:val="none" w:sz="0" w:space="0" w:color="auto"/>
        <w:left w:val="none" w:sz="0" w:space="0" w:color="auto"/>
        <w:bottom w:val="none" w:sz="0" w:space="0" w:color="auto"/>
        <w:right w:val="none" w:sz="0" w:space="0" w:color="auto"/>
      </w:divBdr>
    </w:div>
    <w:div w:id="2097314611">
      <w:bodyDiv w:val="1"/>
      <w:marLeft w:val="0"/>
      <w:marRight w:val="0"/>
      <w:marTop w:val="0"/>
      <w:marBottom w:val="0"/>
      <w:divBdr>
        <w:top w:val="none" w:sz="0" w:space="0" w:color="auto"/>
        <w:left w:val="none" w:sz="0" w:space="0" w:color="auto"/>
        <w:bottom w:val="none" w:sz="0" w:space="0" w:color="auto"/>
        <w:right w:val="none" w:sz="0" w:space="0" w:color="auto"/>
      </w:divBdr>
    </w:div>
    <w:div w:id="2103991422">
      <w:bodyDiv w:val="1"/>
      <w:marLeft w:val="0"/>
      <w:marRight w:val="0"/>
      <w:marTop w:val="0"/>
      <w:marBottom w:val="0"/>
      <w:divBdr>
        <w:top w:val="none" w:sz="0" w:space="0" w:color="auto"/>
        <w:left w:val="none" w:sz="0" w:space="0" w:color="auto"/>
        <w:bottom w:val="none" w:sz="0" w:space="0" w:color="auto"/>
        <w:right w:val="none" w:sz="0" w:space="0" w:color="auto"/>
      </w:divBdr>
    </w:div>
    <w:div w:id="2112239803">
      <w:bodyDiv w:val="1"/>
      <w:marLeft w:val="0"/>
      <w:marRight w:val="0"/>
      <w:marTop w:val="0"/>
      <w:marBottom w:val="0"/>
      <w:divBdr>
        <w:top w:val="none" w:sz="0" w:space="0" w:color="auto"/>
        <w:left w:val="none" w:sz="0" w:space="0" w:color="auto"/>
        <w:bottom w:val="none" w:sz="0" w:space="0" w:color="auto"/>
        <w:right w:val="none" w:sz="0" w:space="0" w:color="auto"/>
      </w:divBdr>
    </w:div>
    <w:div w:id="2113356503">
      <w:bodyDiv w:val="1"/>
      <w:marLeft w:val="0"/>
      <w:marRight w:val="0"/>
      <w:marTop w:val="0"/>
      <w:marBottom w:val="0"/>
      <w:divBdr>
        <w:top w:val="none" w:sz="0" w:space="0" w:color="auto"/>
        <w:left w:val="none" w:sz="0" w:space="0" w:color="auto"/>
        <w:bottom w:val="none" w:sz="0" w:space="0" w:color="auto"/>
        <w:right w:val="none" w:sz="0" w:space="0" w:color="auto"/>
      </w:divBdr>
    </w:div>
    <w:div w:id="2115902143">
      <w:bodyDiv w:val="1"/>
      <w:marLeft w:val="0"/>
      <w:marRight w:val="0"/>
      <w:marTop w:val="0"/>
      <w:marBottom w:val="0"/>
      <w:divBdr>
        <w:top w:val="none" w:sz="0" w:space="0" w:color="auto"/>
        <w:left w:val="none" w:sz="0" w:space="0" w:color="auto"/>
        <w:bottom w:val="none" w:sz="0" w:space="0" w:color="auto"/>
        <w:right w:val="none" w:sz="0" w:space="0" w:color="auto"/>
      </w:divBdr>
    </w:div>
    <w:div w:id="212002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chart" Target="charts/chart87.xml"/><Relationship Id="rId21" Type="http://schemas.openxmlformats.org/officeDocument/2006/relationships/package" Target="embeddings/H_rok_programu_Microsoft_Excel1.xlsx"/><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56.xml"/><Relationship Id="rId89" Type="http://schemas.openxmlformats.org/officeDocument/2006/relationships/chart" Target="charts/chart61.xml"/><Relationship Id="rId112" Type="http://schemas.openxmlformats.org/officeDocument/2006/relationships/chart" Target="charts/chart82.xml"/><Relationship Id="rId16" Type="http://schemas.openxmlformats.org/officeDocument/2006/relationships/hyperlink" Target="http://www.slovensko.sk" TargetMode="External"/><Relationship Id="rId107" Type="http://schemas.openxmlformats.org/officeDocument/2006/relationships/chart" Target="charts/chart77.xml"/><Relationship Id="rId11"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6.xml"/><Relationship Id="rId79" Type="http://schemas.openxmlformats.org/officeDocument/2006/relationships/chart" Target="charts/chart51.xml"/><Relationship Id="rId102" Type="http://schemas.openxmlformats.org/officeDocument/2006/relationships/hyperlink" Target="http://www.sluzbyzamestnanosti.gov.sk" TargetMode="External"/><Relationship Id="rId5" Type="http://schemas.openxmlformats.org/officeDocument/2006/relationships/settings" Target="settings.xml"/><Relationship Id="rId61" Type="http://schemas.openxmlformats.org/officeDocument/2006/relationships/hyperlink" Target="http://www.eures.sk" TargetMode="External"/><Relationship Id="rId82" Type="http://schemas.openxmlformats.org/officeDocument/2006/relationships/chart" Target="charts/chart54.xml"/><Relationship Id="rId90" Type="http://schemas.openxmlformats.org/officeDocument/2006/relationships/chart" Target="charts/chart62.xml"/><Relationship Id="rId95" Type="http://schemas.openxmlformats.org/officeDocument/2006/relationships/chart" Target="charts/chart67.xml"/><Relationship Id="rId19" Type="http://schemas.openxmlformats.org/officeDocument/2006/relationships/chart" Target="charts/chart2.xml"/><Relationship Id="rId14" Type="http://schemas.openxmlformats.org/officeDocument/2006/relationships/hyperlink" Target="http://www.sluzbyzamestnanosti.gov.sk" TargetMode="External"/><Relationship Id="rId22" Type="http://schemas.openxmlformats.org/officeDocument/2006/relationships/image" Target="media/image5.emf"/><Relationship Id="rId27" Type="http://schemas.openxmlformats.org/officeDocument/2006/relationships/package" Target="embeddings/H_rok_programu_Microsoft_Excel4.xlsx"/><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6.xml"/><Relationship Id="rId69" Type="http://schemas.openxmlformats.org/officeDocument/2006/relationships/chart" Target="charts/chart41.xml"/><Relationship Id="rId77" Type="http://schemas.openxmlformats.org/officeDocument/2006/relationships/chart" Target="charts/chart49.xml"/><Relationship Id="rId100" Type="http://schemas.openxmlformats.org/officeDocument/2006/relationships/chart" Target="charts/chart72.xml"/><Relationship Id="rId105" Type="http://schemas.openxmlformats.org/officeDocument/2006/relationships/chart" Target="charts/chart75.xml"/><Relationship Id="rId113" Type="http://schemas.openxmlformats.org/officeDocument/2006/relationships/chart" Target="charts/chart83.xml"/><Relationship Id="rId118" Type="http://schemas.openxmlformats.org/officeDocument/2006/relationships/chart" Target="charts/chart88.xm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4.xml"/><Relationship Id="rId80" Type="http://schemas.openxmlformats.org/officeDocument/2006/relationships/chart" Target="charts/chart52.xml"/><Relationship Id="rId85" Type="http://schemas.openxmlformats.org/officeDocument/2006/relationships/chart" Target="charts/chart57.xml"/><Relationship Id="rId93" Type="http://schemas.openxmlformats.org/officeDocument/2006/relationships/chart" Target="charts/chart65.xml"/><Relationship Id="rId98" Type="http://schemas.openxmlformats.org/officeDocument/2006/relationships/chart" Target="charts/chart70.xm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sluzbyzamestnanosti.gov.sk/" TargetMode="External"/><Relationship Id="rId17" Type="http://schemas.openxmlformats.org/officeDocument/2006/relationships/hyperlink" Target="http://www.sluzbyzamestnanosti.gov.sk/" TargetMode="External"/><Relationship Id="rId25" Type="http://schemas.openxmlformats.org/officeDocument/2006/relationships/package" Target="embeddings/H_rok_programu_Microsoft_Excel3.xlsx"/><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39.xml"/><Relationship Id="rId103" Type="http://schemas.openxmlformats.org/officeDocument/2006/relationships/hyperlink" Target="http://www.istp.sk" TargetMode="External"/><Relationship Id="rId108" Type="http://schemas.openxmlformats.org/officeDocument/2006/relationships/chart" Target="charts/chart78.xml"/><Relationship Id="rId116" Type="http://schemas.openxmlformats.org/officeDocument/2006/relationships/chart" Target="charts/chart86.xml"/><Relationship Id="rId20" Type="http://schemas.openxmlformats.org/officeDocument/2006/relationships/image" Target="media/image4.emf"/><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hyperlink" Target="http://www.eures.sk" TargetMode="Externa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chart" Target="charts/chart55.xml"/><Relationship Id="rId88" Type="http://schemas.openxmlformats.org/officeDocument/2006/relationships/chart" Target="charts/chart60.xml"/><Relationship Id="rId91" Type="http://schemas.openxmlformats.org/officeDocument/2006/relationships/chart" Target="charts/chart63.xml"/><Relationship Id="rId96" Type="http://schemas.openxmlformats.org/officeDocument/2006/relationships/chart" Target="charts/chart68.xml"/><Relationship Id="rId111"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luzbyzamestnanosti.gov.sk/" TargetMode="External"/><Relationship Id="rId23" Type="http://schemas.openxmlformats.org/officeDocument/2006/relationships/package" Target="embeddings/H_rok_programu_Microsoft_Excel2.xlsx"/><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chart" Target="charts/chart76.xml"/><Relationship Id="rId114" Type="http://schemas.openxmlformats.org/officeDocument/2006/relationships/chart" Target="charts/chart84.xml"/><Relationship Id="rId119" Type="http://schemas.openxmlformats.org/officeDocument/2006/relationships/chart" Target="charts/chart89.xml"/><Relationship Id="rId10" Type="http://schemas.openxmlformats.org/officeDocument/2006/relationships/image" Target="media/image3.pn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hyperlink" Target="http://www.eures.sk" TargetMode="External"/><Relationship Id="rId65" Type="http://schemas.openxmlformats.org/officeDocument/2006/relationships/chart" Target="charts/chart37.xml"/><Relationship Id="rId73" Type="http://schemas.openxmlformats.org/officeDocument/2006/relationships/chart" Target="charts/chart45.xml"/><Relationship Id="rId78" Type="http://schemas.openxmlformats.org/officeDocument/2006/relationships/chart" Target="charts/chart50.xml"/><Relationship Id="rId81" Type="http://schemas.openxmlformats.org/officeDocument/2006/relationships/chart" Target="charts/chart53.xml"/><Relationship Id="rId86" Type="http://schemas.openxmlformats.org/officeDocument/2006/relationships/chart" Target="charts/chart58.xml"/><Relationship Id="rId94" Type="http://schemas.openxmlformats.org/officeDocument/2006/relationships/chart" Target="charts/chart66.xml"/><Relationship Id="rId99" Type="http://schemas.openxmlformats.org/officeDocument/2006/relationships/chart" Target="charts/chart71.xml"/><Relationship Id="rId101" Type="http://schemas.openxmlformats.org/officeDocument/2006/relationships/chart" Target="charts/chart73.xm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hyperlink" Target="http://www.slovensko.sk/" TargetMode="External"/><Relationship Id="rId18" Type="http://schemas.openxmlformats.org/officeDocument/2006/relationships/hyperlink" Target="http://www.sluzbyzamestnanosti.gov.sk/?lang=ua" TargetMode="External"/><Relationship Id="rId39" Type="http://schemas.openxmlformats.org/officeDocument/2006/relationships/chart" Target="charts/chart14.xml"/><Relationship Id="rId109" Type="http://schemas.openxmlformats.org/officeDocument/2006/relationships/chart" Target="charts/chart79.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48.xml"/><Relationship Id="rId97" Type="http://schemas.openxmlformats.org/officeDocument/2006/relationships/chart" Target="charts/chart69.xml"/><Relationship Id="rId104" Type="http://schemas.openxmlformats.org/officeDocument/2006/relationships/chart" Target="charts/chart74.xm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hart" Target="charts/chart43.xml"/><Relationship Id="rId92" Type="http://schemas.openxmlformats.org/officeDocument/2006/relationships/chart" Target="charts/chart64.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image" Target="media/image6.emf"/><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38.xml"/><Relationship Id="rId87" Type="http://schemas.openxmlformats.org/officeDocument/2006/relationships/chart" Target="charts/chart59.xml"/><Relationship Id="rId110" Type="http://schemas.openxmlformats.org/officeDocument/2006/relationships/chart" Target="charts/chart80.xml"/><Relationship Id="rId115" Type="http://schemas.openxmlformats.org/officeDocument/2006/relationships/chart" Target="charts/chart8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romanovak\Desktop\vyhodnorenie%202023\Grafy_R+%202023_FINAL.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_rok_programu_Microsoft_Excel10.xlsx"/></Relationships>
</file>

<file path=word/charts/_rels/chart12.xml.rels><?xml version="1.0" encoding="UTF-8" standalone="yes"?>
<Relationships xmlns="http://schemas.openxmlformats.org/package/2006/relationships"><Relationship Id="rId2" Type="http://schemas.openxmlformats.org/officeDocument/2006/relationships/oleObject" Target="file:///\\sgrfs01\gr\sszodpv\AOTP_VYHODNOTENIA_rocne\2023_Vyhodnotenie%20AOTP\01_podklady%20za%20vzdelavanie\02_Vyhodnotenie%20za%20rok%202023\02_Vyhodnorenie%202023_R+K+_kr\zdrojov&#233;%20podklady\Grafy_R+%202023_FINAL.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romanovak\Desktop\vyhodnorenie%202023\GRafy%20K+_2023_FINAL.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sgrfs01\gr\sszodpv\AOTP_VYHODNOTENIA_rocne\2023_Vyhodnotenie%20AOTP\01_podklady%20za%20vzdelavanie\02_Vyhodnotenie%20za%20rok%202023\02_Vyhodnorenie%202023_R+K+_kr\zdrojov&#233;%20podklady\GRafy%20K+_2023_FINAL.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romanovak\Desktop\vyhodnorenie%202023\GRafy%20K+_2023_FINAL.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sgrfs01\gr\sszodpv\AOTP_VYHODNOTENIA_rocne\2023_Vyhodnotenie%20AOTP\01_podklady%20za%20vzdelavanie\02_Vyhodnotenie%20za%20rok%202023\02_Vyhodnorenie%202023_R+K+_kr\zdrojov&#233;%20podklady\GRafy%20K+_2023_FINAL.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sgrfs01\gr\sszodpv\AOTP_VYHODNOTENIA_rocne\2023_Vyhodnotenie%20AOTP\01_podklady%20za%20vzdelavanie\02_Vyhodnotenie%20za%20rok%202023\02_Vyhodnorenie%202023_R+K+_kr\zdrojov&#233;%20podklady\GRafy%20K+_2023_FINAL.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sgrfs01\gr\SSZODPV\ZAMESTNANCI\Jen&#269;ov&#225;\2023_vyhodnotenie\01_NPVS\NPVS%20Grafy%202023%20NPVS%20mj_priprava.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jencovam\Desktop\2023_vyhodnotenie\01_NPVS\NPVS%20Grafy%202023%20NPVS%20mj_priprava.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encovam\Desktop\2023_vyhodnotenie\01_NPVS\NPVS%20Grafy%202023%20NPVS%20mj_priprava.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sgrfs01\gr\sszodpv\AOTP_VYHODNOTENIA_rocne\2023_Vyhodnotenie%20AOTP\01_podklady%20za%20vzdelavanie\02_Vyhodnotenie%20za%20rok%202023\01_Vyhodnotenie%20za%202023%20NPVS_PO_MJ\01_NPVS\01_NPVS%20Grafy%202023%20NPVS%20mj_priprava.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H_rok_programu_Microsoft_Excel1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H_rok_programu_Microsoft_Excel12.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H_rok_programu_Microsoft_Excel1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H_rok_programu_Microsoft_Excel14.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H_rok_programu_Microsoft_Excel15.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H_rok_programu_Microsoft_Excel16.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H_rok_programu_Microsoft_Excel17.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H_rok_programu_Microsoft_Excel18.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H_rok_programu_Microsoft_Excel5.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H_rok_programu_Microsoft_Excel19.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H_rok_programu_Microsoft_Excel20.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H_rok_programu_Microsoft_Excel21.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H_rok_programu_Microsoft_Excel22.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H_rok_programu_Microsoft_Excel23.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oleObject" Target="file:///\\sgrfs01\Home$\kovacovamaria1\PLOCHA_2\VYHODNOTENIE%202022,2023\2023\VYHODNOTENIE_NP_IP.xlsx" TargetMode="External"/><Relationship Id="rId2" Type="http://schemas.microsoft.com/office/2011/relationships/chartColorStyle" Target="colors5.xml"/><Relationship Id="rId1" Type="http://schemas.microsoft.com/office/2011/relationships/chartStyle" Target="style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H_rok_programu_Microsoft_Excel24.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H_rok_programu_Microsoft_Excel25.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H_rok_programu_Microsoft_Excel26.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H_rok_programu_Microsoft_Excel27.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H_rok_programu_Microsoft_Excel6.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H_rok_programu_Microsoft_Excel28.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H_rok_programu_Microsoft_Excel29.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H_rok_programu_Microsoft_Excel30.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H_rok_programu_Microsoft_Excel31.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H_rok_programu_Microsoft_Excel32.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H_rok_programu_Microsoft_Excel33.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H_rok_programu_Microsoft_Excel34.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H_rok_programu_Microsoft_Excel35.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H_rok_programu_Microsoft_Excel36.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H_rok_programu_Microsoft_Excel37.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H_rok_programu_Microsoft_Excel7.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H_rok_programu_Microsoft_Excel38.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H_rok_programu_Microsoft_Excel39.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3" Type="http://schemas.openxmlformats.org/officeDocument/2006/relationships/package" Target="../embeddings/H_rok_programu_Microsoft_Excel40.xlsx"/><Relationship Id="rId2" Type="http://schemas.microsoft.com/office/2011/relationships/chartColorStyle" Target="colors6.xml"/><Relationship Id="rId1" Type="http://schemas.microsoft.com/office/2011/relationships/chartStyle" Target="style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H_rok_programu_Microsoft_Excel41.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loydlovam\Documents\Vyhodnotenie%20za%20rok%202023\Grafy_pracovne_zdroje%20za%20rok%202023.xlsx" TargetMode="External"/><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loydlovam\Documents\Grafy_pracovne_zdroje%20za%20rok%202023.xlsx" TargetMode="External"/><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loydlovam\Documents\Vyhodnotenie%20za%20rok%202023\Grafy_pracovne_zdroje%20za%20rok%202023.xlsx" TargetMode="External"/></Relationships>
</file>

<file path=word/charts/_rels/chart58.xml.rels><?xml version="1.0" encoding="UTF-8" standalone="yes"?>
<Relationships xmlns="http://schemas.openxmlformats.org/package/2006/relationships"><Relationship Id="rId2" Type="http://schemas.openxmlformats.org/officeDocument/2006/relationships/package" Target="../embeddings/H_rok_programu_Microsoft_Excel42.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H_rok_programu_Microsoft_Excel43.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_rok_programu_Microsoft_Excel8.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package" Target="../embeddings/H_rok_programu_Microsoft_Excel44.xlsx"/><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H_rok_programu_Microsoft_Excel45.xlsx"/><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H_rok_programu_Microsoft_Excel46.xlsx"/><Relationship Id="rId1" Type="http://schemas.openxmlformats.org/officeDocument/2006/relationships/themeOverride" Target="../theme/themeOverride58.xml"/></Relationships>
</file>

<file path=word/charts/_rels/chart63.xml.rels><?xml version="1.0" encoding="UTF-8" standalone="yes"?>
<Relationships xmlns="http://schemas.openxmlformats.org/package/2006/relationships"><Relationship Id="rId2" Type="http://schemas.openxmlformats.org/officeDocument/2006/relationships/package" Target="../embeddings/H_rok_programu_Microsoft_Excel47.xlsx"/><Relationship Id="rId1" Type="http://schemas.openxmlformats.org/officeDocument/2006/relationships/themeOverride" Target="../theme/themeOverride5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H_rok_programu_Microsoft_Excel48.xlsx"/><Relationship Id="rId1" Type="http://schemas.openxmlformats.org/officeDocument/2006/relationships/themeOverride" Target="../theme/themeOverride60.xml"/></Relationships>
</file>

<file path=word/charts/_rels/chart65.xml.rels><?xml version="1.0" encoding="UTF-8" standalone="yes"?>
<Relationships xmlns="http://schemas.openxmlformats.org/package/2006/relationships"><Relationship Id="rId2" Type="http://schemas.openxmlformats.org/officeDocument/2006/relationships/package" Target="../embeddings/H_rok_programu_Microsoft_Excel49.xlsx"/><Relationship Id="rId1" Type="http://schemas.openxmlformats.org/officeDocument/2006/relationships/themeOverride" Target="../theme/themeOverride61.xml"/></Relationships>
</file>

<file path=word/charts/_rels/chart66.xml.rels><?xml version="1.0" encoding="UTF-8" standalone="yes"?>
<Relationships xmlns="http://schemas.openxmlformats.org/package/2006/relationships"><Relationship Id="rId2" Type="http://schemas.openxmlformats.org/officeDocument/2006/relationships/package" Target="../embeddings/H_rok_programu_Microsoft_Excel50.xlsx"/><Relationship Id="rId1" Type="http://schemas.openxmlformats.org/officeDocument/2006/relationships/themeOverride" Target="../theme/themeOverride6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H_rok_programu_Microsoft_Excel51.xlsx"/><Relationship Id="rId1" Type="http://schemas.openxmlformats.org/officeDocument/2006/relationships/themeOverride" Target="../theme/themeOverride6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H_rok_programu_Microsoft_Excel52.xlsx"/><Relationship Id="rId1" Type="http://schemas.openxmlformats.org/officeDocument/2006/relationships/themeOverride" Target="../theme/themeOverride64.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loydlovam\Documents\Vyhodnotenie%20za%20rok%202023\Grafy_pracovne_zdroje%20za%20rok%202023.xlsx" TargetMode="External"/><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_rok_programu_Microsoft_Excel9.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loydlovam\Documents\Vyhodnotenie%20za%20rok%202023\Grafy_pracovne_zdroje%20za%20rok%202023.xlsx" TargetMode="External"/><Relationship Id="rId1" Type="http://schemas.openxmlformats.org/officeDocument/2006/relationships/themeOverride" Target="../theme/themeOverride66.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loydlovam\Documents\Vyhodnotenie%20za%20rok%202023\Grafy_pracovne_zdroje%20za%20rok%202023.xlsx" TargetMode="External"/><Relationship Id="rId1" Type="http://schemas.openxmlformats.org/officeDocument/2006/relationships/themeOverride" Target="../theme/themeOverride67.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loydlovam\Documents\Vyhodnotenie%20za%20rok%202023\Grafy_pracovne_zdroje%20za%20rok%202023.xlsx" TargetMode="External"/><Relationship Id="rId1" Type="http://schemas.openxmlformats.org/officeDocument/2006/relationships/themeOverride" Target="../theme/themeOverride68.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loydlovam\Documents\Vyhodnotenie%20za%20rok%202023\Grafy_pracovne_zdroje%20za%20rok%202023.xlsx" TargetMode="External"/><Relationship Id="rId1" Type="http://schemas.openxmlformats.org/officeDocument/2006/relationships/themeOverride" Target="../theme/themeOverride69.xml"/></Relationships>
</file>

<file path=word/charts/_rels/chart7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70.xml"/></Relationships>
</file>

<file path=word/charts/_rels/chart75.xml.rels><?xml version="1.0" encoding="UTF-8" standalone="yes"?>
<Relationships xmlns="http://schemas.openxmlformats.org/package/2006/relationships"><Relationship Id="rId1" Type="http://schemas.openxmlformats.org/officeDocument/2006/relationships/oleObject" Target="file:///\\sgrfs01\gr\sszodpv\&#167;_54_PROJEKT_POMAHAME%20ODIDENCOM\02_PROJEKT%20PO_%20VZDELAVANIE%20op%201\D_%20ULOHY\05_VYHODNOTENIE_2022\Pomahame%20odidencom%20op.1%20GRafy_2022.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encovam\Desktop\2023_vyhodnotenie\02_PO%20op.1\Pomahame%20odidencom%20op%201%20GRafy_2023.xlsx" TargetMode="External"/></Relationships>
</file>

<file path=word/charts/_rels/chart77.xml.rels><?xml version="1.0" encoding="UTF-8" standalone="yes"?>
<Relationships xmlns="http://schemas.openxmlformats.org/package/2006/relationships"><Relationship Id="rId2" Type="http://schemas.openxmlformats.org/officeDocument/2006/relationships/oleObject" Target="file:///C:\Users\jencovam\Desktop\2023_vyhodnotenie\02_PO%20op.1\Pomahame%20odidencom%20op%201%20GRafy_2023.xlsx" TargetMode="External"/><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H_rok_programu_Microsoft_Excel53.xlsx"/><Relationship Id="rId1" Type="http://schemas.openxmlformats.org/officeDocument/2006/relationships/themeOverride" Target="../theme/themeOverride7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H_rok_programu_Microsoft_Excel54.xlsx"/><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2" Type="http://schemas.openxmlformats.org/officeDocument/2006/relationships/package" Target="../embeddings/H_rok_programu_Microsoft_Excel55.xlsx"/><Relationship Id="rId1" Type="http://schemas.openxmlformats.org/officeDocument/2006/relationships/themeOverride" Target="../theme/themeOverride7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H_rok_programu_Microsoft_Excel56.xlsx"/><Relationship Id="rId1" Type="http://schemas.openxmlformats.org/officeDocument/2006/relationships/themeOverride" Target="../theme/themeOverride7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H_rok_programu_Microsoft_Excel57.xlsx"/><Relationship Id="rId1" Type="http://schemas.openxmlformats.org/officeDocument/2006/relationships/themeOverride" Target="../theme/themeOverride7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H_rok_programu_Microsoft_Excel58.xlsx"/><Relationship Id="rId1" Type="http://schemas.openxmlformats.org/officeDocument/2006/relationships/themeOverride" Target="../theme/themeOverride7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H_rok_programu_Microsoft_Excel59.xlsx"/><Relationship Id="rId1" Type="http://schemas.openxmlformats.org/officeDocument/2006/relationships/themeOverride" Target="../theme/themeOverride79.xml"/></Relationships>
</file>

<file path=word/charts/_rels/chart85.xml.rels><?xml version="1.0" encoding="UTF-8" standalone="yes"?>
<Relationships xmlns="http://schemas.openxmlformats.org/package/2006/relationships"><Relationship Id="rId2" Type="http://schemas.openxmlformats.org/officeDocument/2006/relationships/package" Target="../embeddings/H_rok_programu_Microsoft_Excel60.xlsx"/><Relationship Id="rId1" Type="http://schemas.openxmlformats.org/officeDocument/2006/relationships/themeOverride" Target="../theme/themeOverride80.xml"/></Relationships>
</file>

<file path=word/charts/_rels/chart86.xml.rels><?xml version="1.0" encoding="UTF-8" standalone="yes"?>
<Relationships xmlns="http://schemas.openxmlformats.org/package/2006/relationships"><Relationship Id="rId2" Type="http://schemas.openxmlformats.org/officeDocument/2006/relationships/package" Target="../embeddings/H_rok_programu_Microsoft_Excel61.xlsx"/><Relationship Id="rId1" Type="http://schemas.openxmlformats.org/officeDocument/2006/relationships/themeOverride" Target="../theme/themeOverride81.xml"/></Relationships>
</file>

<file path=word/charts/_rels/chart87.xml.rels><?xml version="1.0" encoding="UTF-8" standalone="yes"?>
<Relationships xmlns="http://schemas.openxmlformats.org/package/2006/relationships"><Relationship Id="rId2" Type="http://schemas.openxmlformats.org/officeDocument/2006/relationships/package" Target="../embeddings/H_rok_programu_Microsoft_Excel62.xlsx"/><Relationship Id="rId1" Type="http://schemas.openxmlformats.org/officeDocument/2006/relationships/themeOverride" Target="../theme/themeOverride82.xml"/></Relationships>
</file>

<file path=word/charts/_rels/chart88.xml.rels><?xml version="1.0" encoding="UTF-8" standalone="yes"?>
<Relationships xmlns="http://schemas.openxmlformats.org/package/2006/relationships"><Relationship Id="rId2" Type="http://schemas.openxmlformats.org/officeDocument/2006/relationships/oleObject" Target="Graf%20v%20programe%20Microsoft%20Word" TargetMode="External"/><Relationship Id="rId1" Type="http://schemas.openxmlformats.org/officeDocument/2006/relationships/themeOverride" Target="../theme/themeOverride83.xml"/></Relationships>
</file>

<file path=word/charts/_rels/chart89.xml.rels><?xml version="1.0" encoding="UTF-8" standalone="yes"?>
<Relationships xmlns="http://schemas.openxmlformats.org/package/2006/relationships"><Relationship Id="rId2" Type="http://schemas.openxmlformats.org/officeDocument/2006/relationships/package" Target="../embeddings/H_rok_programu_Microsoft_Excel63.xlsx"/><Relationship Id="rId1" Type="http://schemas.openxmlformats.org/officeDocument/2006/relationships/themeOverride" Target="../theme/themeOverride84.xml"/></Relationships>
</file>

<file path=word/charts/_rels/chart9.xml.rels><?xml version="1.0" encoding="UTF-8" standalone="yes"?>
<Relationships xmlns="http://schemas.openxmlformats.org/package/2006/relationships"><Relationship Id="rId2" Type="http://schemas.openxmlformats.org/officeDocument/2006/relationships/oleObject" Target="file:///\\sgrfs01\gr\sszodpv\AOTP_VYHODNOTENIA_rocne\2023_Vyhodnotenie%20AOTP\01_podklady%20za%20vzdelavanie\02_Vyhodnotenie%20za%20rok%202023\02_Vyhodnorenie%202023_R+K+_kr\zdrojov&#233;%20podklady\Grafy_R+%202023_FINAL.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300">
                <a:solidFill>
                  <a:sysClr val="windowText" lastClr="000000"/>
                </a:solidFill>
              </a:rPr>
              <a:t>CCP vypočítaná z priemernej mzdy v hospodárstve SR za 1.-</a:t>
            </a:r>
            <a:r>
              <a:rPr lang="sk-SK" sz="1300">
                <a:solidFill>
                  <a:sysClr val="windowText" lastClr="000000"/>
                </a:solidFill>
              </a:rPr>
              <a:t> </a:t>
            </a:r>
            <a:r>
              <a:rPr lang="en-US" sz="1300">
                <a:solidFill>
                  <a:sysClr val="windowText" lastClr="000000"/>
                </a:solidFill>
              </a:rPr>
              <a:t>3.Q</a:t>
            </a:r>
            <a:r>
              <a:rPr lang="sk-SK" sz="1300">
                <a:solidFill>
                  <a:sysClr val="windowText" lastClr="000000"/>
                </a:solidFill>
              </a:rPr>
              <a:t>.</a:t>
            </a:r>
            <a:r>
              <a:rPr lang="en-US" sz="1300">
                <a:solidFill>
                  <a:sysClr val="windowText" lastClr="000000"/>
                </a:solidFill>
              </a:rPr>
              <a:t> </a:t>
            </a:r>
            <a:endParaRPr lang="sk-SK" sz="1300">
              <a:solidFill>
                <a:sysClr val="windowText" lastClr="000000"/>
              </a:solidFill>
            </a:endParaRPr>
          </a:p>
          <a:p>
            <a:pPr>
              <a:defRPr>
                <a:solidFill>
                  <a:sysClr val="windowText" lastClr="000000"/>
                </a:solidFill>
              </a:defRPr>
            </a:pPr>
            <a:r>
              <a:rPr lang="sk-SK" sz="1200" b="0">
                <a:solidFill>
                  <a:sysClr val="windowText" lastClr="000000"/>
                </a:solidFill>
              </a:rPr>
              <a:t>(</a:t>
            </a:r>
            <a:r>
              <a:rPr lang="en-US" sz="1200" b="0">
                <a:solidFill>
                  <a:sysClr val="windowText" lastClr="000000"/>
                </a:solidFill>
              </a:rPr>
              <a:t>v </a:t>
            </a:r>
            <a:r>
              <a:rPr lang="en-US" sz="1200" b="0" i="0" u="none" strike="noStrike" kern="1200" baseline="0">
                <a:solidFill>
                  <a:sysClr val="windowText" lastClr="000000"/>
                </a:solidFill>
                <a:latin typeface="+mn-lt"/>
                <a:ea typeface="+mn-ea"/>
                <a:cs typeface="+mn-cs"/>
              </a:rPr>
              <a:t>Eur</a:t>
            </a:r>
            <a:r>
              <a:rPr lang="sk-SK" sz="1200" b="0">
                <a:solidFill>
                  <a:sysClr val="windowText" lastClr="000000"/>
                </a:solidFill>
              </a:rPr>
              <a:t>)</a:t>
            </a:r>
            <a:endParaRPr lang="en-US" sz="1200" b="0">
              <a:solidFill>
                <a:sysClr val="windowText" lastClr="000000"/>
              </a:solidFill>
            </a:endParaRPr>
          </a:p>
        </c:rich>
      </c:tx>
      <c:overlay val="1"/>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64475849498902"/>
          <c:y val="0.14741510741510741"/>
          <c:w val="0.83376302870714913"/>
          <c:h val="0.78550722739699119"/>
        </c:manualLayout>
      </c:layout>
      <c:bar3DChart>
        <c:barDir val="col"/>
        <c:grouping val="stacked"/>
        <c:varyColors val="0"/>
        <c:ser>
          <c:idx val="0"/>
          <c:order val="0"/>
          <c:tx>
            <c:strRef>
              <c:f>'Vývoj CCP v NH'!$G$17</c:f>
              <c:strCache>
                <c:ptCount val="1"/>
                <c:pt idx="0">
                  <c:v>CCP vypočítaná z priemernej mzdy v hospodárstve SR za 1.-3.Q, v Eur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'Vývoj CCP v NH'!$H$16:$N$16</c:f>
              <c:numCache>
                <c:formatCode>General</c:formatCode>
                <c:ptCount val="7"/>
                <c:pt idx="0">
                  <c:v>2017</c:v>
                </c:pt>
                <c:pt idx="1">
                  <c:v>2018</c:v>
                </c:pt>
                <c:pt idx="2">
                  <c:v>2019</c:v>
                </c:pt>
                <c:pt idx="3">
                  <c:v>2020</c:v>
                </c:pt>
                <c:pt idx="4">
                  <c:v>2021</c:v>
                </c:pt>
                <c:pt idx="5">
                  <c:v>2022</c:v>
                </c:pt>
                <c:pt idx="6">
                  <c:v>2023</c:v>
                </c:pt>
              </c:numCache>
            </c:numRef>
          </c:cat>
          <c:val>
            <c:numRef>
              <c:f>'Vývoj CCP v NH'!$H$17:$N$17</c:f>
              <c:numCache>
                <c:formatCode>#,##0.00</c:formatCode>
                <c:ptCount val="7"/>
                <c:pt idx="0">
                  <c:v>1250.5900000000001</c:v>
                </c:pt>
                <c:pt idx="1">
                  <c:v>1330.36</c:v>
                </c:pt>
                <c:pt idx="2">
                  <c:v>1438.52</c:v>
                </c:pt>
                <c:pt idx="3">
                  <c:v>1481.78</c:v>
                </c:pt>
                <c:pt idx="4">
                  <c:v>1581.83</c:v>
                </c:pt>
                <c:pt idx="5">
                  <c:v>1711.61</c:v>
                </c:pt>
                <c:pt idx="6">
                  <c:v>1883.6200000000001</c:v>
                </c:pt>
              </c:numCache>
            </c:numRef>
          </c:val>
          <c:extLst>
            <c:ext xmlns:c16="http://schemas.microsoft.com/office/drawing/2014/chart" uri="{C3380CC4-5D6E-409C-BE32-E72D297353CC}">
              <c16:uniqueId val="{00000000-F080-4847-879D-785010AC8EB4}"/>
            </c:ext>
          </c:extLst>
        </c:ser>
        <c:dLbls>
          <c:showLegendKey val="0"/>
          <c:showVal val="1"/>
          <c:showCatName val="0"/>
          <c:showSerName val="0"/>
          <c:showPercent val="0"/>
          <c:showBubbleSize val="0"/>
        </c:dLbls>
        <c:gapWidth val="150"/>
        <c:shape val="box"/>
        <c:axId val="430377024"/>
        <c:axId val="430374728"/>
        <c:axId val="0"/>
      </c:bar3DChart>
      <c:catAx>
        <c:axId val="430377024"/>
        <c:scaling>
          <c:orientation val="minMax"/>
        </c:scaling>
        <c:delete val="0"/>
        <c:axPos val="b"/>
        <c:title>
          <c:tx>
            <c:rich>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r>
                  <a:rPr lang="sk-SK" sz="1200" b="0" i="1">
                    <a:solidFill>
                      <a:srgbClr val="C00000"/>
                    </a:solidFill>
                  </a:rPr>
                  <a:t>Nárast CCP za 2017 - 2023 predstavuje 633,03 </a:t>
                </a:r>
                <a:r>
                  <a:rPr lang="sk-SK" sz="1200" b="0" i="1" u="none" strike="noStrike" kern="1200" baseline="0">
                    <a:solidFill>
                      <a:srgbClr val="C00000"/>
                    </a:solidFill>
                    <a:latin typeface="+mn-lt"/>
                    <a:ea typeface="+mn-ea"/>
                    <a:cs typeface="+mn-cs"/>
                  </a:rPr>
                  <a:t>eur</a:t>
                </a:r>
                <a:r>
                  <a:rPr lang="sk-SK" sz="1200" b="0" i="1">
                    <a:solidFill>
                      <a:srgbClr val="C00000"/>
                    </a:solidFill>
                  </a:rPr>
                  <a:t> (50,62 %) </a:t>
                </a:r>
              </a:p>
            </c:rich>
          </c:tx>
          <c:layout>
            <c:manualLayout>
              <c:xMode val="edge"/>
              <c:yMode val="edge"/>
              <c:x val="0.21533117183881426"/>
              <c:y val="0.1899029087481860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sk-SK"/>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30374728"/>
        <c:crosses val="autoZero"/>
        <c:auto val="0"/>
        <c:lblAlgn val="ctr"/>
        <c:lblOffset val="100"/>
        <c:noMultiLvlLbl val="0"/>
      </c:catAx>
      <c:valAx>
        <c:axId val="430374728"/>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43037702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C00000"/>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b="1" i="0" baseline="0">
                <a:solidFill>
                  <a:srgbClr val="002060"/>
                </a:solidFill>
                <a:effectLst/>
                <a:latin typeface="+mn-lt"/>
              </a:rPr>
              <a:t>Prehľad UoZ zaradených na rekvalifikačný kurz (REPAS+) </a:t>
            </a:r>
            <a:endParaRPr lang="sk-SK" sz="1200">
              <a:solidFill>
                <a:srgbClr val="002060"/>
              </a:solidFill>
              <a:effectLst/>
              <a:latin typeface="+mn-lt"/>
            </a:endParaRPr>
          </a:p>
          <a:p>
            <a:pPr>
              <a:defRPr sz="1200">
                <a:solidFill>
                  <a:srgbClr val="002060"/>
                </a:solidFill>
              </a:defRPr>
            </a:pPr>
            <a:r>
              <a:rPr lang="sk-SK" sz="1200" b="1" i="0" baseline="0">
                <a:solidFill>
                  <a:srgbClr val="002060"/>
                </a:solidFill>
                <a:effectLst/>
                <a:latin typeface="+mn-lt"/>
              </a:rPr>
              <a:t>v roku 2023 v štruktúre podľa vekových kategórií</a:t>
            </a:r>
            <a:endParaRPr lang="sk-SK" sz="1200">
              <a:solidFill>
                <a:srgbClr val="002060"/>
              </a:solidFill>
              <a:effectLst/>
              <a:latin typeface="+mn-lt"/>
            </a:endParaRPr>
          </a:p>
        </c:rich>
      </c:tx>
      <c:layout>
        <c:manualLayout>
          <c:xMode val="edge"/>
          <c:yMode val="edge"/>
          <c:x val="0.11867346241038508"/>
          <c:y val="2.3343684152157037E-2"/>
        </c:manualLayout>
      </c:layout>
      <c:overlay val="0"/>
    </c:title>
    <c:autoTitleDeleted val="0"/>
    <c:plotArea>
      <c:layout>
        <c:manualLayout>
          <c:layoutTarget val="inner"/>
          <c:xMode val="edge"/>
          <c:yMode val="edge"/>
          <c:x val="0.24597589167350015"/>
          <c:y val="0.21955477957223921"/>
          <c:w val="0.36134004067216097"/>
          <c:h val="0.73679615888258398"/>
        </c:manualLayout>
      </c:layout>
      <c:pieChart>
        <c:varyColors val="1"/>
        <c:ser>
          <c:idx val="0"/>
          <c:order val="0"/>
          <c:explosion val="5"/>
          <c:dPt>
            <c:idx val="0"/>
            <c:bubble3D val="0"/>
            <c:extLst>
              <c:ext xmlns:c16="http://schemas.microsoft.com/office/drawing/2014/chart" uri="{C3380CC4-5D6E-409C-BE32-E72D297353CC}">
                <c16:uniqueId val="{00000001-2407-4E17-BD98-71AB2BDE3A87}"/>
              </c:ext>
            </c:extLst>
          </c:dPt>
          <c:dPt>
            <c:idx val="1"/>
            <c:bubble3D val="0"/>
            <c:explosion val="4"/>
            <c:extLst>
              <c:ext xmlns:c16="http://schemas.microsoft.com/office/drawing/2014/chart" uri="{C3380CC4-5D6E-409C-BE32-E72D297353CC}">
                <c16:uniqueId val="{00000002-2407-4E17-BD98-71AB2BDE3A87}"/>
              </c:ext>
            </c:extLst>
          </c:dPt>
          <c:dPt>
            <c:idx val="3"/>
            <c:bubble3D val="0"/>
            <c:explosion val="2"/>
            <c:extLst>
              <c:ext xmlns:c16="http://schemas.microsoft.com/office/drawing/2014/chart" uri="{C3380CC4-5D6E-409C-BE32-E72D297353CC}">
                <c16:uniqueId val="{00000004-2407-4E17-BD98-71AB2BDE3A87}"/>
              </c:ext>
            </c:extLst>
          </c:dPt>
          <c:dLbls>
            <c:dLbl>
              <c:idx val="1"/>
              <c:layout>
                <c:manualLayout>
                  <c:x val="0.10667146484672929"/>
                  <c:y val="-0.19143481682860353"/>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407-4E17-BD98-71AB2BDE3A87}"/>
                </c:ext>
              </c:extLst>
            </c:dLbl>
            <c:dLbl>
              <c:idx val="2"/>
              <c:layout>
                <c:manualLayout>
                  <c:x val="0.10489338516940971"/>
                  <c:y val="5.5565599040408031E-2"/>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407-4E17-BD98-71AB2BDE3A87}"/>
                </c:ext>
              </c:extLst>
            </c:dLbl>
            <c:dLbl>
              <c:idx val="3"/>
              <c:layout>
                <c:manualLayout>
                  <c:x val="6.9584117462144768E-2"/>
                  <c:y val="0.18361372986386301"/>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407-4E17-BD98-71AB2BDE3A87}"/>
                </c:ext>
              </c:extLst>
            </c:dLbl>
            <c:numFmt formatCode="0.00%" sourceLinked="0"/>
            <c:spPr>
              <a:noFill/>
              <a:ln>
                <a:noFill/>
              </a:ln>
              <a:effectLst/>
            </c:spPr>
            <c:txPr>
              <a:bodyPr wrap="square" lIns="38100" tIns="19050" rIns="38100" bIns="19050" anchor="ctr">
                <a:spAutoFit/>
              </a:bodyPr>
              <a:lstStyle/>
              <a:p>
                <a:pPr>
                  <a:defRPr sz="1000"/>
                </a:pPr>
                <a:endParaRPr lang="sk-SK"/>
              </a:p>
            </c:txPr>
            <c:dLblPos val="ctr"/>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vek_2023!$B$11:$B$14</c:f>
              <c:strCache>
                <c:ptCount val="4"/>
                <c:pt idx="0">
                  <c:v>30 - 49 r.</c:v>
                </c:pt>
                <c:pt idx="1">
                  <c:v>50 a viac r.</c:v>
                </c:pt>
                <c:pt idx="2">
                  <c:v>do 24 r.</c:v>
                </c:pt>
                <c:pt idx="3">
                  <c:v>25 - 29 r.</c:v>
                </c:pt>
              </c:strCache>
            </c:strRef>
          </c:cat>
          <c:val>
            <c:numRef>
              <c:f>vek_2023!$C$11:$C$14</c:f>
              <c:numCache>
                <c:formatCode>#,##0</c:formatCode>
                <c:ptCount val="4"/>
                <c:pt idx="0">
                  <c:v>2275</c:v>
                </c:pt>
                <c:pt idx="1">
                  <c:v>968</c:v>
                </c:pt>
                <c:pt idx="2">
                  <c:v>621</c:v>
                </c:pt>
                <c:pt idx="3">
                  <c:v>590</c:v>
                </c:pt>
              </c:numCache>
            </c:numRef>
          </c:val>
          <c:extLst>
            <c:ext xmlns:c16="http://schemas.microsoft.com/office/drawing/2014/chart" uri="{C3380CC4-5D6E-409C-BE32-E72D297353CC}">
              <c16:uniqueId val="{00000005-2407-4E17-BD98-71AB2BDE3A87}"/>
            </c:ext>
          </c:extLst>
        </c:ser>
        <c:ser>
          <c:idx val="1"/>
          <c:order val="1"/>
          <c:explosion val="25"/>
          <c:cat>
            <c:strRef>
              <c:f>vek_2023!$B$11:$B$14</c:f>
              <c:strCache>
                <c:ptCount val="4"/>
                <c:pt idx="0">
                  <c:v>30 - 49 r.</c:v>
                </c:pt>
                <c:pt idx="1">
                  <c:v>50 a viac r.</c:v>
                </c:pt>
                <c:pt idx="2">
                  <c:v>do 24 r.</c:v>
                </c:pt>
                <c:pt idx="3">
                  <c:v>25 - 29 r.</c:v>
                </c:pt>
              </c:strCache>
            </c:strRef>
          </c:cat>
          <c:val>
            <c:numRef>
              <c:f>vek_2023!$D$11:$D$14</c:f>
              <c:numCache>
                <c:formatCode>0.00</c:formatCode>
                <c:ptCount val="4"/>
                <c:pt idx="0">
                  <c:v>51.077682981589575</c:v>
                </c:pt>
                <c:pt idx="1">
                  <c:v>21.73327346205658</c:v>
                </c:pt>
                <c:pt idx="2">
                  <c:v>13.942523574315221</c:v>
                </c:pt>
                <c:pt idx="3">
                  <c:v>13.246519982038619</c:v>
                </c:pt>
              </c:numCache>
            </c:numRef>
          </c:val>
          <c:extLst>
            <c:ext xmlns:c16="http://schemas.microsoft.com/office/drawing/2014/chart" uri="{C3380CC4-5D6E-409C-BE32-E72D297353CC}">
              <c16:uniqueId val="{00000006-2407-4E17-BD98-71AB2BDE3A8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197870990197723"/>
          <c:y val="0.29041542221015482"/>
          <c:w val="0.21306784901914019"/>
          <c:h val="0.52960128128898776"/>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r>
              <a:rPr lang="sk-SK" sz="1200" b="1" i="0" baseline="0">
                <a:solidFill>
                  <a:srgbClr val="002060"/>
                </a:solidFill>
                <a:effectLst/>
                <a:latin typeface="+mn-lt"/>
              </a:rPr>
              <a:t>Prehľad UoZ zaradených na rekvalifikačný kurz (REPAS+) v roku 2023 </a:t>
            </a:r>
            <a:endParaRPr lang="sk-SK" sz="1200" b="1">
              <a:solidFill>
                <a:srgbClr val="002060"/>
              </a:solidFill>
              <a:effectLst/>
              <a:latin typeface="+mn-lt"/>
            </a:endParaRPr>
          </a:p>
          <a:p>
            <a:pPr>
              <a:defRPr>
                <a:solidFill>
                  <a:srgbClr val="002060"/>
                </a:solidFill>
              </a:defRPr>
            </a:pPr>
            <a:r>
              <a:rPr lang="sk-SK" sz="1200" b="1" i="0" baseline="0">
                <a:solidFill>
                  <a:srgbClr val="002060"/>
                </a:solidFill>
                <a:effectLst/>
                <a:latin typeface="+mn-lt"/>
              </a:rPr>
              <a:t>v štruktúre podľa vzdelania</a:t>
            </a:r>
            <a:endParaRPr lang="sk-SK" sz="1200" b="1">
              <a:solidFill>
                <a:srgbClr val="002060"/>
              </a:solidFill>
              <a:effectLst/>
              <a:latin typeface="+mn-lt"/>
            </a:endParaRPr>
          </a:p>
        </c:rich>
      </c:tx>
      <c:overlay val="0"/>
      <c:spPr>
        <a:noFill/>
        <a:ln>
          <a:noFill/>
        </a:ln>
        <a:effectLst/>
      </c:spPr>
      <c:txPr>
        <a:bodyPr rot="0" spcFirstLastPara="1" vertOverflow="ellipsis" vert="horz" wrap="square" anchor="ctr" anchorCtr="1"/>
        <a:lstStyle/>
        <a:p>
          <a:pPr>
            <a:defRPr sz="1800" b="1" i="0" u="none" strike="noStrike" kern="1200" baseline="0">
              <a:solidFill>
                <a:srgbClr val="002060"/>
              </a:solidFill>
              <a:latin typeface="+mn-lt"/>
              <a:ea typeface="+mn-ea"/>
              <a:cs typeface="+mn-cs"/>
            </a:defRPr>
          </a:pPr>
          <a:endParaRPr lang="sk-SK"/>
        </a:p>
      </c:txPr>
    </c:title>
    <c:autoTitleDeleted val="0"/>
    <c:plotArea>
      <c:layout/>
      <c:barChart>
        <c:barDir val="col"/>
        <c:grouping val="clustered"/>
        <c:varyColors val="0"/>
        <c:ser>
          <c:idx val="0"/>
          <c:order val="0"/>
          <c:tx>
            <c:v>Vzdelanie</c:v>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vzdelanie_2023!$B$5:$L$5</c:f>
              <c:strCache>
                <c:ptCount val="11"/>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pt idx="10">
                  <c:v>neurčené</c:v>
                </c:pt>
              </c:strCache>
            </c:strRef>
          </c:cat>
          <c:val>
            <c:numRef>
              <c:f>vzdelanie_2023!$B$6:$L$6</c:f>
              <c:numCache>
                <c:formatCode>#,##0</c:formatCode>
                <c:ptCount val="11"/>
                <c:pt idx="0">
                  <c:v>24</c:v>
                </c:pt>
                <c:pt idx="1">
                  <c:v>462</c:v>
                </c:pt>
                <c:pt idx="2">
                  <c:v>31</c:v>
                </c:pt>
                <c:pt idx="3">
                  <c:v>999</c:v>
                </c:pt>
                <c:pt idx="4">
                  <c:v>1898</c:v>
                </c:pt>
                <c:pt idx="5">
                  <c:v>239</c:v>
                </c:pt>
                <c:pt idx="6">
                  <c:v>39</c:v>
                </c:pt>
                <c:pt idx="7">
                  <c:v>175</c:v>
                </c:pt>
                <c:pt idx="8">
                  <c:v>569</c:v>
                </c:pt>
                <c:pt idx="9">
                  <c:v>14</c:v>
                </c:pt>
                <c:pt idx="10">
                  <c:v>4</c:v>
                </c:pt>
              </c:numCache>
            </c:numRef>
          </c:val>
          <c:extLst>
            <c:ext xmlns:c16="http://schemas.microsoft.com/office/drawing/2014/chart" uri="{C3380CC4-5D6E-409C-BE32-E72D297353CC}">
              <c16:uniqueId val="{00000000-5B3F-4954-88A1-B199CA08CFF7}"/>
            </c:ext>
          </c:extLst>
        </c:ser>
        <c:dLbls>
          <c:showLegendKey val="0"/>
          <c:showVal val="0"/>
          <c:showCatName val="0"/>
          <c:showSerName val="0"/>
          <c:showPercent val="0"/>
          <c:showBubbleSize val="0"/>
        </c:dLbls>
        <c:gapWidth val="150"/>
        <c:axId val="459663256"/>
        <c:axId val="459663648"/>
      </c:barChart>
      <c:catAx>
        <c:axId val="45966325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459663648"/>
        <c:crosses val="autoZero"/>
        <c:auto val="1"/>
        <c:lblAlgn val="ctr"/>
        <c:lblOffset val="100"/>
        <c:noMultiLvlLbl val="0"/>
      </c:catAx>
      <c:valAx>
        <c:axId val="4596636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45966325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sk-SK"/>
          </a:p>
        </c:txPr>
      </c:dTable>
      <c:spPr>
        <a:noFill/>
        <a:ln w="25400">
          <a:noFill/>
        </a:ln>
        <a:effectLst/>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w="9525" cap="flat" cmpd="sng" algn="ctr">
      <a:solidFill>
        <a:schemeClr val="tx1">
          <a:tint val="75000"/>
          <a:shade val="95000"/>
          <a:satMod val="105000"/>
        </a:schemeClr>
      </a:solidFill>
      <a:prstDash val="solid"/>
      <a:round/>
    </a:ln>
    <a:effectLst/>
  </c:spPr>
  <c:txPr>
    <a:bodyPr/>
    <a:lstStyle/>
    <a:p>
      <a:pPr>
        <a:defRPr/>
      </a:pPr>
      <a:endParaRPr lang="sk-S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a:solidFill>
                  <a:srgbClr val="002060"/>
                </a:solidFill>
              </a:rPr>
              <a:t>Prehľad </a:t>
            </a:r>
            <a:r>
              <a:rPr lang="en-US" sz="1200">
                <a:solidFill>
                  <a:srgbClr val="002060"/>
                </a:solidFill>
              </a:rPr>
              <a:t>UoZ zaraden</a:t>
            </a:r>
            <a:r>
              <a:rPr lang="sk-SK" sz="1200">
                <a:solidFill>
                  <a:srgbClr val="002060"/>
                </a:solidFill>
              </a:rPr>
              <a:t>ých</a:t>
            </a:r>
            <a:r>
              <a:rPr lang="en-US" sz="1200">
                <a:solidFill>
                  <a:srgbClr val="002060"/>
                </a:solidFill>
              </a:rPr>
              <a:t> </a:t>
            </a:r>
            <a:r>
              <a:rPr lang="sk-SK" sz="1200">
                <a:solidFill>
                  <a:srgbClr val="002060"/>
                </a:solidFill>
              </a:rPr>
              <a:t>na rekvalifikačný kurz (REPAS+) v roku 2023 </a:t>
            </a:r>
          </a:p>
          <a:p>
            <a:pPr>
              <a:defRPr sz="1200">
                <a:solidFill>
                  <a:srgbClr val="002060"/>
                </a:solidFill>
              </a:defRPr>
            </a:pPr>
            <a:r>
              <a:rPr lang="sk-SK" sz="1200">
                <a:solidFill>
                  <a:srgbClr val="002060"/>
                </a:solidFill>
              </a:rPr>
              <a:t>v štruktúre podľa vzdelávacích kategórií</a:t>
            </a:r>
            <a:r>
              <a:rPr lang="en-US" sz="1200">
                <a:solidFill>
                  <a:srgbClr val="002060"/>
                </a:solidFill>
              </a:rPr>
              <a:t> </a:t>
            </a:r>
            <a:endParaRPr lang="sk-SK" sz="1200">
              <a:solidFill>
                <a:srgbClr val="002060"/>
              </a:solidFill>
            </a:endParaRPr>
          </a:p>
        </c:rich>
      </c:tx>
      <c:layout>
        <c:manualLayout>
          <c:xMode val="edge"/>
          <c:yMode val="edge"/>
          <c:x val="0.12307090085961477"/>
          <c:y val="3.7049468761186741E-2"/>
        </c:manualLayout>
      </c:layout>
      <c:overlay val="0"/>
    </c:title>
    <c:autoTitleDeleted val="0"/>
    <c:plotArea>
      <c:layout>
        <c:manualLayout>
          <c:layoutTarget val="inner"/>
          <c:xMode val="edge"/>
          <c:yMode val="edge"/>
          <c:x val="8.4927438544890058E-2"/>
          <c:y val="0.19960614014157321"/>
          <c:w val="0.88827917430823244"/>
          <c:h val="0.56247486488553933"/>
        </c:manualLayout>
      </c:layout>
      <c:barChart>
        <c:barDir val="col"/>
        <c:grouping val="clustered"/>
        <c:varyColors val="0"/>
        <c:ser>
          <c:idx val="0"/>
          <c:order val="0"/>
          <c:spPr>
            <a:solidFill>
              <a:schemeClr val="accent2"/>
            </a:solidFill>
          </c:spPr>
          <c:invertIfNegative val="0"/>
          <c:cat>
            <c:strRef>
              <c:f>'typy kurzovR+'!$A$5:$A$19</c:f>
              <c:strCache>
                <c:ptCount val="15"/>
                <c:pt idx="1">
                  <c:v>Kurzy opatrovania</c:v>
                </c:pt>
                <c:pt idx="2">
                  <c:v>Účtovníctvo a financie</c:v>
                </c:pt>
                <c:pt idx="3">
                  <c:v>Beauty služby</c:v>
                </c:pt>
                <c:pt idx="4">
                  <c:v>Strážna bezpečnostná služba</c:v>
                </c:pt>
                <c:pt idx="5">
                  <c:v>Profesia vodiča</c:v>
                </c:pt>
                <c:pt idx="6">
                  <c:v>Zváranie</c:v>
                </c:pt>
                <c:pt idx="7">
                  <c:v>Odborné kurzy - osob. predpisy</c:v>
                </c:pt>
                <c:pt idx="8">
                  <c:v>Obsluha motorových vozíkov</c:v>
                </c:pt>
                <c:pt idx="9">
                  <c:v>Služby - iné</c:v>
                </c:pt>
                <c:pt idx="10">
                  <c:v>Odborné technické kurzy </c:v>
                </c:pt>
                <c:pt idx="11">
                  <c:v>Reštauračné služby</c:v>
                </c:pt>
                <c:pt idx="12">
                  <c:v>Ľudske zdroje a personalistika</c:v>
                </c:pt>
                <c:pt idx="13">
                  <c:v>Remeslá</c:v>
                </c:pt>
                <c:pt idx="14">
                  <c:v>Obch. a predaj. zručnosti</c:v>
                </c:pt>
              </c:strCache>
            </c:strRef>
          </c:cat>
          <c:val>
            <c:numRef>
              <c:f>'typy kurzovR+'!$B$5:$B$19</c:f>
              <c:numCache>
                <c:formatCode>General</c:formatCode>
                <c:ptCount val="15"/>
                <c:pt idx="1">
                  <c:v>823</c:v>
                </c:pt>
                <c:pt idx="2">
                  <c:v>681</c:v>
                </c:pt>
                <c:pt idx="3">
                  <c:v>633</c:v>
                </c:pt>
                <c:pt idx="4">
                  <c:v>570</c:v>
                </c:pt>
                <c:pt idx="5">
                  <c:v>502</c:v>
                </c:pt>
                <c:pt idx="6">
                  <c:v>325</c:v>
                </c:pt>
                <c:pt idx="7">
                  <c:v>237</c:v>
                </c:pt>
                <c:pt idx="8">
                  <c:v>190</c:v>
                </c:pt>
                <c:pt idx="9">
                  <c:v>182</c:v>
                </c:pt>
                <c:pt idx="10">
                  <c:v>111</c:v>
                </c:pt>
                <c:pt idx="11">
                  <c:v>59</c:v>
                </c:pt>
                <c:pt idx="12">
                  <c:v>57</c:v>
                </c:pt>
                <c:pt idx="13">
                  <c:v>51</c:v>
                </c:pt>
                <c:pt idx="14">
                  <c:v>33</c:v>
                </c:pt>
              </c:numCache>
            </c:numRef>
          </c:val>
          <c:extLst>
            <c:ext xmlns:c16="http://schemas.microsoft.com/office/drawing/2014/chart" uri="{C3380CC4-5D6E-409C-BE32-E72D297353CC}">
              <c16:uniqueId val="{00000000-9DF6-4C1D-BB5B-ADDE6F4B6E64}"/>
            </c:ext>
          </c:extLst>
        </c:ser>
        <c:dLbls>
          <c:showLegendKey val="0"/>
          <c:showVal val="0"/>
          <c:showCatName val="0"/>
          <c:showSerName val="0"/>
          <c:showPercent val="0"/>
          <c:showBubbleSize val="0"/>
        </c:dLbls>
        <c:gapWidth val="75"/>
        <c:overlap val="-25"/>
        <c:axId val="452543232"/>
        <c:axId val="377344632"/>
      </c:barChart>
      <c:catAx>
        <c:axId val="452543232"/>
        <c:scaling>
          <c:orientation val="minMax"/>
        </c:scaling>
        <c:delete val="0"/>
        <c:axPos val="b"/>
        <c:numFmt formatCode="General" sourceLinked="1"/>
        <c:majorTickMark val="none"/>
        <c:minorTickMark val="none"/>
        <c:tickLblPos val="nextTo"/>
        <c:txPr>
          <a:bodyPr anchor="t" anchorCtr="0"/>
          <a:lstStyle/>
          <a:p>
            <a:pPr>
              <a:defRPr sz="600"/>
            </a:pPr>
            <a:endParaRPr lang="sk-SK"/>
          </a:p>
        </c:txPr>
        <c:crossAx val="377344632"/>
        <c:crosses val="autoZero"/>
        <c:auto val="1"/>
        <c:lblAlgn val="ctr"/>
        <c:lblOffset val="100"/>
        <c:noMultiLvlLbl val="0"/>
      </c:catAx>
      <c:valAx>
        <c:axId val="377344632"/>
        <c:scaling>
          <c:orientation val="minMax"/>
        </c:scaling>
        <c:delete val="0"/>
        <c:axPos val="l"/>
        <c:numFmt formatCode="General" sourceLinked="1"/>
        <c:majorTickMark val="none"/>
        <c:minorTickMark val="none"/>
        <c:tickLblPos val="nextTo"/>
        <c:crossAx val="452543232"/>
        <c:crosses val="autoZero"/>
        <c:crossBetween val="between"/>
      </c:valAx>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baseline="0">
                <a:solidFill>
                  <a:srgbClr val="002060"/>
                </a:solidFill>
                <a:effectLst/>
              </a:rPr>
              <a:t>rehľad UoZ zaradených na kompetenčný kurz (KOMPAS+)  v roku 2023</a:t>
            </a:r>
          </a:p>
          <a:p>
            <a:pPr algn="ctr">
              <a:defRPr lang="sk-SK" sz="1200">
                <a:solidFill>
                  <a:srgbClr val="002060"/>
                </a:solidFill>
              </a:defRPr>
            </a:pPr>
            <a:r>
              <a:rPr lang="sk-SK" sz="1200" b="1" i="0" baseline="0">
                <a:solidFill>
                  <a:srgbClr val="002060"/>
                </a:solidFill>
                <a:effectLst/>
              </a:rPr>
              <a:t>v štruktúre podľa jednotlivých úradov</a:t>
            </a:r>
            <a:endParaRPr lang="sk-SK" sz="1200">
              <a:solidFill>
                <a:srgbClr val="002060"/>
              </a:solidFill>
              <a:effectLst/>
            </a:endParaRPr>
          </a:p>
        </c:rich>
      </c:tx>
      <c:layout>
        <c:manualLayout>
          <c:xMode val="edge"/>
          <c:yMode val="edge"/>
          <c:x val="9.1138434084628309E-2"/>
          <c:y val="2.6562617771055588E-2"/>
        </c:manualLayout>
      </c:layout>
      <c:overlay val="0"/>
    </c:title>
    <c:autoTitleDeleted val="0"/>
    <c:plotArea>
      <c:layout>
        <c:manualLayout>
          <c:layoutTarget val="inner"/>
          <c:xMode val="edge"/>
          <c:yMode val="edge"/>
          <c:x val="0.18062291312811998"/>
          <c:y val="0.24865585350218319"/>
          <c:w val="0.56990896895153864"/>
          <c:h val="0.59179505787583009"/>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1.6431082791158627E-4"/>
                  <c:y val="-2.1818699578050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96-42F7-8E56-04B66B735D1A}"/>
                </c:ext>
              </c:extLst>
            </c:dLbl>
            <c:dLbl>
              <c:idx val="1"/>
              <c:layout>
                <c:manualLayout>
                  <c:x val="3.4354383184894338E-2"/>
                  <c:y val="-0.11640582715499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96-42F7-8E56-04B66B735D1A}"/>
                </c:ext>
              </c:extLst>
            </c:dLbl>
            <c:dLbl>
              <c:idx val="2"/>
              <c:layout>
                <c:manualLayout>
                  <c:x val="6.7363628157591407E-2"/>
                  <c:y val="-0.16674059967137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96-42F7-8E56-04B66B735D1A}"/>
                </c:ext>
              </c:extLst>
            </c:dLbl>
            <c:dLbl>
              <c:idx val="3"/>
              <c:layout>
                <c:manualLayout>
                  <c:x val="9.1500541598966798E-2"/>
                  <c:y val="-0.174027305297750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96-42F7-8E56-04B66B735D1A}"/>
                </c:ext>
              </c:extLst>
            </c:dLbl>
            <c:dLbl>
              <c:idx val="4"/>
              <c:layout>
                <c:manualLayout>
                  <c:x val="0.12844054215445283"/>
                  <c:y val="-0.17782954539744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96-42F7-8E56-04B66B735D1A}"/>
                </c:ext>
              </c:extLst>
            </c:dLbl>
            <c:dLbl>
              <c:idx val="5"/>
              <c:layout>
                <c:manualLayout>
                  <c:x val="0.1465027732989258"/>
                  <c:y val="-0.1660554216960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96-42F7-8E56-04B66B735D1A}"/>
                </c:ext>
              </c:extLst>
            </c:dLbl>
            <c:dLbl>
              <c:idx val="6"/>
              <c:layout>
                <c:manualLayout>
                  <c:x val="0.16590033518137098"/>
                  <c:y val="-0.15130530352812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96-42F7-8E56-04B66B735D1A}"/>
                </c:ext>
              </c:extLst>
            </c:dLbl>
            <c:dLbl>
              <c:idx val="7"/>
              <c:layout>
                <c:manualLayout>
                  <c:x val="0.18636997425958635"/>
                  <c:y val="-0.124758380312270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96-42F7-8E56-04B66B735D1A}"/>
                </c:ext>
              </c:extLst>
            </c:dLbl>
            <c:dLbl>
              <c:idx val="8"/>
              <c:layout>
                <c:manualLayout>
                  <c:x val="0.20589255745777774"/>
                  <c:y val="-0.1017894651894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96-42F7-8E56-04B66B735D1A}"/>
                </c:ext>
              </c:extLst>
            </c:dLbl>
            <c:dLbl>
              <c:idx val="9"/>
              <c:layout>
                <c:manualLayout>
                  <c:x val="0.22145530402543787"/>
                  <c:y val="-7.272212975296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96-42F7-8E56-04B66B735D1A}"/>
                </c:ext>
              </c:extLst>
            </c:dLbl>
            <c:dLbl>
              <c:idx val="10"/>
              <c:layout>
                <c:manualLayout>
                  <c:x val="0.22523560694043798"/>
                  <c:y val="-4.4210991054963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96-42F7-8E56-04B66B735D1A}"/>
                </c:ext>
              </c:extLst>
            </c:dLbl>
            <c:dLbl>
              <c:idx val="11"/>
              <c:layout>
                <c:manualLayout>
                  <c:x val="0.23006624421368738"/>
                  <c:y val="-1.2918223931686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D96-42F7-8E56-04B66B735D1A}"/>
                </c:ext>
              </c:extLst>
            </c:dLbl>
            <c:dLbl>
              <c:idx val="12"/>
              <c:layout>
                <c:manualLayout>
                  <c:x val="0.23231724912104579"/>
                  <c:y val="1.6461390788281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96-42F7-8E56-04B66B735D1A}"/>
                </c:ext>
              </c:extLst>
            </c:dLbl>
            <c:dLbl>
              <c:idx val="13"/>
              <c:layout>
                <c:manualLayout>
                  <c:x val="0.22493291558094827"/>
                  <c:y val="4.4947284815204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D96-42F7-8E56-04B66B735D1A}"/>
                </c:ext>
              </c:extLst>
            </c:dLbl>
            <c:dLbl>
              <c:idx val="14"/>
              <c:layout>
                <c:manualLayout>
                  <c:x val="0.22193209339107817"/>
                  <c:y val="7.2360309799984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D96-42F7-8E56-04B66B735D1A}"/>
                </c:ext>
              </c:extLst>
            </c:dLbl>
            <c:dLbl>
              <c:idx val="15"/>
              <c:layout>
                <c:manualLayout>
                  <c:x val="0.20753755842222774"/>
                  <c:y val="0.101566013925678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D96-42F7-8E56-04B66B735D1A}"/>
                </c:ext>
              </c:extLst>
            </c:dLbl>
            <c:dLbl>
              <c:idx val="16"/>
              <c:layout>
                <c:manualLayout>
                  <c:x val="0.20132889116809047"/>
                  <c:y val="0.12733650229205221"/>
                </c:manualLayout>
              </c:layout>
              <c:spPr>
                <a:noFill/>
                <a:ln>
                  <a:noFill/>
                </a:ln>
                <a:effectLst/>
              </c:spPr>
              <c:txPr>
                <a:bodyPr anchorCtr="0"/>
                <a:lstStyle/>
                <a:p>
                  <a:pPr algn="ctr">
                    <a:defRPr lang="sk-SK" sz="900" b="0">
                      <a:solidFill>
                        <a:srgbClr val="FF0000"/>
                      </a:solidFill>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D96-42F7-8E56-04B66B735D1A}"/>
                </c:ext>
              </c:extLst>
            </c:dLbl>
            <c:dLbl>
              <c:idx val="17"/>
              <c:layout>
                <c:manualLayout>
                  <c:x val="0.18749035161585004"/>
                  <c:y val="0.14820308751728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D96-42F7-8E56-04B66B735D1A}"/>
                </c:ext>
              </c:extLst>
            </c:dLbl>
            <c:dLbl>
              <c:idx val="18"/>
              <c:layout>
                <c:manualLayout>
                  <c:x val="0.16321649250136125"/>
                  <c:y val="0.16868578104164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D96-42F7-8E56-04B66B735D1A}"/>
                </c:ext>
              </c:extLst>
            </c:dLbl>
            <c:dLbl>
              <c:idx val="19"/>
              <c:layout>
                <c:manualLayout>
                  <c:x val="0.13773248917284345"/>
                  <c:y val="0.188860631074117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D96-42F7-8E56-04B66B735D1A}"/>
                </c:ext>
              </c:extLst>
            </c:dLbl>
            <c:dLbl>
              <c:idx val="20"/>
              <c:layout>
                <c:manualLayout>
                  <c:x val="0.10870595638821651"/>
                  <c:y val="0.21070727798849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96-42F7-8E56-04B66B735D1A}"/>
                </c:ext>
              </c:extLst>
            </c:dLbl>
            <c:dLbl>
              <c:idx val="21"/>
              <c:layout>
                <c:manualLayout>
                  <c:x val="7.5420312345179277E-2"/>
                  <c:y val="0.222891904251353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96-42F7-8E56-04B66B735D1A}"/>
                </c:ext>
              </c:extLst>
            </c:dLbl>
            <c:dLbl>
              <c:idx val="22"/>
              <c:layout>
                <c:manualLayout>
                  <c:x val="4.4944930051738566E-2"/>
                  <c:y val="0.23197180879476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D96-42F7-8E56-04B66B735D1A}"/>
                </c:ext>
              </c:extLst>
            </c:dLbl>
            <c:dLbl>
              <c:idx val="23"/>
              <c:layout>
                <c:manualLayout>
                  <c:x val="3.8939868940387661E-3"/>
                  <c:y val="0.242672938210688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D96-42F7-8E56-04B66B735D1A}"/>
                </c:ext>
              </c:extLst>
            </c:dLbl>
            <c:dLbl>
              <c:idx val="24"/>
              <c:layout>
                <c:manualLayout>
                  <c:x val="-3.106073054070399E-2"/>
                  <c:y val="0.24213985696883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D96-42F7-8E56-04B66B735D1A}"/>
                </c:ext>
              </c:extLst>
            </c:dLbl>
            <c:dLbl>
              <c:idx val="25"/>
              <c:layout>
                <c:manualLayout>
                  <c:x val="-6.7507938465284925E-2"/>
                  <c:y val="0.23850005572143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D96-42F7-8E56-04B66B735D1A}"/>
                </c:ext>
              </c:extLst>
            </c:dLbl>
            <c:dLbl>
              <c:idx val="26"/>
              <c:layout>
                <c:manualLayout>
                  <c:x val="-0.10253378603991799"/>
                  <c:y val="0.226210903724882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D96-42F7-8E56-04B66B735D1A}"/>
                </c:ext>
              </c:extLst>
            </c:dLbl>
            <c:dLbl>
              <c:idx val="27"/>
              <c:layout>
                <c:manualLayout>
                  <c:x val="-0.13705970365754908"/>
                  <c:y val="0.21256168747574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D96-42F7-8E56-04B66B735D1A}"/>
                </c:ext>
              </c:extLst>
            </c:dLbl>
            <c:dLbl>
              <c:idx val="28"/>
              <c:layout>
                <c:manualLayout>
                  <c:x val="-0.16909296025937343"/>
                  <c:y val="0.19846254942875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96-42F7-8E56-04B66B735D1A}"/>
                </c:ext>
              </c:extLst>
            </c:dLbl>
            <c:dLbl>
              <c:idx val="29"/>
              <c:layout>
                <c:manualLayout>
                  <c:x val="-0.18616900831849903"/>
                  <c:y val="0.1736014879545619"/>
                </c:manualLayout>
              </c:layout>
              <c:showLegendKey val="0"/>
              <c:showVal val="1"/>
              <c:showCatName val="0"/>
              <c:showSerName val="0"/>
              <c:showPercent val="0"/>
              <c:showBubbleSize val="0"/>
              <c:extLst>
                <c:ext xmlns:c15="http://schemas.microsoft.com/office/drawing/2012/chart" uri="{CE6537A1-D6FC-4f65-9D91-7224C49458BB}">
                  <c15:layout>
                    <c:manualLayout>
                      <c:w val="3.9154812419881529E-2"/>
                      <c:h val="3.4186204818417533E-2"/>
                    </c:manualLayout>
                  </c15:layout>
                </c:ext>
                <c:ext xmlns:c16="http://schemas.microsoft.com/office/drawing/2014/chart" uri="{C3380CC4-5D6E-409C-BE32-E72D297353CC}">
                  <c16:uniqueId val="{0000001D-3D96-42F7-8E56-04B66B735D1A}"/>
                </c:ext>
              </c:extLst>
            </c:dLbl>
            <c:dLbl>
              <c:idx val="30"/>
              <c:layout>
                <c:manualLayout>
                  <c:x val="-0.20614104702944699"/>
                  <c:y val="0.14462518685896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D96-42F7-8E56-04B66B735D1A}"/>
                </c:ext>
              </c:extLst>
            </c:dLbl>
            <c:dLbl>
              <c:idx val="31"/>
              <c:layout>
                <c:manualLayout>
                  <c:x val="-0.22767096004877851"/>
                  <c:y val="0.11322504159893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D96-42F7-8E56-04B66B735D1A}"/>
                </c:ext>
              </c:extLst>
            </c:dLbl>
            <c:dLbl>
              <c:idx val="32"/>
              <c:layout>
                <c:manualLayout>
                  <c:x val="-0.24325933210351702"/>
                  <c:y val="7.4916513913066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D96-42F7-8E56-04B66B735D1A}"/>
                </c:ext>
              </c:extLst>
            </c:dLbl>
            <c:dLbl>
              <c:idx val="33"/>
              <c:layout>
                <c:manualLayout>
                  <c:x val="-0.25763678341431506"/>
                  <c:y val="4.2509525019049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D96-42F7-8E56-04B66B735D1A}"/>
                </c:ext>
              </c:extLst>
            </c:dLbl>
            <c:dLbl>
              <c:idx val="34"/>
              <c:layout>
                <c:manualLayout>
                  <c:x val="-0.25677362225313721"/>
                  <c:y val="1.0292483637031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D96-42F7-8E56-04B66B735D1A}"/>
                </c:ext>
              </c:extLst>
            </c:dLbl>
            <c:dLbl>
              <c:idx val="35"/>
              <c:layout>
                <c:manualLayout>
                  <c:x val="-0.25545239494072164"/>
                  <c:y val="-2.4702080779228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D96-42F7-8E56-04B66B735D1A}"/>
                </c:ext>
              </c:extLst>
            </c:dLbl>
            <c:dLbl>
              <c:idx val="36"/>
              <c:layout>
                <c:manualLayout>
                  <c:x val="-0.25211736410959507"/>
                  <c:y val="-5.853477992670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D96-42F7-8E56-04B66B735D1A}"/>
                </c:ext>
              </c:extLst>
            </c:dLbl>
            <c:dLbl>
              <c:idx val="37"/>
              <c:layout>
                <c:manualLayout>
                  <c:x val="-0.2482123504908135"/>
                  <c:y val="-9.3001923146703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D96-42F7-8E56-04B66B735D1A}"/>
                </c:ext>
              </c:extLst>
            </c:dLbl>
            <c:dLbl>
              <c:idx val="38"/>
              <c:layout>
                <c:manualLayout>
                  <c:x val="-0.23671101066610425"/>
                  <c:y val="-0.127058633799807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D96-42F7-8E56-04B66B735D1A}"/>
                </c:ext>
              </c:extLst>
            </c:dLbl>
            <c:dLbl>
              <c:idx val="39"/>
              <c:layout>
                <c:manualLayout>
                  <c:x val="-0.21987008568373398"/>
                  <c:y val="-0.155917973558984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D96-42F7-8E56-04B66B735D1A}"/>
                </c:ext>
              </c:extLst>
            </c:dLbl>
            <c:dLbl>
              <c:idx val="40"/>
              <c:layout>
                <c:manualLayout>
                  <c:x val="-0.20028798483522892"/>
                  <c:y val="-0.193981980714440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D96-42F7-8E56-04B66B735D1A}"/>
                </c:ext>
              </c:extLst>
            </c:dLbl>
            <c:dLbl>
              <c:idx val="41"/>
              <c:layout>
                <c:manualLayout>
                  <c:x val="-0.17546108113083703"/>
                  <c:y val="-0.21486671126813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D96-42F7-8E56-04B66B735D1A}"/>
                </c:ext>
              </c:extLst>
            </c:dLbl>
            <c:dLbl>
              <c:idx val="42"/>
              <c:layout>
                <c:manualLayout>
                  <c:x val="-0.14754423058228833"/>
                  <c:y val="-0.240886995060524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3D96-42F7-8E56-04B66B735D1A}"/>
                </c:ext>
              </c:extLst>
            </c:dLbl>
            <c:dLbl>
              <c:idx val="43"/>
              <c:layout>
                <c:manualLayout>
                  <c:x val="-0.11079413684400558"/>
                  <c:y val="-0.25729348923918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3D96-42F7-8E56-04B66B735D1A}"/>
                </c:ext>
              </c:extLst>
            </c:dLbl>
            <c:dLbl>
              <c:idx val="44"/>
              <c:layout>
                <c:manualLayout>
                  <c:x val="-6.9700488827785415E-2"/>
                  <c:y val="-0.27621564853850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3D96-42F7-8E56-04B66B735D1A}"/>
                </c:ext>
              </c:extLst>
            </c:dLbl>
            <c:dLbl>
              <c:idx val="45"/>
              <c:layout>
                <c:manualLayout>
                  <c:x val="-3.9332062658834314E-2"/>
                  <c:y val="-0.28779080343100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3D96-42F7-8E56-04B66B735D1A}"/>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dohôd_2023'!$A$2:$A$47</c:f>
              <c:strCache>
                <c:ptCount val="46"/>
                <c:pt idx="0">
                  <c:v>BA</c:v>
                </c:pt>
                <c:pt idx="1">
                  <c:v>KE</c:v>
                </c:pt>
                <c:pt idx="2">
                  <c:v>KK</c:v>
                </c:pt>
                <c:pt idx="3">
                  <c:v>ZA</c:v>
                </c:pt>
                <c:pt idx="4">
                  <c:v>MT</c:v>
                </c:pt>
                <c:pt idx="5">
                  <c:v>PP</c:v>
                </c:pt>
                <c:pt idx="6">
                  <c:v>TN</c:v>
                </c:pt>
                <c:pt idx="7">
                  <c:v>VT</c:v>
                </c:pt>
                <c:pt idx="8">
                  <c:v>PD</c:v>
                </c:pt>
                <c:pt idx="9">
                  <c:v>TT</c:v>
                </c:pt>
                <c:pt idx="10">
                  <c:v>PO</c:v>
                </c:pt>
                <c:pt idx="11">
                  <c:v>ZV</c:v>
                </c:pt>
                <c:pt idx="12">
                  <c:v>PN</c:v>
                </c:pt>
                <c:pt idx="13">
                  <c:v>SE</c:v>
                </c:pt>
                <c:pt idx="14">
                  <c:v>LM</c:v>
                </c:pt>
                <c:pt idx="15">
                  <c:v>LC</c:v>
                </c:pt>
                <c:pt idx="16">
                  <c:v>SN</c:v>
                </c:pt>
                <c:pt idx="17">
                  <c:v>BB</c:v>
                </c:pt>
                <c:pt idx="18">
                  <c:v>PK</c:v>
                </c:pt>
                <c:pt idx="19">
                  <c:v>RK</c:v>
                </c:pt>
                <c:pt idx="20">
                  <c:v>DS</c:v>
                </c:pt>
                <c:pt idx="21">
                  <c:v>NZ</c:v>
                </c:pt>
                <c:pt idx="22">
                  <c:v>BS</c:v>
                </c:pt>
                <c:pt idx="23">
                  <c:v>BJ</c:v>
                </c:pt>
                <c:pt idx="24">
                  <c:v>NO</c:v>
                </c:pt>
                <c:pt idx="25">
                  <c:v>RS</c:v>
                </c:pt>
                <c:pt idx="26">
                  <c:v>NR</c:v>
                </c:pt>
                <c:pt idx="27">
                  <c:v>MA</c:v>
                </c:pt>
                <c:pt idx="28">
                  <c:v>NM</c:v>
                </c:pt>
                <c:pt idx="29">
                  <c:v>MI</c:v>
                </c:pt>
                <c:pt idx="30">
                  <c:v>RV</c:v>
                </c:pt>
                <c:pt idx="31">
                  <c:v>PB</c:v>
                </c:pt>
                <c:pt idx="32">
                  <c:v>SL</c:v>
                </c:pt>
                <c:pt idx="33">
                  <c:v>KN</c:v>
                </c:pt>
                <c:pt idx="34">
                  <c:v>PE</c:v>
                </c:pt>
                <c:pt idx="35">
                  <c:v>LV</c:v>
                </c:pt>
                <c:pt idx="36">
                  <c:v>DK</c:v>
                </c:pt>
                <c:pt idx="37">
                  <c:v>BR</c:v>
                </c:pt>
                <c:pt idx="38">
                  <c:v>HE</c:v>
                </c:pt>
                <c:pt idx="39">
                  <c:v>TV</c:v>
                </c:pt>
                <c:pt idx="40">
                  <c:v>ST</c:v>
                </c:pt>
                <c:pt idx="41">
                  <c:v>GA</c:v>
                </c:pt>
                <c:pt idx="42">
                  <c:v>TO</c:v>
                </c:pt>
                <c:pt idx="43">
                  <c:v>VK</c:v>
                </c:pt>
                <c:pt idx="44">
                  <c:v>CA</c:v>
                </c:pt>
                <c:pt idx="45">
                  <c:v>RA</c:v>
                </c:pt>
              </c:strCache>
            </c:strRef>
          </c:cat>
          <c:val>
            <c:numRef>
              <c:f>'prehľad dohôd_2023'!$B$2:$B$47</c:f>
              <c:numCache>
                <c:formatCode>#\ ##0;\-#\ ##0;\0</c:formatCode>
                <c:ptCount val="46"/>
                <c:pt idx="0">
                  <c:v>148</c:v>
                </c:pt>
                <c:pt idx="1">
                  <c:v>94</c:v>
                </c:pt>
                <c:pt idx="2">
                  <c:v>61</c:v>
                </c:pt>
                <c:pt idx="3">
                  <c:v>53</c:v>
                </c:pt>
                <c:pt idx="4">
                  <c:v>39</c:v>
                </c:pt>
                <c:pt idx="5">
                  <c:v>38</c:v>
                </c:pt>
                <c:pt idx="6">
                  <c:v>35</c:v>
                </c:pt>
                <c:pt idx="7">
                  <c:v>35</c:v>
                </c:pt>
                <c:pt idx="8">
                  <c:v>29</c:v>
                </c:pt>
                <c:pt idx="9">
                  <c:v>28</c:v>
                </c:pt>
                <c:pt idx="10">
                  <c:v>28</c:v>
                </c:pt>
                <c:pt idx="11">
                  <c:v>27</c:v>
                </c:pt>
                <c:pt idx="12">
                  <c:v>26</c:v>
                </c:pt>
                <c:pt idx="13">
                  <c:v>26</c:v>
                </c:pt>
                <c:pt idx="14">
                  <c:v>26</c:v>
                </c:pt>
                <c:pt idx="15">
                  <c:v>26</c:v>
                </c:pt>
                <c:pt idx="16">
                  <c:v>26</c:v>
                </c:pt>
                <c:pt idx="17">
                  <c:v>25</c:v>
                </c:pt>
                <c:pt idx="18">
                  <c:v>24</c:v>
                </c:pt>
                <c:pt idx="19">
                  <c:v>23</c:v>
                </c:pt>
                <c:pt idx="20">
                  <c:v>22</c:v>
                </c:pt>
                <c:pt idx="21">
                  <c:v>22</c:v>
                </c:pt>
                <c:pt idx="22">
                  <c:v>22</c:v>
                </c:pt>
                <c:pt idx="23">
                  <c:v>22</c:v>
                </c:pt>
                <c:pt idx="24">
                  <c:v>20</c:v>
                </c:pt>
                <c:pt idx="25">
                  <c:v>19</c:v>
                </c:pt>
                <c:pt idx="26">
                  <c:v>17</c:v>
                </c:pt>
                <c:pt idx="27">
                  <c:v>16</c:v>
                </c:pt>
                <c:pt idx="28">
                  <c:v>16</c:v>
                </c:pt>
                <c:pt idx="29">
                  <c:v>16</c:v>
                </c:pt>
                <c:pt idx="30">
                  <c:v>15</c:v>
                </c:pt>
                <c:pt idx="31">
                  <c:v>14</c:v>
                </c:pt>
                <c:pt idx="32">
                  <c:v>14</c:v>
                </c:pt>
                <c:pt idx="33">
                  <c:v>13</c:v>
                </c:pt>
                <c:pt idx="34">
                  <c:v>12</c:v>
                </c:pt>
                <c:pt idx="35">
                  <c:v>12</c:v>
                </c:pt>
                <c:pt idx="36">
                  <c:v>12</c:v>
                </c:pt>
                <c:pt idx="37">
                  <c:v>12</c:v>
                </c:pt>
                <c:pt idx="38">
                  <c:v>12</c:v>
                </c:pt>
                <c:pt idx="39">
                  <c:v>10</c:v>
                </c:pt>
                <c:pt idx="40">
                  <c:v>8</c:v>
                </c:pt>
                <c:pt idx="41">
                  <c:v>7</c:v>
                </c:pt>
                <c:pt idx="42">
                  <c:v>7</c:v>
                </c:pt>
                <c:pt idx="43">
                  <c:v>7</c:v>
                </c:pt>
                <c:pt idx="44">
                  <c:v>4</c:v>
                </c:pt>
                <c:pt idx="45">
                  <c:v>3</c:v>
                </c:pt>
              </c:numCache>
            </c:numRef>
          </c:val>
          <c:extLst>
            <c:ext xmlns:c16="http://schemas.microsoft.com/office/drawing/2014/chart" uri="{C3380CC4-5D6E-409C-BE32-E72D297353CC}">
              <c16:uniqueId val="{0000002E-3D96-42F7-8E56-04B66B735D1A}"/>
            </c:ext>
          </c:extLst>
        </c:ser>
        <c:dLbls>
          <c:showLegendKey val="0"/>
          <c:showVal val="1"/>
          <c:showCatName val="0"/>
          <c:showSerName val="0"/>
          <c:showPercent val="0"/>
          <c:showBubbleSize val="0"/>
        </c:dLbls>
        <c:axId val="496283104"/>
        <c:axId val="496276832"/>
      </c:radarChart>
      <c:catAx>
        <c:axId val="496283104"/>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496276832"/>
        <c:crosses val="autoZero"/>
        <c:auto val="1"/>
        <c:lblAlgn val="ctr"/>
        <c:lblOffset val="100"/>
        <c:noMultiLvlLbl val="0"/>
      </c:catAx>
      <c:valAx>
        <c:axId val="496276832"/>
        <c:scaling>
          <c:orientation val="minMax"/>
        </c:scaling>
        <c:delete val="0"/>
        <c:axPos val="l"/>
        <c:majorGridlines/>
        <c:minorGridlines>
          <c:spPr>
            <a:ln>
              <a:noFill/>
            </a:ln>
          </c:spPr>
        </c:minorGridlines>
        <c:numFmt formatCode="#\ ##0;\-#\ ##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496283104"/>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a:t>
            </a:r>
            <a:r>
              <a:rPr lang="sk-SK" sz="1100" b="1" i="0" baseline="0">
                <a:solidFill>
                  <a:srgbClr val="002060"/>
                </a:solidFill>
                <a:effectLst/>
              </a:rPr>
              <a:t>Prehľad UoZ zaradených na kompetenčný kurz (KOMPAS+) v roku 2023</a:t>
            </a:r>
            <a:endParaRPr lang="sk-SK" sz="1100" b="1">
              <a:solidFill>
                <a:srgbClr val="002060"/>
              </a:solidFill>
              <a:effectLst/>
            </a:endParaRPr>
          </a:p>
          <a:p>
            <a:pPr algn="ctr" rtl="0">
              <a:defRPr lang="en-US" sz="1200" b="1" i="0" u="none" strike="noStrike" kern="1200" baseline="0">
                <a:solidFill>
                  <a:srgbClr val="002060"/>
                </a:solidFill>
                <a:latin typeface="+mn-lt"/>
                <a:ea typeface="+mn-ea"/>
                <a:cs typeface="+mn-cs"/>
              </a:defRPr>
            </a:pPr>
            <a:r>
              <a:rPr lang="sk-SK" sz="1100" b="1" i="0" baseline="0">
                <a:solidFill>
                  <a:srgbClr val="002060"/>
                </a:solidFill>
                <a:effectLst/>
              </a:rPr>
              <a:t>v štruktúre podľa znevýhodnenia</a:t>
            </a:r>
            <a:endParaRPr lang="sk-SK" sz="1100" b="1">
              <a:solidFill>
                <a:srgbClr val="002060"/>
              </a:solidFill>
              <a:effectLst/>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62868612011734"/>
          <c:y val="0.20475704785606463"/>
          <c:w val="0.87928852492537046"/>
          <c:h val="0.59308939323761001"/>
        </c:manualLayout>
      </c:layout>
      <c:bar3DChart>
        <c:barDir val="col"/>
        <c:grouping val="clustered"/>
        <c:varyColors val="0"/>
        <c:ser>
          <c:idx val="0"/>
          <c:order val="0"/>
          <c:tx>
            <c:v>Počet UoZ</c:v>
          </c:tx>
          <c:invertIfNegative val="0"/>
          <c:cat>
            <c:strRef>
              <c:f>znevýhodnenie_2023!$A$3:$H$3</c:f>
              <c:strCache>
                <c:ptCount val="8"/>
                <c:pt idx="0">
                  <c:v>absolvent školy</c:v>
                </c:pt>
                <c:pt idx="1">
                  <c:v>UoZ nad 50 rokov</c:v>
                </c:pt>
                <c:pt idx="2">
                  <c:v>dlhodobo nezamestnaný UoZ</c:v>
                </c:pt>
                <c:pt idx="3">
                  <c:v>UoZ s nižším vzdelaním ako stredné odborné</c:v>
                </c:pt>
                <c:pt idx="4">
                  <c:v>UoZ, ktorý nemal pravidelné platené zamestnanie</c:v>
                </c:pt>
                <c:pt idx="5">
                  <c:v>UoZ, ktorý žije ako osamelý rodič</c:v>
                </c:pt>
                <c:pt idx="6">
                  <c:v>UoZ so zdravotným postihnutím</c:v>
                </c:pt>
                <c:pt idx="7">
                  <c:v>UoZ ukončil poberanie mater./rodič. príspevku menej ako dva roky pre zaradením...</c:v>
                </c:pt>
              </c:strCache>
            </c:strRef>
          </c:cat>
          <c:val>
            <c:numRef>
              <c:f>znevýhodnenie_2023!$A$4:$H$4</c:f>
              <c:numCache>
                <c:formatCode>#,##0</c:formatCode>
                <c:ptCount val="8"/>
                <c:pt idx="0">
                  <c:v>52</c:v>
                </c:pt>
                <c:pt idx="1">
                  <c:v>162</c:v>
                </c:pt>
                <c:pt idx="2">
                  <c:v>284</c:v>
                </c:pt>
                <c:pt idx="3">
                  <c:v>80</c:v>
                </c:pt>
                <c:pt idx="4">
                  <c:v>433</c:v>
                </c:pt>
                <c:pt idx="5">
                  <c:v>9</c:v>
                </c:pt>
                <c:pt idx="6">
                  <c:v>41</c:v>
                </c:pt>
                <c:pt idx="7">
                  <c:v>26</c:v>
                </c:pt>
              </c:numCache>
            </c:numRef>
          </c:val>
          <c:extLst>
            <c:ext xmlns:c16="http://schemas.microsoft.com/office/drawing/2014/chart" uri="{C3380CC4-5D6E-409C-BE32-E72D297353CC}">
              <c16:uniqueId val="{00000000-0D6B-41E7-AC92-F8B770BF0F8A}"/>
            </c:ext>
          </c:extLst>
        </c:ser>
        <c:dLbls>
          <c:showLegendKey val="0"/>
          <c:showVal val="0"/>
          <c:showCatName val="0"/>
          <c:showSerName val="0"/>
          <c:showPercent val="0"/>
          <c:showBubbleSize val="0"/>
        </c:dLbls>
        <c:gapWidth val="150"/>
        <c:shape val="box"/>
        <c:axId val="452543624"/>
        <c:axId val="452542056"/>
        <c:axId val="0"/>
      </c:bar3DChart>
      <c:catAx>
        <c:axId val="452543624"/>
        <c:scaling>
          <c:orientation val="minMax"/>
        </c:scaling>
        <c:delete val="0"/>
        <c:axPos val="b"/>
        <c:numFmt formatCode="General" sourceLinked="1"/>
        <c:majorTickMark val="none"/>
        <c:minorTickMark val="none"/>
        <c:tickLblPos val="nextTo"/>
        <c:txPr>
          <a:bodyPr/>
          <a:lstStyle/>
          <a:p>
            <a:pPr>
              <a:defRPr lang="sk-SK"/>
            </a:pPr>
            <a:endParaRPr lang="sk-SK"/>
          </a:p>
        </c:txPr>
        <c:crossAx val="452542056"/>
        <c:crosses val="autoZero"/>
        <c:auto val="1"/>
        <c:lblAlgn val="ctr"/>
        <c:lblOffset val="100"/>
        <c:noMultiLvlLbl val="0"/>
      </c:catAx>
      <c:valAx>
        <c:axId val="452542056"/>
        <c:scaling>
          <c:orientation val="minMax"/>
        </c:scaling>
        <c:delete val="0"/>
        <c:axPos val="l"/>
        <c:numFmt formatCode="#,##0" sourceLinked="1"/>
        <c:majorTickMark val="none"/>
        <c:minorTickMark val="none"/>
        <c:tickLblPos val="nextTo"/>
        <c:txPr>
          <a:bodyPr/>
          <a:lstStyle/>
          <a:p>
            <a:pPr>
              <a:defRPr lang="sk-SK" sz="900"/>
            </a:pPr>
            <a:endParaRPr lang="sk-SK"/>
          </a:p>
        </c:txPr>
        <c:crossAx val="452543624"/>
        <c:crosses val="autoZero"/>
        <c:crossBetween val="between"/>
      </c:valAx>
      <c:dTable>
        <c:showHorzBorder val="1"/>
        <c:showVertBorder val="1"/>
        <c:showOutline val="1"/>
        <c:showKeys val="1"/>
        <c:txPr>
          <a:bodyPr/>
          <a:lstStyle/>
          <a:p>
            <a:pPr rtl="0">
              <a:defRPr lang="sk-SK" sz="700"/>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latin typeface="+mn-lt"/>
              </a:rPr>
              <a:t>Prehľad UoZ zaradených na kompetenčný kurz (KOMPAS+) </a:t>
            </a:r>
            <a:endParaRPr lang="sk-SK" sz="1200">
              <a:effectLst/>
              <a:latin typeface="+mn-lt"/>
            </a:endParaRPr>
          </a:p>
          <a:p>
            <a:pPr>
              <a:defRPr sz="1200"/>
            </a:pPr>
            <a:r>
              <a:rPr lang="sk-SK" sz="1200" b="1" i="0" baseline="0">
                <a:effectLst/>
                <a:latin typeface="+mn-lt"/>
              </a:rPr>
              <a:t>v roku 2023 </a:t>
            </a:r>
            <a:r>
              <a:rPr lang="sk-SK" sz="1200" b="1" i="0" u="none" strike="noStrike" baseline="0">
                <a:effectLst/>
              </a:rPr>
              <a:t>v štruktúre podľa vekových kategórií</a:t>
            </a:r>
            <a:endParaRPr lang="sk-SK" sz="1200">
              <a:effectLst/>
              <a:latin typeface="+mn-lt"/>
            </a:endParaRPr>
          </a:p>
        </c:rich>
      </c:tx>
      <c:layout>
        <c:manualLayout>
          <c:xMode val="edge"/>
          <c:yMode val="edge"/>
          <c:x val="0.15401804150570075"/>
          <c:y val="2.2305430999207287E-2"/>
        </c:manualLayout>
      </c:layout>
      <c:overlay val="0"/>
    </c:title>
    <c:autoTitleDeleted val="0"/>
    <c:plotArea>
      <c:layout/>
      <c:pieChart>
        <c:varyColors val="1"/>
        <c:ser>
          <c:idx val="0"/>
          <c:order val="0"/>
          <c:explosion val="3"/>
          <c:dPt>
            <c:idx val="0"/>
            <c:bubble3D val="0"/>
            <c:explosion val="5"/>
            <c:extLst>
              <c:ext xmlns:c16="http://schemas.microsoft.com/office/drawing/2014/chart" uri="{C3380CC4-5D6E-409C-BE32-E72D297353CC}">
                <c16:uniqueId val="{00000001-3A5B-404B-817C-D3CC30894A6B}"/>
              </c:ext>
            </c:extLst>
          </c:dPt>
          <c:dPt>
            <c:idx val="1"/>
            <c:bubble3D val="0"/>
            <c:explosion val="5"/>
            <c:extLst>
              <c:ext xmlns:c16="http://schemas.microsoft.com/office/drawing/2014/chart" uri="{C3380CC4-5D6E-409C-BE32-E72D297353CC}">
                <c16:uniqueId val="{00000002-3A5B-404B-817C-D3CC30894A6B}"/>
              </c:ext>
            </c:extLst>
          </c:dPt>
          <c:dPt>
            <c:idx val="2"/>
            <c:bubble3D val="0"/>
            <c:explosion val="5"/>
            <c:extLst>
              <c:ext xmlns:c16="http://schemas.microsoft.com/office/drawing/2014/chart" uri="{C3380CC4-5D6E-409C-BE32-E72D297353CC}">
                <c16:uniqueId val="{00000003-3A5B-404B-817C-D3CC30894A6B}"/>
              </c:ext>
            </c:extLst>
          </c:dPt>
          <c:dLbls>
            <c:dLbl>
              <c:idx val="1"/>
              <c:layout>
                <c:manualLayout>
                  <c:x val="0.10712590703891367"/>
                  <c:y val="-7.6806775533687088E-2"/>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3A5B-404B-817C-D3CC30894A6B}"/>
                </c:ext>
              </c:extLst>
            </c:dLbl>
            <c:dLbl>
              <c:idx val="2"/>
              <c:layout>
                <c:manualLayout>
                  <c:x val="0.12199419554026117"/>
                  <c:y val="0.11749430369470301"/>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A5B-404B-817C-D3CC30894A6B}"/>
                </c:ext>
              </c:extLst>
            </c:dLbl>
            <c:dLbl>
              <c:idx val="3"/>
              <c:layout>
                <c:manualLayout>
                  <c:x val="5.423342021231866E-2"/>
                  <c:y val="0.16330956187825715"/>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3A5B-404B-817C-D3CC30894A6B}"/>
                </c:ext>
              </c:extLst>
            </c:dLbl>
            <c:numFmt formatCode="0.00%" sourceLinked="0"/>
            <c:spPr>
              <a:noFill/>
              <a:ln>
                <a:noFill/>
              </a:ln>
              <a:effectLst/>
            </c:spPr>
            <c:txPr>
              <a:bodyPr wrap="square" lIns="38100" tIns="19050" rIns="38100" bIns="19050" anchor="ctr">
                <a:spAutoFit/>
              </a:bodyPr>
              <a:lstStyle/>
              <a:p>
                <a:pPr>
                  <a:defRPr sz="1000"/>
                </a:pPr>
                <a:endParaRPr lang="sk-SK"/>
              </a:p>
            </c:txPr>
            <c:dLblPos val="ctr"/>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vek_2023!$B$11:$B$14</c:f>
              <c:strCache>
                <c:ptCount val="4"/>
                <c:pt idx="0">
                  <c:v>30 - 49 r.</c:v>
                </c:pt>
                <c:pt idx="1">
                  <c:v>25 - 29 r.</c:v>
                </c:pt>
                <c:pt idx="2">
                  <c:v>50 a viac r.</c:v>
                </c:pt>
                <c:pt idx="3">
                  <c:v>do 24 r.</c:v>
                </c:pt>
              </c:strCache>
            </c:strRef>
          </c:cat>
          <c:val>
            <c:numRef>
              <c:f>vek_2023!$C$11:$C$14</c:f>
              <c:numCache>
                <c:formatCode>#,##0</c:formatCode>
                <c:ptCount val="4"/>
                <c:pt idx="0">
                  <c:v>709</c:v>
                </c:pt>
                <c:pt idx="1">
                  <c:v>196</c:v>
                </c:pt>
                <c:pt idx="2">
                  <c:v>162</c:v>
                </c:pt>
                <c:pt idx="3">
                  <c:v>104</c:v>
                </c:pt>
              </c:numCache>
            </c:numRef>
          </c:val>
          <c:extLst>
            <c:ext xmlns:c16="http://schemas.microsoft.com/office/drawing/2014/chart" uri="{C3380CC4-5D6E-409C-BE32-E72D297353CC}">
              <c16:uniqueId val="{00000005-3A5B-404B-817C-D3CC30894A6B}"/>
            </c:ext>
          </c:extLst>
        </c:ser>
        <c:ser>
          <c:idx val="1"/>
          <c:order val="1"/>
          <c:explosion val="25"/>
          <c:cat>
            <c:strRef>
              <c:f>vek_2023!$B$11:$B$14</c:f>
              <c:strCache>
                <c:ptCount val="4"/>
                <c:pt idx="0">
                  <c:v>30 - 49 r.</c:v>
                </c:pt>
                <c:pt idx="1">
                  <c:v>25 - 29 r.</c:v>
                </c:pt>
                <c:pt idx="2">
                  <c:v>50 a viac r.</c:v>
                </c:pt>
                <c:pt idx="3">
                  <c:v>do 24 r.</c:v>
                </c:pt>
              </c:strCache>
            </c:strRef>
          </c:cat>
          <c:val>
            <c:numRef>
              <c:f>vek_2023!$D$11:$D$14</c:f>
              <c:numCache>
                <c:formatCode>0.00</c:formatCode>
                <c:ptCount val="4"/>
                <c:pt idx="0">
                  <c:v>60.546541417591804</c:v>
                </c:pt>
                <c:pt idx="1">
                  <c:v>16.737830913748933</c:v>
                </c:pt>
                <c:pt idx="2">
                  <c:v>13.834329632792485</c:v>
                </c:pt>
                <c:pt idx="3">
                  <c:v>8.8812980358667808</c:v>
                </c:pt>
              </c:numCache>
            </c:numRef>
          </c:val>
          <c:extLst>
            <c:ext xmlns:c16="http://schemas.microsoft.com/office/drawing/2014/chart" uri="{C3380CC4-5D6E-409C-BE32-E72D297353CC}">
              <c16:uniqueId val="{00000006-3A5B-404B-817C-D3CC30894A6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387743371259241"/>
          <c:y val="0.24929555322152272"/>
          <c:w val="0.20818183845999419"/>
          <c:h val="0.5833969989095457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Prehľad UoZ zaradených na kompetenčný kurz (KOMPAS+) v roku 2023 </a:t>
            </a:r>
          </a:p>
          <a:p>
            <a:pPr>
              <a:defRPr sz="1200"/>
            </a:pPr>
            <a:r>
              <a:rPr lang="sk-SK" sz="1200"/>
              <a:t>v štruktúre podľa vzdelania</a:t>
            </a:r>
          </a:p>
        </c:rich>
      </c:tx>
      <c:overlay val="0"/>
    </c:title>
    <c:autoTitleDeleted val="0"/>
    <c:plotArea>
      <c:layout/>
      <c:barChart>
        <c:barDir val="col"/>
        <c:grouping val="clustered"/>
        <c:varyColors val="0"/>
        <c:ser>
          <c:idx val="0"/>
          <c:order val="0"/>
          <c:tx>
            <c:v>Vzdelanie</c:v>
          </c:tx>
          <c:spPr>
            <a:solidFill>
              <a:schemeClr val="accent2"/>
            </a:solidFill>
          </c:spPr>
          <c:invertIfNegative val="0"/>
          <c:cat>
            <c:strRef>
              <c:f>vzdelanie_2023!$A$5:$J$5</c:f>
              <c:strCache>
                <c:ptCount val="10"/>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strCache>
            </c:strRef>
          </c:cat>
          <c:val>
            <c:numRef>
              <c:f>vzdelanie_2023!$A$6:$J$6</c:f>
              <c:numCache>
                <c:formatCode>#,##0</c:formatCode>
                <c:ptCount val="10"/>
                <c:pt idx="0">
                  <c:v>6</c:v>
                </c:pt>
                <c:pt idx="1">
                  <c:v>70</c:v>
                </c:pt>
                <c:pt idx="2">
                  <c:v>4</c:v>
                </c:pt>
                <c:pt idx="3">
                  <c:v>68</c:v>
                </c:pt>
                <c:pt idx="4">
                  <c:v>398</c:v>
                </c:pt>
                <c:pt idx="5">
                  <c:v>78</c:v>
                </c:pt>
                <c:pt idx="6">
                  <c:v>15</c:v>
                </c:pt>
                <c:pt idx="7">
                  <c:v>89</c:v>
                </c:pt>
                <c:pt idx="8">
                  <c:v>420</c:v>
                </c:pt>
                <c:pt idx="9">
                  <c:v>22</c:v>
                </c:pt>
              </c:numCache>
            </c:numRef>
          </c:val>
          <c:extLst>
            <c:ext xmlns:c16="http://schemas.microsoft.com/office/drawing/2014/chart" uri="{C3380CC4-5D6E-409C-BE32-E72D297353CC}">
              <c16:uniqueId val="{00000000-43B5-4F0B-B989-C7E89411BB49}"/>
            </c:ext>
          </c:extLst>
        </c:ser>
        <c:dLbls>
          <c:showLegendKey val="0"/>
          <c:showVal val="0"/>
          <c:showCatName val="0"/>
          <c:showSerName val="0"/>
          <c:showPercent val="0"/>
          <c:showBubbleSize val="0"/>
        </c:dLbls>
        <c:gapWidth val="150"/>
        <c:axId val="378820792"/>
        <c:axId val="378817656"/>
      </c:barChart>
      <c:catAx>
        <c:axId val="378820792"/>
        <c:scaling>
          <c:orientation val="minMax"/>
        </c:scaling>
        <c:delete val="0"/>
        <c:axPos val="b"/>
        <c:numFmt formatCode="General" sourceLinked="1"/>
        <c:majorTickMark val="none"/>
        <c:minorTickMark val="none"/>
        <c:tickLblPos val="nextTo"/>
        <c:crossAx val="378817656"/>
        <c:crosses val="autoZero"/>
        <c:auto val="1"/>
        <c:lblAlgn val="ctr"/>
        <c:lblOffset val="100"/>
        <c:noMultiLvlLbl val="0"/>
      </c:catAx>
      <c:valAx>
        <c:axId val="378817656"/>
        <c:scaling>
          <c:orientation val="minMax"/>
        </c:scaling>
        <c:delete val="0"/>
        <c:axPos val="l"/>
        <c:majorGridlines/>
        <c:numFmt formatCode="#,##0" sourceLinked="1"/>
        <c:majorTickMark val="none"/>
        <c:minorTickMark val="none"/>
        <c:tickLblPos val="nextTo"/>
        <c:crossAx val="378820792"/>
        <c:crosses val="autoZero"/>
        <c:crossBetween val="between"/>
      </c:valAx>
      <c:dTable>
        <c:showHorzBorder val="1"/>
        <c:showVertBorder val="1"/>
        <c:showOutline val="1"/>
        <c:showKeys val="1"/>
      </c:dTable>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800"/>
      </a:pPr>
      <a:endParaRPr lang="sk-SK"/>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Prehľad </a:t>
            </a:r>
            <a:r>
              <a:rPr lang="en-US" sz="1200"/>
              <a:t>UoZ zaraden</a:t>
            </a:r>
            <a:r>
              <a:rPr lang="sk-SK" sz="1200"/>
              <a:t>ých</a:t>
            </a:r>
            <a:r>
              <a:rPr lang="en-US" sz="1200"/>
              <a:t> </a:t>
            </a:r>
            <a:r>
              <a:rPr lang="sk-SK" sz="1200"/>
              <a:t>na kompetenčný kurz (KOMPAS+) v roku 2023 </a:t>
            </a:r>
          </a:p>
          <a:p>
            <a:pPr>
              <a:defRPr sz="1200"/>
            </a:pPr>
            <a:r>
              <a:rPr lang="sk-SK" sz="1200"/>
              <a:t>v štruktúre podľa jednotlivých vzdelávacích kategórií</a:t>
            </a:r>
            <a:r>
              <a:rPr lang="en-US" sz="1200"/>
              <a:t> </a:t>
            </a:r>
            <a:endParaRPr lang="sk-SK" sz="1200"/>
          </a:p>
        </c:rich>
      </c:tx>
      <c:overlay val="0"/>
    </c:title>
    <c:autoTitleDeleted val="0"/>
    <c:plotArea>
      <c:layout>
        <c:manualLayout>
          <c:layoutTarget val="inner"/>
          <c:xMode val="edge"/>
          <c:yMode val="edge"/>
          <c:x val="6.5540656790286145E-2"/>
          <c:y val="0.23392636574425207"/>
          <c:w val="0.9177229415360737"/>
          <c:h val="0.54355907620549926"/>
        </c:manualLayout>
      </c:layout>
      <c:barChart>
        <c:barDir val="col"/>
        <c:grouping val="clustered"/>
        <c:varyColors val="0"/>
        <c:ser>
          <c:idx val="0"/>
          <c:order val="0"/>
          <c:tx>
            <c:v> </c:v>
          </c:tx>
          <c:spPr>
            <a:solidFill>
              <a:schemeClr val="accent2"/>
            </a:solidFill>
          </c:spPr>
          <c:invertIfNegative val="0"/>
          <c:cat>
            <c:strRef>
              <c:f>'typy kurzovR+'!$A$5:$A$10</c:f>
              <c:strCache>
                <c:ptCount val="6"/>
                <c:pt idx="0">
                  <c:v>PC kurzy </c:v>
                </c:pt>
                <c:pt idx="1">
                  <c:v>Jazykové kurzy </c:v>
                </c:pt>
                <c:pt idx="2">
                  <c:v>Ľudské zdroje, personalistika</c:v>
                </c:pt>
                <c:pt idx="3">
                  <c:v>Rozvoj komunik. a soc. zručností</c:v>
                </c:pt>
                <c:pt idx="4">
                  <c:v>Projektové riadenie</c:v>
                </c:pt>
                <c:pt idx="5">
                  <c:v>Manažérske kompetencie</c:v>
                </c:pt>
              </c:strCache>
            </c:strRef>
          </c:cat>
          <c:val>
            <c:numRef>
              <c:f>'typy kurzovR+'!$B$5:$B$10</c:f>
              <c:numCache>
                <c:formatCode>General</c:formatCode>
                <c:ptCount val="6"/>
                <c:pt idx="0">
                  <c:v>823</c:v>
                </c:pt>
                <c:pt idx="1">
                  <c:v>213</c:v>
                </c:pt>
                <c:pt idx="2">
                  <c:v>58</c:v>
                </c:pt>
                <c:pt idx="3">
                  <c:v>25</c:v>
                </c:pt>
                <c:pt idx="4">
                  <c:v>31</c:v>
                </c:pt>
                <c:pt idx="5">
                  <c:v>21</c:v>
                </c:pt>
              </c:numCache>
            </c:numRef>
          </c:val>
          <c:extLst>
            <c:ext xmlns:c16="http://schemas.microsoft.com/office/drawing/2014/chart" uri="{C3380CC4-5D6E-409C-BE32-E72D297353CC}">
              <c16:uniqueId val="{00000000-56A0-48A8-8F19-6A2D4EF05A07}"/>
            </c:ext>
          </c:extLst>
        </c:ser>
        <c:dLbls>
          <c:showLegendKey val="0"/>
          <c:showVal val="0"/>
          <c:showCatName val="0"/>
          <c:showSerName val="0"/>
          <c:showPercent val="0"/>
          <c:showBubbleSize val="0"/>
        </c:dLbls>
        <c:gapWidth val="150"/>
        <c:axId val="377346200"/>
        <c:axId val="377343064"/>
      </c:barChart>
      <c:catAx>
        <c:axId val="377346200"/>
        <c:scaling>
          <c:orientation val="minMax"/>
        </c:scaling>
        <c:delete val="0"/>
        <c:axPos val="b"/>
        <c:numFmt formatCode="General" sourceLinked="1"/>
        <c:majorTickMark val="none"/>
        <c:minorTickMark val="none"/>
        <c:tickLblPos val="nextTo"/>
        <c:crossAx val="377343064"/>
        <c:crosses val="autoZero"/>
        <c:auto val="1"/>
        <c:lblAlgn val="ctr"/>
        <c:lblOffset val="100"/>
        <c:noMultiLvlLbl val="0"/>
      </c:catAx>
      <c:valAx>
        <c:axId val="377343064"/>
        <c:scaling>
          <c:orientation val="minMax"/>
        </c:scaling>
        <c:delete val="0"/>
        <c:axPos val="l"/>
        <c:numFmt formatCode="General" sourceLinked="1"/>
        <c:majorTickMark val="none"/>
        <c:minorTickMark val="none"/>
        <c:tickLblPos val="nextTo"/>
        <c:crossAx val="377346200"/>
        <c:crosses val="autoZero"/>
        <c:crossBetween val="between"/>
      </c:valAx>
      <c:dTable>
        <c:showHorzBorder val="1"/>
        <c:showVertBorder val="1"/>
        <c:showOutline val="1"/>
        <c:showKeys val="1"/>
      </c:dTable>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800"/>
      </a:pPr>
      <a:endParaRPr lang="sk-SK"/>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100">
                <a:solidFill>
                  <a:srgbClr val="002060"/>
                </a:solidFill>
              </a:defRPr>
            </a:pPr>
            <a:r>
              <a:rPr lang="en-US" sz="1200" b="1" i="0" baseline="0">
                <a:effectLst/>
              </a:rPr>
              <a:t>P</a:t>
            </a:r>
            <a:r>
              <a:rPr lang="sk-SK" sz="1200" b="1" i="0" baseline="0">
                <a:effectLst/>
              </a:rPr>
              <a:t>rehľad ZoZ zaradených na vzdelávanie v rámci národného projektu  </a:t>
            </a:r>
            <a:endParaRPr lang="sk-SK" sz="1200">
              <a:effectLst/>
            </a:endParaRPr>
          </a:p>
          <a:p>
            <a:pPr algn="ctr">
              <a:defRPr lang="sk-SK" sz="1100">
                <a:solidFill>
                  <a:srgbClr val="002060"/>
                </a:solidFill>
              </a:defRPr>
            </a:pPr>
            <a:r>
              <a:rPr lang="sk-SK" sz="1200" b="1" i="0" baseline="0">
                <a:effectLst/>
              </a:rPr>
              <a:t>Nestrať prácu - vzdelávaj sa v roku 2023 podľa úradov</a:t>
            </a:r>
            <a:endParaRPr lang="sk-SK" sz="1200">
              <a:effectLst/>
            </a:endParaRPr>
          </a:p>
        </c:rich>
      </c:tx>
      <c:layout>
        <c:manualLayout>
          <c:xMode val="edge"/>
          <c:yMode val="edge"/>
          <c:x val="0.14625307580576302"/>
          <c:y val="2.656270877199449E-2"/>
        </c:manualLayout>
      </c:layout>
      <c:overlay val="0"/>
    </c:title>
    <c:autoTitleDeleted val="0"/>
    <c:plotArea>
      <c:layout>
        <c:manualLayout>
          <c:layoutTarget val="inner"/>
          <c:xMode val="edge"/>
          <c:yMode val="edge"/>
          <c:x val="0.18260341113274817"/>
          <c:y val="0.26337352979259937"/>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6111393798565339E-4"/>
                  <c:y val="-2.7475823543447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38-43A9-AE1D-7AEE1E2BCE65}"/>
                </c:ext>
              </c:extLst>
            </c:dLbl>
            <c:dLbl>
              <c:idx val="1"/>
              <c:layout>
                <c:manualLayout>
                  <c:x val="1.1176586797617951E-2"/>
                  <c:y val="-3.2037429052125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38-43A9-AE1D-7AEE1E2BCE65}"/>
                </c:ext>
              </c:extLst>
            </c:dLbl>
            <c:dLbl>
              <c:idx val="2"/>
              <c:layout>
                <c:manualLayout>
                  <c:x val="2.4906537220481847E-2"/>
                  <c:y val="-3.7031197887678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38-43A9-AE1D-7AEE1E2BCE65}"/>
                </c:ext>
              </c:extLst>
            </c:dLbl>
            <c:dLbl>
              <c:idx val="3"/>
              <c:layout>
                <c:manualLayout>
                  <c:x val="7.4509261611115721E-2"/>
                  <c:y val="-0.12209107699921348"/>
                </c:manualLayout>
              </c:layout>
              <c:spPr>
                <a:noFill/>
                <a:ln>
                  <a:noFill/>
                </a:ln>
                <a:effectLst/>
              </c:spPr>
              <c:txPr>
                <a:bodyPr rot="0" vertOverflow="overflow" horzOverflow="overflow" vert="horz" anchor="ctr" anchorCtr="0">
                  <a:spAutoFit/>
                </a:bodyPr>
                <a:lstStyle/>
                <a:p>
                  <a:pPr>
                    <a:defRPr lang="sk-SK" sz="900" b="0">
                      <a:solidFill>
                        <a:srgbClr val="FF0000"/>
                      </a:solidFill>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38-43A9-AE1D-7AEE1E2BCE65}"/>
                </c:ext>
              </c:extLst>
            </c:dLbl>
            <c:dLbl>
              <c:idx val="4"/>
              <c:layout>
                <c:manualLayout>
                  <c:x val="9.6689526712386759E-2"/>
                  <c:y val="-0.11567538906121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38-43A9-AE1D-7AEE1E2BCE65}"/>
                </c:ext>
              </c:extLst>
            </c:dLbl>
            <c:dLbl>
              <c:idx val="5"/>
              <c:layout>
                <c:manualLayout>
                  <c:x val="0.12294753478395845"/>
                  <c:y val="-0.11065068886591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38-43A9-AE1D-7AEE1E2BCE65}"/>
                </c:ext>
              </c:extLst>
            </c:dLbl>
            <c:dLbl>
              <c:idx val="6"/>
              <c:layout>
                <c:manualLayout>
                  <c:x val="0.15431321084864391"/>
                  <c:y val="-0.10643831137269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38-43A9-AE1D-7AEE1E2BCE65}"/>
                </c:ext>
              </c:extLst>
            </c:dLbl>
            <c:dLbl>
              <c:idx val="7"/>
              <c:layout>
                <c:manualLayout>
                  <c:x val="0.16613627597625558"/>
                  <c:y val="-9.066253082001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38-43A9-AE1D-7AEE1E2BCE65}"/>
                </c:ext>
              </c:extLst>
            </c:dLbl>
            <c:dLbl>
              <c:idx val="8"/>
              <c:layout>
                <c:manualLayout>
                  <c:x val="0.18163670401414878"/>
                  <c:y val="-7.1000468375796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38-43A9-AE1D-7AEE1E2BCE65}"/>
                </c:ext>
              </c:extLst>
            </c:dLbl>
            <c:dLbl>
              <c:idx val="9"/>
              <c:layout>
                <c:manualLayout>
                  <c:x val="0.18803807562588998"/>
                  <c:y val="-5.4289022695692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38-43A9-AE1D-7AEE1E2BCE65}"/>
                </c:ext>
              </c:extLst>
            </c:dLbl>
            <c:dLbl>
              <c:idx val="10"/>
              <c:layout>
                <c:manualLayout>
                  <c:x val="0.19383405177371982"/>
                  <c:y val="-3.425064291206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38-43A9-AE1D-7AEE1E2BCE65}"/>
                </c:ext>
              </c:extLst>
            </c:dLbl>
            <c:dLbl>
              <c:idx val="11"/>
              <c:layout>
                <c:manualLayout>
                  <c:x val="0.20024198901335796"/>
                  <c:y val="-1.3114699046457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38-43A9-AE1D-7AEE1E2BCE65}"/>
                </c:ext>
              </c:extLst>
            </c:dLbl>
            <c:dLbl>
              <c:idx val="12"/>
              <c:layout>
                <c:manualLayout>
                  <c:x val="0.20394646589531232"/>
                  <c:y val="8.9981176595349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38-43A9-AE1D-7AEE1E2BCE65}"/>
                </c:ext>
              </c:extLst>
            </c:dLbl>
            <c:dLbl>
              <c:idx val="13"/>
              <c:layout>
                <c:manualLayout>
                  <c:x val="0.20411449488627778"/>
                  <c:y val="3.2658518695264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38-43A9-AE1D-7AEE1E2BCE65}"/>
                </c:ext>
              </c:extLst>
            </c:dLbl>
            <c:dLbl>
              <c:idx val="14"/>
              <c:layout>
                <c:manualLayout>
                  <c:x val="0.20568640098431587"/>
                  <c:y val="5.1682352837208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38-43A9-AE1D-7AEE1E2BCE65}"/>
                </c:ext>
              </c:extLst>
            </c:dLbl>
            <c:dLbl>
              <c:idx val="15"/>
              <c:layout>
                <c:manualLayout>
                  <c:x val="0.20212592460678916"/>
                  <c:y val="8.1084687646367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38-43A9-AE1D-7AEE1E2BCE65}"/>
                </c:ext>
              </c:extLst>
            </c:dLbl>
            <c:dLbl>
              <c:idx val="16"/>
              <c:layout>
                <c:manualLayout>
                  <c:x val="0.19518503256167302"/>
                  <c:y val="0.10685515298020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38-43A9-AE1D-7AEE1E2BCE65}"/>
                </c:ext>
              </c:extLst>
            </c:dLbl>
            <c:dLbl>
              <c:idx val="17"/>
              <c:layout>
                <c:manualLayout>
                  <c:x val="0.16962562557657318"/>
                  <c:y val="0.13796244052381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38-43A9-AE1D-7AEE1E2BCE65}"/>
                </c:ext>
              </c:extLst>
            </c:dLbl>
            <c:dLbl>
              <c:idx val="18"/>
              <c:layout>
                <c:manualLayout>
                  <c:x val="0.14535171605846445"/>
                  <c:y val="0.16206156048675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38-43A9-AE1D-7AEE1E2BCE65}"/>
                </c:ext>
              </c:extLst>
            </c:dLbl>
            <c:dLbl>
              <c:idx val="19"/>
              <c:layout>
                <c:manualLayout>
                  <c:x val="0.11597988810135267"/>
                  <c:y val="0.17542029839852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38-43A9-AE1D-7AEE1E2BCE65}"/>
                </c:ext>
              </c:extLst>
            </c:dLbl>
            <c:dLbl>
              <c:idx val="20"/>
              <c:layout>
                <c:manualLayout>
                  <c:x val="9.0922351865917642E-2"/>
                  <c:y val="0.19275155445141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38-43A9-AE1D-7AEE1E2BCE65}"/>
                </c:ext>
              </c:extLst>
            </c:dLbl>
            <c:dLbl>
              <c:idx val="21"/>
              <c:layout>
                <c:manualLayout>
                  <c:x val="6.5526207976040834E-2"/>
                  <c:y val="0.203139500610552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38-43A9-AE1D-7AEE1E2BCE65}"/>
                </c:ext>
              </c:extLst>
            </c:dLbl>
            <c:dLbl>
              <c:idx val="22"/>
              <c:layout>
                <c:manualLayout>
                  <c:x val="3.702319284368321E-2"/>
                  <c:y val="0.21336842253007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38-43A9-AE1D-7AEE1E2BCE65}"/>
                </c:ext>
              </c:extLst>
            </c:dLbl>
            <c:dLbl>
              <c:idx val="23"/>
              <c:layout>
                <c:manualLayout>
                  <c:x val="2.0417599962621342E-3"/>
                  <c:y val="0.2210841158224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538-43A9-AE1D-7AEE1E2BCE65}"/>
                </c:ext>
              </c:extLst>
            </c:dLbl>
            <c:dLbl>
              <c:idx val="24"/>
              <c:layout>
                <c:manualLayout>
                  <c:x val="-4.4827123484527755E-2"/>
                  <c:y val="0.21981206226227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538-43A9-AE1D-7AEE1E2BCE65}"/>
                </c:ext>
              </c:extLst>
            </c:dLbl>
            <c:dLbl>
              <c:idx val="25"/>
              <c:layout>
                <c:manualLayout>
                  <c:x val="-7.5300815222500983E-2"/>
                  <c:y val="0.214316111555574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538-43A9-AE1D-7AEE1E2BCE65}"/>
                </c:ext>
              </c:extLst>
            </c:dLbl>
            <c:dLbl>
              <c:idx val="26"/>
              <c:layout>
                <c:manualLayout>
                  <c:x val="-0.10642209231894818"/>
                  <c:y val="0.20415877159740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538-43A9-AE1D-7AEE1E2BCE65}"/>
                </c:ext>
              </c:extLst>
            </c:dLbl>
            <c:dLbl>
              <c:idx val="27"/>
              <c:layout>
                <c:manualLayout>
                  <c:x val="-0.1331148314426196"/>
                  <c:y val="0.19292966721405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538-43A9-AE1D-7AEE1E2BCE65}"/>
                </c:ext>
              </c:extLst>
            </c:dLbl>
            <c:dLbl>
              <c:idx val="28"/>
              <c:layout>
                <c:manualLayout>
                  <c:x val="-0.15504569565140591"/>
                  <c:y val="0.174477521860569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538-43A9-AE1D-7AEE1E2BCE65}"/>
                </c:ext>
              </c:extLst>
            </c:dLbl>
            <c:dLbl>
              <c:idx val="29"/>
              <c:layout>
                <c:manualLayout>
                  <c:x val="-0.17974567815833903"/>
                  <c:y val="0.160489564472890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538-43A9-AE1D-7AEE1E2BCE65}"/>
                </c:ext>
              </c:extLst>
            </c:dLbl>
            <c:dLbl>
              <c:idx val="30"/>
              <c:layout>
                <c:manualLayout>
                  <c:x val="-0.21205823903515841"/>
                  <c:y val="0.127127609946422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538-43A9-AE1D-7AEE1E2BCE65}"/>
                </c:ext>
              </c:extLst>
            </c:dLbl>
            <c:dLbl>
              <c:idx val="31"/>
              <c:layout>
                <c:manualLayout>
                  <c:x val="-0.22551819104787954"/>
                  <c:y val="0.1004760221848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538-43A9-AE1D-7AEE1E2BCE65}"/>
                </c:ext>
              </c:extLst>
            </c:dLbl>
            <c:dLbl>
              <c:idx val="32"/>
              <c:layout>
                <c:manualLayout>
                  <c:x val="-0.23262983264414749"/>
                  <c:y val="7.2868315702961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538-43A9-AE1D-7AEE1E2BCE65}"/>
                </c:ext>
              </c:extLst>
            </c:dLbl>
            <c:dLbl>
              <c:idx val="33"/>
              <c:layout>
                <c:manualLayout>
                  <c:x val="-0.23629477329293366"/>
                  <c:y val="4.2509433795523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538-43A9-AE1D-7AEE1E2BCE65}"/>
                </c:ext>
              </c:extLst>
            </c:dLbl>
            <c:dLbl>
              <c:idx val="34"/>
              <c:layout>
                <c:manualLayout>
                  <c:x val="-0.23945954650918067"/>
                  <c:y val="1.0292425568016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538-43A9-AE1D-7AEE1E2BCE65}"/>
                </c:ext>
              </c:extLst>
            </c:dLbl>
            <c:dLbl>
              <c:idx val="35"/>
              <c:layout>
                <c:manualLayout>
                  <c:x val="-0.23800658994024404"/>
                  <c:y val="-1.1861042622197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538-43A9-AE1D-7AEE1E2BCE65}"/>
                </c:ext>
              </c:extLst>
            </c:dLbl>
            <c:dLbl>
              <c:idx val="36"/>
              <c:layout>
                <c:manualLayout>
                  <c:x val="-0.24331722629466251"/>
                  <c:y val="-4.151789107169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538-43A9-AE1D-7AEE1E2BCE65}"/>
                </c:ext>
              </c:extLst>
            </c:dLbl>
            <c:dLbl>
              <c:idx val="37"/>
              <c:layout>
                <c:manualLayout>
                  <c:x val="-0.23376990764370015"/>
                  <c:y val="-7.1888614933234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538-43A9-AE1D-7AEE1E2BCE65}"/>
                </c:ext>
              </c:extLst>
            </c:dLbl>
            <c:dLbl>
              <c:idx val="38"/>
              <c:layout>
                <c:manualLayout>
                  <c:x val="-0.22397736209821517"/>
                  <c:y val="-0.10368815009234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538-43A9-AE1D-7AEE1E2BCE65}"/>
                </c:ext>
              </c:extLst>
            </c:dLbl>
            <c:dLbl>
              <c:idx val="39"/>
              <c:layout>
                <c:manualLayout>
                  <c:x val="-0.22208311346372683"/>
                  <c:y val="-0.1311385986985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538-43A9-AE1D-7AEE1E2BCE65}"/>
                </c:ext>
              </c:extLst>
            </c:dLbl>
            <c:dLbl>
              <c:idx val="40"/>
              <c:layout>
                <c:manualLayout>
                  <c:x val="-0.2061017059784348"/>
                  <c:y val="-0.16667373490342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538-43A9-AE1D-7AEE1E2BCE65}"/>
                </c:ext>
              </c:extLst>
            </c:dLbl>
            <c:dLbl>
              <c:idx val="41"/>
              <c:layout>
                <c:manualLayout>
                  <c:x val="-0.17533641032819619"/>
                  <c:y val="-0.19317547604574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538-43A9-AE1D-7AEE1E2BCE65}"/>
                </c:ext>
              </c:extLst>
            </c:dLbl>
            <c:dLbl>
              <c:idx val="42"/>
              <c:layout>
                <c:manualLayout>
                  <c:x val="-0.15312577904618402"/>
                  <c:y val="-0.21228817672476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538-43A9-AE1D-7AEE1E2BCE65}"/>
                </c:ext>
              </c:extLst>
            </c:dLbl>
            <c:dLbl>
              <c:idx val="43"/>
              <c:layout>
                <c:manualLayout>
                  <c:x val="-0.12426499327218665"/>
                  <c:y val="-0.2361999274327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538-43A9-AE1D-7AEE1E2BCE65}"/>
                </c:ext>
              </c:extLst>
            </c:dLbl>
            <c:dLbl>
              <c:idx val="44"/>
              <c:layout>
                <c:manualLayout>
                  <c:x val="-8.984540578033591E-2"/>
                  <c:y val="-0.24545950607161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538-43A9-AE1D-7AEE1E2BCE65}"/>
                </c:ext>
              </c:extLst>
            </c:dLbl>
            <c:dLbl>
              <c:idx val="45"/>
              <c:layout>
                <c:manualLayout>
                  <c:x val="-4.9334231987368853E-2"/>
                  <c:y val="-0.27767650255839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538-43A9-AE1D-7AEE1E2BCE65}"/>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zaradených_2023'!$A$2:$A$47</c:f>
              <c:strCache>
                <c:ptCount val="46"/>
                <c:pt idx="0">
                  <c:v>KE</c:v>
                </c:pt>
                <c:pt idx="1">
                  <c:v>PO</c:v>
                </c:pt>
                <c:pt idx="2">
                  <c:v>BA</c:v>
                </c:pt>
                <c:pt idx="3">
                  <c:v>ZA</c:v>
                </c:pt>
                <c:pt idx="4">
                  <c:v>NO</c:v>
                </c:pt>
                <c:pt idx="5">
                  <c:v>PP</c:v>
                </c:pt>
                <c:pt idx="6">
                  <c:v>CA</c:v>
                </c:pt>
                <c:pt idx="7">
                  <c:v>HE</c:v>
                </c:pt>
                <c:pt idx="8">
                  <c:v>VT</c:v>
                </c:pt>
                <c:pt idx="9">
                  <c:v>TT</c:v>
                </c:pt>
                <c:pt idx="10">
                  <c:v>LM</c:v>
                </c:pt>
                <c:pt idx="11">
                  <c:v>NR</c:v>
                </c:pt>
                <c:pt idx="12">
                  <c:v>NZ</c:v>
                </c:pt>
                <c:pt idx="13">
                  <c:v>ZV</c:v>
                </c:pt>
                <c:pt idx="14">
                  <c:v>PK</c:v>
                </c:pt>
                <c:pt idx="15">
                  <c:v>PD</c:v>
                </c:pt>
                <c:pt idx="16">
                  <c:v>MT</c:v>
                </c:pt>
                <c:pt idx="17">
                  <c:v>BJ</c:v>
                </c:pt>
                <c:pt idx="18">
                  <c:v>MA</c:v>
                </c:pt>
                <c:pt idx="19">
                  <c:v>BB</c:v>
                </c:pt>
                <c:pt idx="20">
                  <c:v>TN</c:v>
                </c:pt>
                <c:pt idx="21">
                  <c:v>SN</c:v>
                </c:pt>
                <c:pt idx="22">
                  <c:v>MI</c:v>
                </c:pt>
                <c:pt idx="23">
                  <c:v>RK</c:v>
                </c:pt>
                <c:pt idx="24">
                  <c:v>LC</c:v>
                </c:pt>
                <c:pt idx="25">
                  <c:v>DS</c:v>
                </c:pt>
                <c:pt idx="26">
                  <c:v>BS</c:v>
                </c:pt>
                <c:pt idx="27">
                  <c:v>SE</c:v>
                </c:pt>
                <c:pt idx="28">
                  <c:v>LV</c:v>
                </c:pt>
                <c:pt idx="29">
                  <c:v>KK</c:v>
                </c:pt>
                <c:pt idx="30">
                  <c:v>PE</c:v>
                </c:pt>
                <c:pt idx="31">
                  <c:v>NM</c:v>
                </c:pt>
                <c:pt idx="32">
                  <c:v>GA</c:v>
                </c:pt>
                <c:pt idx="33">
                  <c:v>PN</c:v>
                </c:pt>
                <c:pt idx="34">
                  <c:v>TV</c:v>
                </c:pt>
                <c:pt idx="35">
                  <c:v>RV</c:v>
                </c:pt>
                <c:pt idx="36">
                  <c:v>KN</c:v>
                </c:pt>
                <c:pt idx="37">
                  <c:v>PB</c:v>
                </c:pt>
                <c:pt idx="38">
                  <c:v>RS</c:v>
                </c:pt>
                <c:pt idx="39">
                  <c:v>BR</c:v>
                </c:pt>
                <c:pt idx="40">
                  <c:v>DK</c:v>
                </c:pt>
                <c:pt idx="41">
                  <c:v>SP</c:v>
                </c:pt>
                <c:pt idx="42">
                  <c:v>VK</c:v>
                </c:pt>
                <c:pt idx="43">
                  <c:v>SL</c:v>
                </c:pt>
                <c:pt idx="44">
                  <c:v>TO</c:v>
                </c:pt>
                <c:pt idx="45">
                  <c:v>RA</c:v>
                </c:pt>
              </c:strCache>
            </c:strRef>
          </c:cat>
          <c:val>
            <c:numRef>
              <c:f>'prehľad zaradených_2023'!$B$2:$B$47</c:f>
              <c:numCache>
                <c:formatCode>General</c:formatCode>
                <c:ptCount val="46"/>
                <c:pt idx="0">
                  <c:v>1695</c:v>
                </c:pt>
                <c:pt idx="1">
                  <c:v>1660</c:v>
                </c:pt>
                <c:pt idx="2">
                  <c:v>1640</c:v>
                </c:pt>
                <c:pt idx="3">
                  <c:v>1040</c:v>
                </c:pt>
                <c:pt idx="4">
                  <c:v>982</c:v>
                </c:pt>
                <c:pt idx="5">
                  <c:v>899</c:v>
                </c:pt>
                <c:pt idx="6">
                  <c:v>798</c:v>
                </c:pt>
                <c:pt idx="7">
                  <c:v>778</c:v>
                </c:pt>
                <c:pt idx="8">
                  <c:v>773</c:v>
                </c:pt>
                <c:pt idx="9">
                  <c:v>754</c:v>
                </c:pt>
                <c:pt idx="10">
                  <c:v>710</c:v>
                </c:pt>
                <c:pt idx="11">
                  <c:v>693</c:v>
                </c:pt>
                <c:pt idx="12">
                  <c:v>672</c:v>
                </c:pt>
                <c:pt idx="13">
                  <c:v>672</c:v>
                </c:pt>
                <c:pt idx="14">
                  <c:v>667</c:v>
                </c:pt>
                <c:pt idx="15">
                  <c:v>654</c:v>
                </c:pt>
                <c:pt idx="16">
                  <c:v>643</c:v>
                </c:pt>
                <c:pt idx="17">
                  <c:v>615</c:v>
                </c:pt>
                <c:pt idx="18">
                  <c:v>608</c:v>
                </c:pt>
                <c:pt idx="19">
                  <c:v>592</c:v>
                </c:pt>
                <c:pt idx="20">
                  <c:v>566</c:v>
                </c:pt>
                <c:pt idx="21">
                  <c:v>542</c:v>
                </c:pt>
                <c:pt idx="22">
                  <c:v>516</c:v>
                </c:pt>
                <c:pt idx="23">
                  <c:v>485</c:v>
                </c:pt>
                <c:pt idx="24">
                  <c:v>476</c:v>
                </c:pt>
                <c:pt idx="25">
                  <c:v>473</c:v>
                </c:pt>
                <c:pt idx="26">
                  <c:v>469</c:v>
                </c:pt>
                <c:pt idx="27">
                  <c:v>452</c:v>
                </c:pt>
                <c:pt idx="28">
                  <c:v>425</c:v>
                </c:pt>
                <c:pt idx="29">
                  <c:v>407</c:v>
                </c:pt>
                <c:pt idx="30">
                  <c:v>404</c:v>
                </c:pt>
                <c:pt idx="31">
                  <c:v>402</c:v>
                </c:pt>
                <c:pt idx="32">
                  <c:v>399</c:v>
                </c:pt>
                <c:pt idx="33">
                  <c:v>390</c:v>
                </c:pt>
                <c:pt idx="34">
                  <c:v>381</c:v>
                </c:pt>
                <c:pt idx="35">
                  <c:v>379</c:v>
                </c:pt>
                <c:pt idx="36">
                  <c:v>376</c:v>
                </c:pt>
                <c:pt idx="37">
                  <c:v>371</c:v>
                </c:pt>
                <c:pt idx="38">
                  <c:v>348</c:v>
                </c:pt>
                <c:pt idx="39">
                  <c:v>317</c:v>
                </c:pt>
                <c:pt idx="40">
                  <c:v>282</c:v>
                </c:pt>
                <c:pt idx="41">
                  <c:v>274</c:v>
                </c:pt>
                <c:pt idx="42">
                  <c:v>260</c:v>
                </c:pt>
                <c:pt idx="43">
                  <c:v>255</c:v>
                </c:pt>
                <c:pt idx="44">
                  <c:v>249</c:v>
                </c:pt>
                <c:pt idx="45">
                  <c:v>143</c:v>
                </c:pt>
              </c:numCache>
            </c:numRef>
          </c:val>
          <c:extLst>
            <c:ext xmlns:c16="http://schemas.microsoft.com/office/drawing/2014/chart" uri="{C3380CC4-5D6E-409C-BE32-E72D297353CC}">
              <c16:uniqueId val="{0000002E-9538-43A9-AE1D-7AEE1E2BCE65}"/>
            </c:ext>
          </c:extLst>
        </c:ser>
        <c:dLbls>
          <c:showLegendKey val="0"/>
          <c:showVal val="1"/>
          <c:showCatName val="0"/>
          <c:showSerName val="0"/>
          <c:showPercent val="0"/>
          <c:showBubbleSize val="0"/>
        </c:dLbls>
        <c:axId val="285168816"/>
        <c:axId val="285169208"/>
      </c:radarChart>
      <c:catAx>
        <c:axId val="285168816"/>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285169208"/>
        <c:crosses val="autoZero"/>
        <c:auto val="1"/>
        <c:lblAlgn val="ctr"/>
        <c:lblOffset val="100"/>
        <c:noMultiLvlLbl val="0"/>
      </c:catAx>
      <c:valAx>
        <c:axId val="285169208"/>
        <c:scaling>
          <c:orientation val="minMax"/>
        </c:scaling>
        <c:delete val="0"/>
        <c:axPos val="l"/>
        <c:majorGridlines/>
        <c:minorGridlines>
          <c:spPr>
            <a:ln>
              <a:noFill/>
            </a:ln>
          </c:spPr>
        </c:minorGridlines>
        <c:numFmt formatCode="General"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285168816"/>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sk-SK" sz="1200" b="1" i="0" baseline="0">
                <a:effectLst/>
              </a:rPr>
              <a:t>Prehľad ZoZ zaradených na vzdelávanie v rámci národného projektu  </a:t>
            </a:r>
            <a:endParaRPr lang="sk-SK" sz="1200">
              <a:effectLst/>
            </a:endParaRPr>
          </a:p>
          <a:p>
            <a:pPr>
              <a:defRPr/>
            </a:pPr>
            <a:r>
              <a:rPr lang="sk-SK" sz="1200" b="1" i="0" baseline="0">
                <a:effectLst/>
              </a:rPr>
              <a:t>Nestrať prácu - vzdelávaj sa v roku 2023 podľa veku</a:t>
            </a:r>
            <a:endParaRPr lang="sk-SK" sz="1200">
              <a:effectLst/>
            </a:endParaRPr>
          </a:p>
        </c:rich>
      </c:tx>
      <c:layout>
        <c:manualLayout>
          <c:xMode val="edge"/>
          <c:yMode val="edge"/>
          <c:x val="0.11600145172234232"/>
          <c:y val="3.7428191194410557E-2"/>
        </c:manualLayout>
      </c:layout>
      <c:overlay val="0"/>
    </c:title>
    <c:autoTitleDeleted val="0"/>
    <c:plotArea>
      <c:layout>
        <c:manualLayout>
          <c:layoutTarget val="inner"/>
          <c:xMode val="edge"/>
          <c:yMode val="edge"/>
          <c:x val="0.23864696365009172"/>
          <c:y val="0.25633546034639926"/>
          <c:w val="0.39002739726027397"/>
          <c:h val="0.64886052871467637"/>
        </c:manualLayout>
      </c:layout>
      <c:pieChart>
        <c:varyColors val="1"/>
        <c:ser>
          <c:idx val="0"/>
          <c:order val="0"/>
          <c:dPt>
            <c:idx val="0"/>
            <c:bubble3D val="0"/>
            <c:explosion val="3"/>
            <c:extLst>
              <c:ext xmlns:c16="http://schemas.microsoft.com/office/drawing/2014/chart" uri="{C3380CC4-5D6E-409C-BE32-E72D297353CC}">
                <c16:uniqueId val="{00000000-43C6-40C2-BD9A-A96D517BAC11}"/>
              </c:ext>
            </c:extLst>
          </c:dPt>
          <c:dPt>
            <c:idx val="1"/>
            <c:bubble3D val="0"/>
            <c:explosion val="3"/>
            <c:extLst>
              <c:ext xmlns:c16="http://schemas.microsoft.com/office/drawing/2014/chart" uri="{C3380CC4-5D6E-409C-BE32-E72D297353CC}">
                <c16:uniqueId val="{00000001-43C6-40C2-BD9A-A96D517BAC11}"/>
              </c:ext>
            </c:extLst>
          </c:dPt>
          <c:dPt>
            <c:idx val="2"/>
            <c:bubble3D val="0"/>
            <c:explosion val="4"/>
            <c:extLst>
              <c:ext xmlns:c16="http://schemas.microsoft.com/office/drawing/2014/chart" uri="{C3380CC4-5D6E-409C-BE32-E72D297353CC}">
                <c16:uniqueId val="{00000002-43C6-40C2-BD9A-A96D517BAC11}"/>
              </c:ext>
            </c:extLst>
          </c:dPt>
          <c:dPt>
            <c:idx val="3"/>
            <c:bubble3D val="0"/>
            <c:explosion val="1"/>
            <c:extLst>
              <c:ext xmlns:c16="http://schemas.microsoft.com/office/drawing/2014/chart" uri="{C3380CC4-5D6E-409C-BE32-E72D297353CC}">
                <c16:uniqueId val="{00000003-43C6-40C2-BD9A-A96D517BAC11}"/>
              </c:ext>
            </c:extLst>
          </c:dPt>
          <c:dLbls>
            <c:dLbl>
              <c:idx val="0"/>
              <c:layout>
                <c:manualLayout>
                  <c:x val="-0.17272438217064373"/>
                  <c:y val="-0.13677244309821351"/>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3C6-40C2-BD9A-A96D517BAC11}"/>
                </c:ext>
              </c:extLst>
            </c:dLbl>
            <c:dLbl>
              <c:idx val="1"/>
              <c:layout>
                <c:manualLayout>
                  <c:x val="0.1415995127680863"/>
                  <c:y val="-4.5780116136348956E-2"/>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3C6-40C2-BD9A-A96D517BAC11}"/>
                </c:ext>
              </c:extLst>
            </c:dLbl>
            <c:dLbl>
              <c:idx val="2"/>
              <c:layout>
                <c:manualLayout>
                  <c:x val="0.11025170748684039"/>
                  <c:y val="0.12569168598683597"/>
                </c:manualLayout>
              </c:layout>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3C6-40C2-BD9A-A96D517BAC11}"/>
                </c:ext>
              </c:extLst>
            </c:dLbl>
            <c:dLbl>
              <c:idx val="3"/>
              <c:layout>
                <c:manualLayout>
                  <c:x val="6.870918345151604E-2"/>
                  <c:y val="0.16323774933785051"/>
                </c:manualLayout>
              </c:layout>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1224834971780832"/>
                      <c:h val="0.12868544600938966"/>
                    </c:manualLayout>
                  </c15:layout>
                </c:ext>
                <c:ext xmlns:c16="http://schemas.microsoft.com/office/drawing/2014/chart" uri="{C3380CC4-5D6E-409C-BE32-E72D297353CC}">
                  <c16:uniqueId val="{00000003-43C6-40C2-BD9A-A96D517BAC11}"/>
                </c:ext>
              </c:extLst>
            </c:dLbl>
            <c:numFmt formatCode="0.00%" sourceLinked="0"/>
            <c:spPr>
              <a:noFill/>
              <a:ln>
                <a:noFill/>
              </a:ln>
              <a:effectLst/>
            </c:spPr>
            <c:dLblPos val="ctr"/>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vek_2023!$B$11:$B$14</c:f>
              <c:strCache>
                <c:ptCount val="4"/>
                <c:pt idx="0">
                  <c:v>30 - 49 r.</c:v>
                </c:pt>
                <c:pt idx="1">
                  <c:v>25 - 29 r.</c:v>
                </c:pt>
                <c:pt idx="2">
                  <c:v>50 a viac r.</c:v>
                </c:pt>
                <c:pt idx="3">
                  <c:v>do 24 r.</c:v>
                </c:pt>
              </c:strCache>
            </c:strRef>
          </c:cat>
          <c:val>
            <c:numRef>
              <c:f>vek_2023!$C$11:$C$14</c:f>
              <c:numCache>
                <c:formatCode>#,##0</c:formatCode>
                <c:ptCount val="4"/>
                <c:pt idx="0">
                  <c:v>17587</c:v>
                </c:pt>
                <c:pt idx="1">
                  <c:v>4545</c:v>
                </c:pt>
                <c:pt idx="2">
                  <c:v>2903</c:v>
                </c:pt>
                <c:pt idx="3">
                  <c:v>2551</c:v>
                </c:pt>
              </c:numCache>
            </c:numRef>
          </c:val>
          <c:extLst>
            <c:ext xmlns:c16="http://schemas.microsoft.com/office/drawing/2014/chart" uri="{C3380CC4-5D6E-409C-BE32-E72D297353CC}">
              <c16:uniqueId val="{00000004-43C6-40C2-BD9A-A96D517BAC11}"/>
            </c:ext>
          </c:extLst>
        </c:ser>
        <c:ser>
          <c:idx val="1"/>
          <c:order val="1"/>
          <c:explosion val="25"/>
          <c:cat>
            <c:strRef>
              <c:f>vek_2023!$B$11:$B$14</c:f>
              <c:strCache>
                <c:ptCount val="4"/>
                <c:pt idx="0">
                  <c:v>30 - 49 r.</c:v>
                </c:pt>
                <c:pt idx="1">
                  <c:v>25 - 29 r.</c:v>
                </c:pt>
                <c:pt idx="2">
                  <c:v>50 a viac r.</c:v>
                </c:pt>
                <c:pt idx="3">
                  <c:v>do 24 r.</c:v>
                </c:pt>
              </c:strCache>
            </c:strRef>
          </c:cat>
          <c:val>
            <c:numRef>
              <c:f>vek_2023!$D$11:$D$14</c:f>
              <c:numCache>
                <c:formatCode>0.00</c:formatCode>
                <c:ptCount val="4"/>
                <c:pt idx="0">
                  <c:v>63.753353150148627</c:v>
                </c:pt>
                <c:pt idx="1">
                  <c:v>16.475748568114259</c:v>
                </c:pt>
                <c:pt idx="2">
                  <c:v>10.523453925904445</c:v>
                </c:pt>
                <c:pt idx="3">
                  <c:v>9.2474443558326698</c:v>
                </c:pt>
              </c:numCache>
            </c:numRef>
          </c:val>
          <c:extLst>
            <c:ext xmlns:c16="http://schemas.microsoft.com/office/drawing/2014/chart" uri="{C3380CC4-5D6E-409C-BE32-E72D297353CC}">
              <c16:uniqueId val="{00000005-43C6-40C2-BD9A-A96D517BAC1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467481620046116"/>
          <c:y val="0.27022473603743924"/>
          <c:w val="0.24206551529125159"/>
          <c:h val="0.5226313711697614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b="1">
                <a:solidFill>
                  <a:sysClr val="windowText" lastClr="000000"/>
                </a:solidFill>
              </a:rPr>
              <a:t>Prehľad</a:t>
            </a:r>
            <a:r>
              <a:rPr lang="sk-SK" b="1" baseline="0">
                <a:solidFill>
                  <a:sysClr val="windowText" lastClr="000000"/>
                </a:solidFill>
              </a:rPr>
              <a:t> počtu žiakov, ktorým bolo v roku 2023 </a:t>
            </a:r>
          </a:p>
          <a:p>
            <a:pPr>
              <a:defRPr/>
            </a:pPr>
            <a:r>
              <a:rPr lang="sk-SK" b="1" baseline="0">
                <a:solidFill>
                  <a:sysClr val="windowText" lastClr="000000"/>
                </a:solidFill>
              </a:rPr>
              <a:t>poskytnutú preventívne poradenstvo</a:t>
            </a:r>
            <a:endParaRPr lang="sk-SK"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863900080511233"/>
          <c:y val="0.24286430955133378"/>
          <c:w val="0.31538226579658635"/>
          <c:h val="0.6700053075083066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59-4D5E-9EFE-F2D8710CC663}"/>
              </c:ext>
            </c:extLst>
          </c:dPt>
          <c:dPt>
            <c:idx val="1"/>
            <c:bubble3D val="0"/>
            <c:explosion val="5"/>
            <c:spPr>
              <a:solidFill>
                <a:srgbClr val="C00000"/>
              </a:solidFill>
              <a:ln w="19050">
                <a:solidFill>
                  <a:schemeClr val="lt1"/>
                </a:solidFill>
              </a:ln>
              <a:effectLst/>
            </c:spPr>
            <c:extLst>
              <c:ext xmlns:c16="http://schemas.microsoft.com/office/drawing/2014/chart" uri="{C3380CC4-5D6E-409C-BE32-E72D297353CC}">
                <c16:uniqueId val="{00000003-BC59-4D5E-9EFE-F2D8710CC663}"/>
              </c:ext>
            </c:extLst>
          </c:dPt>
          <c:dLbls>
            <c:dLbl>
              <c:idx val="0"/>
              <c:layout>
                <c:manualLayout>
                  <c:x val="-0.10396113557629709"/>
                  <c:y val="0.14313254527657329"/>
                </c:manualLayout>
              </c:layout>
              <c:tx>
                <c:rich>
                  <a:bodyPr/>
                  <a:lstStyle/>
                  <a:p>
                    <a:r>
                      <a:rPr lang="en-US" b="1"/>
                      <a:t>4</a:t>
                    </a:r>
                    <a:r>
                      <a:rPr lang="en-US" b="1" baseline="0"/>
                      <a:t> 901</a:t>
                    </a:r>
                    <a:endParaRPr lang="en-US" b="1"/>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59-4D5E-9EFE-F2D8710CC663}"/>
                </c:ext>
              </c:extLst>
            </c:dLbl>
            <c:dLbl>
              <c:idx val="1"/>
              <c:layout>
                <c:manualLayout>
                  <c:x val="0.11603782060112203"/>
                  <c:y val="-0.20868359252877325"/>
                </c:manualLayout>
              </c:layout>
              <c:tx>
                <c:rich>
                  <a:bodyPr/>
                  <a:lstStyle/>
                  <a:p>
                    <a:fld id="{30EA686A-EE5F-4F95-B080-9A1FAA1C82D2}" type="VALUE">
                      <a:rPr lang="en-US" b="1"/>
                      <a:pPr/>
                      <a:t>[HODNOTA]</a:t>
                    </a:fld>
                    <a:endParaRPr lang="sk-SK"/>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59-4D5E-9EFE-F2D8710CC6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k-SK"/>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pocet_IPS_UPSVR_2!$G$11:$H$11</c:f>
              <c:strCache>
                <c:ptCount val="2"/>
                <c:pt idx="0">
                  <c:v>ZŠ</c:v>
                </c:pt>
                <c:pt idx="1">
                  <c:v>SŠ</c:v>
                </c:pt>
              </c:strCache>
            </c:strRef>
          </c:cat>
          <c:val>
            <c:numRef>
              <c:f>pocet_IPS_UPSVR_2!$G$58:$H$58</c:f>
              <c:numCache>
                <c:formatCode>#,##0</c:formatCode>
                <c:ptCount val="2"/>
                <c:pt idx="0">
                  <c:v>4901</c:v>
                </c:pt>
                <c:pt idx="1">
                  <c:v>12022</c:v>
                </c:pt>
              </c:numCache>
            </c:numRef>
          </c:val>
          <c:extLst>
            <c:ext xmlns:c16="http://schemas.microsoft.com/office/drawing/2014/chart" uri="{C3380CC4-5D6E-409C-BE32-E72D297353CC}">
              <c16:uniqueId val="{00000004-BC59-4D5E-9EFE-F2D8710CC66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k-SK"/>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k-SK"/>
          </a:p>
        </c:txPr>
      </c:legendEntry>
      <c:layout>
        <c:manualLayout>
          <c:xMode val="edge"/>
          <c:yMode val="edge"/>
          <c:x val="0.77228086356639947"/>
          <c:y val="0.35850510029736582"/>
          <c:w val="0.1684298427164713"/>
          <c:h val="0.365094771740790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gradFill flip="none" rotWithShape="1">
      <a:gsLst>
        <a:gs pos="20000">
          <a:schemeClr val="tx2">
            <a:lumMod val="20000"/>
            <a:lumOff val="80000"/>
          </a:schemeClr>
        </a:gs>
        <a:gs pos="52000">
          <a:schemeClr val="accent1">
            <a:lumMod val="45000"/>
            <a:lumOff val="55000"/>
          </a:schemeClr>
        </a:gs>
        <a:gs pos="74000">
          <a:schemeClr val="accent1">
            <a:lumMod val="45000"/>
            <a:lumOff val="55000"/>
          </a:schemeClr>
        </a:gs>
        <a:gs pos="98000">
          <a:schemeClr val="accent1">
            <a:lumMod val="30000"/>
            <a:lumOff val="70000"/>
          </a:schemeClr>
        </a:gs>
      </a:gsLst>
      <a:lin ang="5400000" scaled="0"/>
      <a:tileRect/>
    </a:gra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sk-SK" sz="1200" b="1" i="0" baseline="0">
                <a:effectLst/>
                <a:latin typeface="+mn-lt"/>
              </a:rPr>
              <a:t> </a:t>
            </a:r>
            <a:r>
              <a:rPr lang="sk-SK" sz="1200" b="1" i="0" baseline="0">
                <a:effectLst/>
              </a:rPr>
              <a:t>Prehľad ZoZ zaradených na vzdelávanie v rámci národného projektu  </a:t>
            </a:r>
            <a:endParaRPr lang="sk-SK" sz="1200">
              <a:effectLst/>
            </a:endParaRPr>
          </a:p>
          <a:p>
            <a:pPr>
              <a:defRPr/>
            </a:pPr>
            <a:r>
              <a:rPr lang="sk-SK" sz="1200" b="1" i="0" baseline="0">
                <a:effectLst/>
              </a:rPr>
              <a:t>Nestrať prácu - vzdelávaj sa v roku 2023 podľa </a:t>
            </a:r>
            <a:r>
              <a:rPr lang="sk-SK" sz="1200" b="1" i="0" baseline="0">
                <a:effectLst/>
                <a:latin typeface="+mn-lt"/>
              </a:rPr>
              <a:t>vzdelania</a:t>
            </a:r>
            <a:endParaRPr lang="sk-SK" sz="1200" b="1">
              <a:effectLst/>
              <a:latin typeface="+mn-l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sk-SK"/>
        </a:p>
      </c:txPr>
    </c:title>
    <c:autoTitleDeleted val="0"/>
    <c:plotArea>
      <c:layout/>
      <c:barChart>
        <c:barDir val="col"/>
        <c:grouping val="clustered"/>
        <c:varyColors val="0"/>
        <c:ser>
          <c:idx val="0"/>
          <c:order val="0"/>
          <c:tx>
            <c:v>Počet ZoZ</c:v>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vzdelanie_2023!$B$5:$L$5</c:f>
              <c:strCache>
                <c:ptCount val="11"/>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pt idx="10">
                  <c:v>neurčené</c:v>
                </c:pt>
              </c:strCache>
            </c:strRef>
          </c:cat>
          <c:val>
            <c:numRef>
              <c:f>vzdelanie_2023!$B$6:$L$6</c:f>
              <c:numCache>
                <c:formatCode>#,##0</c:formatCode>
                <c:ptCount val="11"/>
                <c:pt idx="0">
                  <c:v>11</c:v>
                </c:pt>
                <c:pt idx="1">
                  <c:v>524</c:v>
                </c:pt>
                <c:pt idx="2">
                  <c:v>66</c:v>
                </c:pt>
                <c:pt idx="3">
                  <c:v>2892</c:v>
                </c:pt>
                <c:pt idx="4">
                  <c:v>10810</c:v>
                </c:pt>
                <c:pt idx="5">
                  <c:v>1454</c:v>
                </c:pt>
                <c:pt idx="6">
                  <c:v>173</c:v>
                </c:pt>
                <c:pt idx="7">
                  <c:v>1657</c:v>
                </c:pt>
                <c:pt idx="8">
                  <c:v>8759</c:v>
                </c:pt>
                <c:pt idx="9">
                  <c:v>497</c:v>
                </c:pt>
                <c:pt idx="10">
                  <c:v>743</c:v>
                </c:pt>
              </c:numCache>
            </c:numRef>
          </c:val>
          <c:extLst>
            <c:ext xmlns:c16="http://schemas.microsoft.com/office/drawing/2014/chart" uri="{C3380CC4-5D6E-409C-BE32-E72D297353CC}">
              <c16:uniqueId val="{00000000-5FE5-4385-8E00-B277FF82E606}"/>
            </c:ext>
          </c:extLst>
        </c:ser>
        <c:dLbls>
          <c:showLegendKey val="0"/>
          <c:showVal val="0"/>
          <c:showCatName val="0"/>
          <c:showSerName val="0"/>
          <c:showPercent val="0"/>
          <c:showBubbleSize val="0"/>
        </c:dLbls>
        <c:gapWidth val="150"/>
        <c:axId val="345431080"/>
        <c:axId val="345428336"/>
      </c:barChart>
      <c:catAx>
        <c:axId val="34543108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345428336"/>
        <c:crosses val="autoZero"/>
        <c:auto val="1"/>
        <c:lblAlgn val="ctr"/>
        <c:lblOffset val="100"/>
        <c:noMultiLvlLbl val="0"/>
      </c:catAx>
      <c:valAx>
        <c:axId val="3454283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34543108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sk-SK"/>
          </a:p>
        </c:txPr>
      </c:dTable>
      <c:spPr>
        <a:noFill/>
        <a:ln w="25400">
          <a:noFill/>
        </a:ln>
        <a:effectLst/>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w="9525" cap="flat" cmpd="sng" algn="ctr">
      <a:solidFill>
        <a:schemeClr val="tx1">
          <a:tint val="75000"/>
          <a:shade val="95000"/>
          <a:satMod val="105000"/>
        </a:schemeClr>
      </a:solidFill>
      <a:prstDash val="solid"/>
      <a:round/>
    </a:ln>
    <a:effectLst/>
  </c:spPr>
  <c:txPr>
    <a:bodyPr/>
    <a:lstStyle/>
    <a:p>
      <a:pPr>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u="none" strike="noStrike" baseline="0">
                <a:effectLst/>
              </a:rPr>
              <a:t>ZoZ zaradených na vzdelávanie v rámci národného projektu Nestrať prácu - vzdelávaj sa  v roku 2023 v štruktúre podľa jednotlivých vzdelávacích kategórií </a:t>
            </a:r>
            <a:endParaRPr lang="sk-SK" sz="1200"/>
          </a:p>
        </c:rich>
      </c:tx>
      <c:layout>
        <c:manualLayout>
          <c:xMode val="edge"/>
          <c:yMode val="edge"/>
          <c:x val="0.13270194986072423"/>
          <c:y val="5.1774388594552564E-2"/>
        </c:manualLayout>
      </c:layout>
      <c:overlay val="0"/>
    </c:title>
    <c:autoTitleDeleted val="0"/>
    <c:plotArea>
      <c:layout>
        <c:manualLayout>
          <c:layoutTarget val="inner"/>
          <c:xMode val="edge"/>
          <c:yMode val="edge"/>
          <c:x val="8.4927438544890058E-2"/>
          <c:y val="0.16831421441117356"/>
          <c:w val="0.88827917430823244"/>
          <c:h val="0.59376678552194839"/>
        </c:manualLayout>
      </c:layout>
      <c:barChart>
        <c:barDir val="col"/>
        <c:grouping val="clustered"/>
        <c:varyColors val="0"/>
        <c:ser>
          <c:idx val="0"/>
          <c:order val="0"/>
          <c:tx>
            <c:v>Vzdelávacie kategórie</c:v>
          </c:tx>
          <c:spPr>
            <a:solidFill>
              <a:schemeClr val="accent2"/>
            </a:solidFill>
          </c:spPr>
          <c:invertIfNegative val="0"/>
          <c:cat>
            <c:strRef>
              <c:f>'typy kurzov_2023'!$A$5:$A$21</c:f>
              <c:strCache>
                <c:ptCount val="17"/>
                <c:pt idx="0">
                  <c:v>Profesia vodiča </c:v>
                </c:pt>
                <c:pt idx="1">
                  <c:v>Počítačové kurzy </c:v>
                </c:pt>
                <c:pt idx="2">
                  <c:v>Jazykové kurzy</c:v>
                </c:pt>
                <c:pt idx="3">
                  <c:v>Beauty služby</c:v>
                </c:pt>
                <c:pt idx="4">
                  <c:v>Účtovníctvo, dane, financie</c:v>
                </c:pt>
                <c:pt idx="5">
                  <c:v>Odbor. kurzy - osob. predpisy</c:v>
                </c:pt>
                <c:pt idx="6">
                  <c:v>Zváranie</c:v>
                </c:pt>
                <c:pt idx="7">
                  <c:v>Ľudské zdroje, komun. a soc. zručnosti</c:v>
                </c:pt>
                <c:pt idx="8">
                  <c:v>Ostatné kurzy</c:v>
                </c:pt>
                <c:pt idx="9">
                  <c:v>Opatrovateľské kurzy</c:v>
                </c:pt>
                <c:pt idx="10">
                  <c:v>Odborné technické kurzy </c:v>
                </c:pt>
                <c:pt idx="11">
                  <c:v>Projektové riadenie</c:v>
                </c:pt>
                <c:pt idx="12">
                  <c:v>Služby - iné</c:v>
                </c:pt>
                <c:pt idx="13">
                  <c:v>Manaž. a podnik. kompetencie</c:v>
                </c:pt>
                <c:pt idx="14">
                  <c:v>Obchodné a predajné zručnosti</c:v>
                </c:pt>
                <c:pt idx="15">
                  <c:v>Marketing a reklama</c:v>
                </c:pt>
                <c:pt idx="16">
                  <c:v>Strážna bezpečnostná služba</c:v>
                </c:pt>
              </c:strCache>
            </c:strRef>
          </c:cat>
          <c:val>
            <c:numRef>
              <c:f>'typy kurzov_2023'!$B$5:$B$21</c:f>
              <c:numCache>
                <c:formatCode>_-* #,##0\ _€_-;\-* #,##0\ _€_-;_-* "-"??\ _€_-;_-@_-</c:formatCode>
                <c:ptCount val="17"/>
                <c:pt idx="0">
                  <c:v>7130</c:v>
                </c:pt>
                <c:pt idx="1">
                  <c:v>4383</c:v>
                </c:pt>
                <c:pt idx="2">
                  <c:v>2907</c:v>
                </c:pt>
                <c:pt idx="3">
                  <c:v>2034</c:v>
                </c:pt>
                <c:pt idx="4">
                  <c:v>1894</c:v>
                </c:pt>
                <c:pt idx="5">
                  <c:v>1684</c:v>
                </c:pt>
                <c:pt idx="6">
                  <c:v>1364</c:v>
                </c:pt>
                <c:pt idx="7">
                  <c:v>1256</c:v>
                </c:pt>
                <c:pt idx="8">
                  <c:v>813</c:v>
                </c:pt>
                <c:pt idx="9">
                  <c:v>680</c:v>
                </c:pt>
                <c:pt idx="10">
                  <c:v>648</c:v>
                </c:pt>
                <c:pt idx="11">
                  <c:v>615</c:v>
                </c:pt>
                <c:pt idx="12">
                  <c:v>535</c:v>
                </c:pt>
                <c:pt idx="13">
                  <c:v>364</c:v>
                </c:pt>
                <c:pt idx="14">
                  <c:v>263</c:v>
                </c:pt>
                <c:pt idx="15">
                  <c:v>215</c:v>
                </c:pt>
                <c:pt idx="16">
                  <c:v>190</c:v>
                </c:pt>
              </c:numCache>
            </c:numRef>
          </c:val>
          <c:extLst>
            <c:ext xmlns:c16="http://schemas.microsoft.com/office/drawing/2014/chart" uri="{C3380CC4-5D6E-409C-BE32-E72D297353CC}">
              <c16:uniqueId val="{00000000-3DA0-43AC-952C-B484D9EF82A9}"/>
            </c:ext>
          </c:extLst>
        </c:ser>
        <c:ser>
          <c:idx val="1"/>
          <c:order val="1"/>
          <c:tx>
            <c:v>Vzdelávacie kategórie</c:v>
          </c:tx>
          <c:invertIfNegative val="0"/>
          <c:val>
            <c:numLit>
              <c:formatCode>General</c:formatCode>
              <c:ptCount val="1"/>
              <c:pt idx="0">
                <c:v>1</c:v>
              </c:pt>
            </c:numLit>
          </c:val>
          <c:extLst>
            <c:ext xmlns:c16="http://schemas.microsoft.com/office/drawing/2014/chart" uri="{C3380CC4-5D6E-409C-BE32-E72D297353CC}">
              <c16:uniqueId val="{00000001-3DA0-43AC-952C-B484D9EF82A9}"/>
            </c:ext>
          </c:extLst>
        </c:ser>
        <c:dLbls>
          <c:showLegendKey val="0"/>
          <c:showVal val="0"/>
          <c:showCatName val="0"/>
          <c:showSerName val="0"/>
          <c:showPercent val="0"/>
          <c:showBubbleSize val="0"/>
        </c:dLbls>
        <c:gapWidth val="75"/>
        <c:axId val="345430688"/>
        <c:axId val="345427552"/>
      </c:barChart>
      <c:catAx>
        <c:axId val="345430688"/>
        <c:scaling>
          <c:orientation val="minMax"/>
        </c:scaling>
        <c:delete val="0"/>
        <c:axPos val="b"/>
        <c:numFmt formatCode="General" sourceLinked="1"/>
        <c:majorTickMark val="none"/>
        <c:minorTickMark val="none"/>
        <c:tickLblPos val="nextTo"/>
        <c:txPr>
          <a:bodyPr anchor="t" anchorCtr="0"/>
          <a:lstStyle/>
          <a:p>
            <a:pPr>
              <a:defRPr sz="800"/>
            </a:pPr>
            <a:endParaRPr lang="sk-SK"/>
          </a:p>
        </c:txPr>
        <c:crossAx val="345427552"/>
        <c:crosses val="autoZero"/>
        <c:auto val="1"/>
        <c:lblAlgn val="ctr"/>
        <c:lblOffset val="100"/>
        <c:noMultiLvlLbl val="0"/>
      </c:catAx>
      <c:valAx>
        <c:axId val="345427552"/>
        <c:scaling>
          <c:orientation val="minMax"/>
        </c:scaling>
        <c:delete val="0"/>
        <c:axPos val="l"/>
        <c:numFmt formatCode="_-* #,##0\ _€_-;\-* #,##0\ _€_-;_-* &quot;-&quot;??\ _€_-;_-@_-" sourceLinked="1"/>
        <c:majorTickMark val="none"/>
        <c:minorTickMark val="none"/>
        <c:tickLblPos val="nextTo"/>
        <c:txPr>
          <a:bodyPr/>
          <a:lstStyle/>
          <a:p>
            <a:pPr>
              <a:defRPr sz="800"/>
            </a:pPr>
            <a:endParaRPr lang="sk-SK"/>
          </a:p>
        </c:txPr>
        <c:crossAx val="345430688"/>
        <c:crosses val="autoZero"/>
        <c:crossBetween val="between"/>
      </c:valAx>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6699664990189609"/>
          <c:y val="8.514088789783093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250897500706862"/>
          <c:y val="0.24509476013791248"/>
          <c:w val="0.45334161575831322"/>
          <c:h val="0.51546598434774005"/>
        </c:manualLayout>
      </c:layout>
      <c:pie3DChart>
        <c:varyColors val="1"/>
        <c:ser>
          <c:idx val="0"/>
          <c:order val="0"/>
          <c:explosion val="10"/>
          <c:dPt>
            <c:idx val="0"/>
            <c:bubble3D val="0"/>
            <c:extLst>
              <c:ext xmlns:c16="http://schemas.microsoft.com/office/drawing/2014/chart" uri="{C3380CC4-5D6E-409C-BE32-E72D297353CC}">
                <c16:uniqueId val="{00000000-EF8B-4443-A6BF-2F96A408D447}"/>
              </c:ext>
            </c:extLst>
          </c:dPt>
          <c:dPt>
            <c:idx val="1"/>
            <c:bubble3D val="0"/>
            <c:extLst>
              <c:ext xmlns:c16="http://schemas.microsoft.com/office/drawing/2014/chart" uri="{C3380CC4-5D6E-409C-BE32-E72D297353CC}">
                <c16:uniqueId val="{00000001-EF8B-4443-A6BF-2F96A408D447}"/>
              </c:ext>
            </c:extLst>
          </c:dPt>
          <c:dPt>
            <c:idx val="2"/>
            <c:bubble3D val="0"/>
            <c:extLst>
              <c:ext xmlns:c16="http://schemas.microsoft.com/office/drawing/2014/chart" uri="{C3380CC4-5D6E-409C-BE32-E72D297353CC}">
                <c16:uniqueId val="{00000002-EF8B-4443-A6BF-2F96A408D447}"/>
              </c:ext>
            </c:extLst>
          </c:dPt>
          <c:dPt>
            <c:idx val="3"/>
            <c:bubble3D val="0"/>
            <c:extLst>
              <c:ext xmlns:c16="http://schemas.microsoft.com/office/drawing/2014/chart" uri="{C3380CC4-5D6E-409C-BE32-E72D297353CC}">
                <c16:uniqueId val="{00000003-EF8B-4443-A6BF-2F96A408D447}"/>
              </c:ext>
            </c:extLst>
          </c:dPt>
          <c:dLbls>
            <c:dLbl>
              <c:idx val="0"/>
              <c:layout>
                <c:manualLayout>
                  <c:x val="-6.0863314283755958E-2"/>
                  <c:y val="7.90405608380646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F8B-4443-A6BF-2F96A408D447}"/>
                </c:ext>
              </c:extLst>
            </c:dLbl>
            <c:dLbl>
              <c:idx val="1"/>
              <c:layout>
                <c:manualLayout>
                  <c:x val="-0.11510988493141296"/>
                  <c:y val="1.40062666502790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8B-4443-A6BF-2F96A408D447}"/>
                </c:ext>
              </c:extLst>
            </c:dLbl>
            <c:dLbl>
              <c:idx val="2"/>
              <c:layout>
                <c:manualLayout>
                  <c:x val="8.3608852484299015E-2"/>
                  <c:y val="-0.2397330528291707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F8B-4443-A6BF-2F96A408D447}"/>
                </c:ext>
              </c:extLst>
            </c:dLbl>
            <c:dLbl>
              <c:idx val="3"/>
              <c:layout>
                <c:manualLayout>
                  <c:x val="7.5946809695578044E-2"/>
                  <c:y val="7.24964923678073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8B-4443-A6BF-2F96A408D447}"/>
                </c:ext>
              </c:extLst>
            </c:dLbl>
            <c:numFmt formatCode="0.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2664</c:v>
                </c:pt>
                <c:pt idx="1">
                  <c:v>2801</c:v>
                </c:pt>
                <c:pt idx="2">
                  <c:v>10902</c:v>
                </c:pt>
                <c:pt idx="3">
                  <c:v>4299</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EF8B-4443-A6BF-2F96A408D447}"/>
            </c:ext>
          </c:extLst>
        </c:ser>
        <c:dLbls>
          <c:showLegendKey val="0"/>
          <c:showVal val="1"/>
          <c:showCatName val="0"/>
          <c:showSerName val="0"/>
          <c:showPercent val="0"/>
          <c:showBubbleSize val="0"/>
          <c:showLeaderLines val="1"/>
        </c:dLbls>
      </c:pie3DChart>
    </c:plotArea>
    <c:legend>
      <c:legendPos val="r"/>
      <c:layout>
        <c:manualLayout>
          <c:xMode val="edge"/>
          <c:yMode val="edge"/>
          <c:x val="0.72512813482645466"/>
          <c:y val="0.18396349105010523"/>
          <c:w val="0.2133920759905012"/>
          <c:h val="0.6255808942187517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0.17732828261332201"/>
          <c:y val="2.073504280410305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759548840178762"/>
          <c:y val="0.256105886583127"/>
          <c:w val="0.4283071291764205"/>
          <c:h val="0.65241236841290173"/>
        </c:manualLayout>
      </c:layout>
      <c:pie3DChart>
        <c:varyColors val="1"/>
        <c:ser>
          <c:idx val="0"/>
          <c:order val="0"/>
          <c:explosion val="13"/>
          <c:dLbls>
            <c:dLbl>
              <c:idx val="0"/>
              <c:layout>
                <c:manualLayout>
                  <c:x val="4.3057909958707355E-2"/>
                  <c:y val="-8.59491620151254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2E1-465D-8907-590964842BC5}"/>
                </c:ext>
              </c:extLst>
            </c:dLbl>
            <c:dLbl>
              <c:idx val="1"/>
              <c:layout>
                <c:manualLayout>
                  <c:x val="4.5412726111938709E-2"/>
                  <c:y val="-7.35412467114721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E1-465D-8907-590964842BC5}"/>
                </c:ext>
              </c:extLst>
            </c:dLbl>
            <c:dLbl>
              <c:idx val="2"/>
              <c:layout>
                <c:manualLayout>
                  <c:x val="5.4262353692274952E-2"/>
                  <c:y val="7.91983603104093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2E1-465D-8907-590964842BC5}"/>
                </c:ext>
              </c:extLst>
            </c:dLbl>
            <c:dLbl>
              <c:idx val="3"/>
              <c:layout>
                <c:manualLayout>
                  <c:x val="-0.10364128537986814"/>
                  <c:y val="1.82715297670391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2E1-465D-8907-590964842BC5}"/>
                </c:ext>
              </c:extLst>
            </c:dLbl>
            <c:dLbl>
              <c:idx val="4"/>
              <c:layout>
                <c:manualLayout>
                  <c:x val="-5.6054479676526528E-3"/>
                  <c:y val="-0.187593466458169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E1-465D-8907-590964842BC5}"/>
                </c:ext>
              </c:extLst>
            </c:dLbl>
            <c:dLbl>
              <c:idx val="5"/>
              <c:layout>
                <c:manualLayout>
                  <c:x val="-1.5799616939774441E-2"/>
                  <c:y val="6.03388548311953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2E1-465D-8907-590964842BC5}"/>
                </c:ext>
              </c:extLst>
            </c:dLbl>
            <c:dLbl>
              <c:idx val="6"/>
              <c:layout>
                <c:manualLayout>
                  <c:x val="-1.2729687167482443E-2"/>
                  <c:y val="7.0037378895299934E-3"/>
                </c:manualLayout>
              </c:layout>
              <c:numFmt formatCode="0.00%" sourceLinked="0"/>
              <c:spPr/>
              <c:txPr>
                <a:bodyPr/>
                <a:lstStyle/>
                <a:p>
                  <a:pPr>
                    <a:defRPr/>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E1-465D-8907-590964842BC5}"/>
                </c:ext>
              </c:extLst>
            </c:dLbl>
            <c:dLbl>
              <c:idx val="7"/>
              <c:layout>
                <c:manualLayout>
                  <c:x val="-1.7112577144073198E-2"/>
                  <c:y val="-7.73400249397647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2E1-465D-8907-590964842BC5}"/>
                </c:ext>
              </c:extLst>
            </c:dLbl>
            <c:dLbl>
              <c:idx val="8"/>
              <c:layout>
                <c:manualLayout>
                  <c:x val="9.984677590976801E-2"/>
                  <c:y val="5.56274837127535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2E1-465D-8907-590964842BC5}"/>
                </c:ext>
              </c:extLst>
            </c:dLbl>
            <c:dLbl>
              <c:idx val="9"/>
              <c:layout>
                <c:manualLayout>
                  <c:x val="-0.12333177271759949"/>
                  <c:y val="-2.16071848663908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2E1-465D-8907-590964842BC5}"/>
                </c:ext>
              </c:extLst>
            </c:dLbl>
            <c:dLbl>
              <c:idx val="10"/>
              <c:layout>
                <c:manualLayout>
                  <c:x val="-6.7462523941264133E-2"/>
                  <c:y val="-8.1384203073034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E1-465D-8907-590964842BC5}"/>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Hárok1!$A$1:$A$11</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iné </c:v>
                </c:pt>
              </c:strCache>
            </c:strRef>
          </c:cat>
          <c:val>
            <c:numRef>
              <c:f>Hárok1!$B$1:$B$11</c:f>
              <c:numCache>
                <c:formatCode>General</c:formatCode>
                <c:ptCount val="11"/>
                <c:pt idx="0">
                  <c:v>178</c:v>
                </c:pt>
                <c:pt idx="1">
                  <c:v>1745</c:v>
                </c:pt>
                <c:pt idx="2">
                  <c:v>128</c:v>
                </c:pt>
                <c:pt idx="3">
                  <c:v>4465</c:v>
                </c:pt>
                <c:pt idx="4">
                  <c:v>7426</c:v>
                </c:pt>
                <c:pt idx="5">
                  <c:v>847</c:v>
                </c:pt>
                <c:pt idx="6">
                  <c:v>177</c:v>
                </c:pt>
                <c:pt idx="7">
                  <c:v>959</c:v>
                </c:pt>
                <c:pt idx="8">
                  <c:v>4534</c:v>
                </c:pt>
                <c:pt idx="9">
                  <c:v>199</c:v>
                </c:pt>
                <c:pt idx="10">
                  <c:v>8</c:v>
                </c:pt>
              </c:numCache>
            </c:numRef>
          </c:val>
          <c:extLst>
            <c:ext xmlns:c16="http://schemas.microsoft.com/office/drawing/2014/chart" uri="{C3380CC4-5D6E-409C-BE32-E72D297353CC}">
              <c16:uniqueId val="{0000000A-F2E1-465D-8907-590964842BC5}"/>
            </c:ext>
          </c:extLst>
        </c:ser>
        <c:dLbls>
          <c:showLegendKey val="0"/>
          <c:showVal val="1"/>
          <c:showCatName val="0"/>
          <c:showSerName val="0"/>
          <c:showPercent val="0"/>
          <c:showBubbleSize val="0"/>
          <c:showLeaderLines val="1"/>
        </c:dLbls>
      </c:pie3DChart>
    </c:plotArea>
    <c:legend>
      <c:legendPos val="r"/>
      <c:layout>
        <c:manualLayout>
          <c:xMode val="edge"/>
          <c:yMode val="edge"/>
          <c:x val="0.6959387103639072"/>
          <c:y val="0.12218902735418041"/>
          <c:w val="0.24928112364332836"/>
          <c:h val="0.84763556576517562"/>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150171174255393"/>
          <c:y val="0.25767255681668555"/>
          <c:w val="0.50568264293050336"/>
          <c:h val="0.65746466916896062"/>
        </c:manualLayout>
      </c:layout>
      <c:pie3DChart>
        <c:varyColors val="1"/>
        <c:ser>
          <c:idx val="0"/>
          <c:order val="0"/>
          <c:explosion val="25"/>
          <c:dPt>
            <c:idx val="0"/>
            <c:bubble3D val="0"/>
            <c:explosion val="14"/>
            <c:extLst>
              <c:ext xmlns:c16="http://schemas.microsoft.com/office/drawing/2014/chart" uri="{C3380CC4-5D6E-409C-BE32-E72D297353CC}">
                <c16:uniqueId val="{00000001-9852-4DEA-8EE4-C9407E695764}"/>
              </c:ext>
            </c:extLst>
          </c:dPt>
          <c:dPt>
            <c:idx val="1"/>
            <c:bubble3D val="0"/>
            <c:explosion val="4"/>
            <c:extLst>
              <c:ext xmlns:c16="http://schemas.microsoft.com/office/drawing/2014/chart" uri="{C3380CC4-5D6E-409C-BE32-E72D297353CC}">
                <c16:uniqueId val="{00000003-9852-4DEA-8EE4-C9407E695764}"/>
              </c:ext>
            </c:extLst>
          </c:dPt>
          <c:dPt>
            <c:idx val="2"/>
            <c:bubble3D val="0"/>
            <c:explosion val="12"/>
            <c:extLst>
              <c:ext xmlns:c16="http://schemas.microsoft.com/office/drawing/2014/chart" uri="{C3380CC4-5D6E-409C-BE32-E72D297353CC}">
                <c16:uniqueId val="{00000005-9852-4DEA-8EE4-C9407E695764}"/>
              </c:ext>
            </c:extLst>
          </c:dPt>
          <c:dPt>
            <c:idx val="3"/>
            <c:bubble3D val="0"/>
            <c:explosion val="15"/>
            <c:extLst>
              <c:ext xmlns:c16="http://schemas.microsoft.com/office/drawing/2014/chart" uri="{C3380CC4-5D6E-409C-BE32-E72D297353CC}">
                <c16:uniqueId val="{00000006-9852-4DEA-8EE4-C9407E695764}"/>
              </c:ext>
            </c:extLst>
          </c:dPt>
          <c:dLbls>
            <c:dLbl>
              <c:idx val="0"/>
              <c:layout>
                <c:manualLayout>
                  <c:x val="5.3122047244094486E-2"/>
                  <c:y val="-2.03443179468037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52-4DEA-8EE4-C9407E695764}"/>
                </c:ext>
              </c:extLst>
            </c:dLbl>
            <c:dLbl>
              <c:idx val="1"/>
              <c:layout>
                <c:manualLayout>
                  <c:x val="-0.13547637795275591"/>
                  <c:y val="-5.6596400786224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52-4DEA-8EE4-C9407E695764}"/>
                </c:ext>
              </c:extLst>
            </c:dLbl>
            <c:dLbl>
              <c:idx val="2"/>
              <c:layout>
                <c:manualLayout>
                  <c:x val="0.11917357069496748"/>
                  <c:y val="-0.152032901716881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52-4DEA-8EE4-C9407E695764}"/>
                </c:ext>
              </c:extLst>
            </c:dLbl>
            <c:dLbl>
              <c:idx val="3"/>
              <c:layout>
                <c:manualLayout>
                  <c:x val="-1.1476549127011298E-2"/>
                  <c:y val="-2.8021767788568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852-4DEA-8EE4-C9407E695764}"/>
                </c:ext>
              </c:extLst>
            </c:dLbl>
            <c:dLbl>
              <c:idx val="4"/>
              <c:layout>
                <c:manualLayout>
                  <c:x val="-1.5933926737418693E-2"/>
                  <c:y val="-2.04201270151441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52-4DEA-8EE4-C9407E695764}"/>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838</c:v>
                </c:pt>
                <c:pt idx="1">
                  <c:v>8789</c:v>
                </c:pt>
                <c:pt idx="2">
                  <c:v>6749</c:v>
                </c:pt>
                <c:pt idx="3">
                  <c:v>2644</c:v>
                </c:pt>
                <c:pt idx="4">
                  <c:v>1646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9852-4DEA-8EE4-C9407E695764}"/>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7352548559286449"/>
          <c:y val="5.604857543204110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598013931610019"/>
          <c:y val="0.27100589539805892"/>
          <c:w val="0.45334161575831322"/>
          <c:h val="0.51481425634500022"/>
        </c:manualLayout>
      </c:layout>
      <c:pie3DChart>
        <c:varyColors val="1"/>
        <c:ser>
          <c:idx val="0"/>
          <c:order val="0"/>
          <c:explosion val="10"/>
          <c:dPt>
            <c:idx val="0"/>
            <c:bubble3D val="0"/>
            <c:extLst>
              <c:ext xmlns:c16="http://schemas.microsoft.com/office/drawing/2014/chart" uri="{C3380CC4-5D6E-409C-BE32-E72D297353CC}">
                <c16:uniqueId val="{00000000-DD36-46CB-9CA6-423D982F01DD}"/>
              </c:ext>
            </c:extLst>
          </c:dPt>
          <c:dPt>
            <c:idx val="1"/>
            <c:bubble3D val="0"/>
            <c:extLst>
              <c:ext xmlns:c16="http://schemas.microsoft.com/office/drawing/2014/chart" uri="{C3380CC4-5D6E-409C-BE32-E72D297353CC}">
                <c16:uniqueId val="{00000001-DD36-46CB-9CA6-423D982F01DD}"/>
              </c:ext>
            </c:extLst>
          </c:dPt>
          <c:dPt>
            <c:idx val="2"/>
            <c:bubble3D val="0"/>
            <c:extLst>
              <c:ext xmlns:c16="http://schemas.microsoft.com/office/drawing/2014/chart" uri="{C3380CC4-5D6E-409C-BE32-E72D297353CC}">
                <c16:uniqueId val="{00000002-DD36-46CB-9CA6-423D982F01DD}"/>
              </c:ext>
            </c:extLst>
          </c:dPt>
          <c:dPt>
            <c:idx val="3"/>
            <c:bubble3D val="0"/>
            <c:extLst>
              <c:ext xmlns:c16="http://schemas.microsoft.com/office/drawing/2014/chart" uri="{C3380CC4-5D6E-409C-BE32-E72D297353CC}">
                <c16:uniqueId val="{00000003-DD36-46CB-9CA6-423D982F01DD}"/>
              </c:ext>
            </c:extLst>
          </c:dPt>
          <c:dLbls>
            <c:dLbl>
              <c:idx val="0"/>
              <c:layout>
                <c:manualLayout>
                  <c:x val="-4.9981921465475143E-2"/>
                  <c:y val="6.79015251538209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D36-46CB-9CA6-423D982F01DD}"/>
                </c:ext>
              </c:extLst>
            </c:dLbl>
            <c:dLbl>
              <c:idx val="1"/>
              <c:layout>
                <c:manualLayout>
                  <c:x val="-0.14557778482259912"/>
                  <c:y val="-0.13217791377198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36-46CB-9CA6-423D982F01DD}"/>
                </c:ext>
              </c:extLst>
            </c:dLbl>
            <c:dLbl>
              <c:idx val="2"/>
              <c:layout>
                <c:manualLayout>
                  <c:x val="0.1380158165757028"/>
                  <c:y val="-9.90415840710243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D36-46CB-9CA6-423D982F01DD}"/>
                </c:ext>
              </c:extLst>
            </c:dLbl>
            <c:dLbl>
              <c:idx val="3"/>
              <c:layout>
                <c:manualLayout>
                  <c:x val="4.9831466931704226E-2"/>
                  <c:y val="6.65161249986208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36-46CB-9CA6-423D982F01DD}"/>
                </c:ext>
              </c:extLst>
            </c:dLbl>
            <c:numFmt formatCode="0.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29</c:v>
                </c:pt>
                <c:pt idx="1">
                  <c:v>102</c:v>
                </c:pt>
                <c:pt idx="2">
                  <c:v>83</c:v>
                </c:pt>
                <c:pt idx="3">
                  <c:v>25</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DD36-46CB-9CA6-423D982F01DD}"/>
            </c:ext>
          </c:extLst>
        </c:ser>
        <c:dLbls>
          <c:showLegendKey val="0"/>
          <c:showVal val="1"/>
          <c:showCatName val="0"/>
          <c:showSerName val="0"/>
          <c:showPercent val="0"/>
          <c:showBubbleSize val="0"/>
          <c:showLeaderLines val="1"/>
        </c:dLbls>
      </c:pie3DChart>
    </c:plotArea>
    <c:legend>
      <c:legendPos val="r"/>
      <c:layout>
        <c:manualLayout>
          <c:xMode val="edge"/>
          <c:yMode val="edge"/>
          <c:x val="0.71424674200817384"/>
          <c:y val="0.17732128999988966"/>
          <c:w val="0.21992083144122762"/>
          <c:h val="0.67282416414435819"/>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429127764159823"/>
          <c:y val="3.6090219866166222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912165764435694"/>
          <c:y val="0.23706156884523016"/>
          <c:w val="0.41241902155226706"/>
          <c:h val="0.63479057064027633"/>
        </c:manualLayout>
      </c:layout>
      <c:pie3DChart>
        <c:varyColors val="1"/>
        <c:ser>
          <c:idx val="0"/>
          <c:order val="0"/>
          <c:explosion val="11"/>
          <c:dPt>
            <c:idx val="5"/>
            <c:bubble3D val="0"/>
            <c:explosion val="7"/>
            <c:extLst>
              <c:ext xmlns:c16="http://schemas.microsoft.com/office/drawing/2014/chart" uri="{C3380CC4-5D6E-409C-BE32-E72D297353CC}">
                <c16:uniqueId val="{00000001-23DF-44C1-9771-28D62A3A5412}"/>
              </c:ext>
            </c:extLst>
          </c:dPt>
          <c:dLbls>
            <c:dLbl>
              <c:idx val="0"/>
              <c:layout>
                <c:manualLayout>
                  <c:x val="-3.199027407566276E-2"/>
                  <c:y val="-5.13190540061574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A4-44DA-B4BF-B0593808D300}"/>
                </c:ext>
              </c:extLst>
            </c:dLbl>
            <c:dLbl>
              <c:idx val="1"/>
              <c:layout>
                <c:manualLayout>
                  <c:x val="5.4626111911108388E-2"/>
                  <c:y val="-4.58027256742951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A4-44DA-B4BF-B0593808D300}"/>
                </c:ext>
              </c:extLst>
            </c:dLbl>
            <c:dLbl>
              <c:idx val="2"/>
              <c:layout>
                <c:manualLayout>
                  <c:x val="-7.949419746656182E-2"/>
                  <c:y val="6.21793579862534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DF-44C1-9771-28D62A3A5412}"/>
                </c:ext>
              </c:extLst>
            </c:dLbl>
            <c:dLbl>
              <c:idx val="3"/>
              <c:layout>
                <c:manualLayout>
                  <c:x val="2.3962947014435694E-2"/>
                  <c:y val="-7.7498877773850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DF-44C1-9771-28D62A3A5412}"/>
                </c:ext>
              </c:extLst>
            </c:dLbl>
            <c:dLbl>
              <c:idx val="4"/>
              <c:layout>
                <c:manualLayout>
                  <c:x val="2.2391498241708115E-2"/>
                  <c:y val="-6.36554753250724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A4-44DA-B4BF-B0593808D300}"/>
                </c:ext>
              </c:extLst>
            </c:dLbl>
            <c:dLbl>
              <c:idx val="5"/>
              <c:layout>
                <c:manualLayout>
                  <c:x val="1.0549410895622483E-2"/>
                  <c:y val="5.82590294042017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DF-44C1-9771-28D62A3A5412}"/>
                </c:ext>
              </c:extLst>
            </c:dLbl>
            <c:dLbl>
              <c:idx val="6"/>
              <c:layout>
                <c:manualLayout>
                  <c:x val="0.16139672716007772"/>
                  <c:y val="-0.13262955987518338"/>
                </c:manualLayout>
              </c:layout>
              <c:numFmt formatCode="0.00%" sourceLinked="0"/>
              <c:spPr/>
              <c:txPr>
                <a:bodyPr/>
                <a:lstStyle/>
                <a:p>
                  <a:pPr>
                    <a:defRPr/>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3DF-44C1-9771-28D62A3A5412}"/>
                </c:ext>
              </c:extLst>
            </c:dLbl>
            <c:dLbl>
              <c:idx val="7"/>
              <c:layout>
                <c:manualLayout>
                  <c:x val="-6.2716212029916493E-2"/>
                  <c:y val="-4.07384756517085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DF-44C1-9771-28D62A3A5412}"/>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Základné vzdelanie</c:v>
                </c:pt>
                <c:pt idx="1">
                  <c:v>Stredné odborné vzdelanie</c:v>
                </c:pt>
                <c:pt idx="2">
                  <c:v>Úplné stredné odborné vzdelanie</c:v>
                </c:pt>
                <c:pt idx="3">
                  <c:v>Úplné stredné všeobecné vzdelanie</c:v>
                </c:pt>
                <c:pt idx="4">
                  <c:v>Vyššie odborné vzdelanie</c:v>
                </c:pt>
                <c:pt idx="5">
                  <c:v>Vysokoškolské vzdelanie prvého stupňa</c:v>
                </c:pt>
                <c:pt idx="6">
                  <c:v>Vysokoškolské vzdelanie druhého stupňa</c:v>
                </c:pt>
                <c:pt idx="7">
                  <c:v>Vysokoškolské vzdelanie tretieho stupňa</c:v>
                </c:pt>
              </c:strCache>
            </c:strRef>
          </c:cat>
          <c:val>
            <c:numRef>
              <c:f>Hárok1!$B$1:$B$8</c:f>
              <c:numCache>
                <c:formatCode>General</c:formatCode>
                <c:ptCount val="8"/>
                <c:pt idx="0">
                  <c:v>2</c:v>
                </c:pt>
                <c:pt idx="1">
                  <c:v>3</c:v>
                </c:pt>
                <c:pt idx="2">
                  <c:v>41</c:v>
                </c:pt>
                <c:pt idx="3">
                  <c:v>17</c:v>
                </c:pt>
                <c:pt idx="4">
                  <c:v>2</c:v>
                </c:pt>
                <c:pt idx="5">
                  <c:v>23</c:v>
                </c:pt>
                <c:pt idx="6">
                  <c:v>143</c:v>
                </c:pt>
                <c:pt idx="7">
                  <c:v>8</c:v>
                </c:pt>
              </c:numCache>
            </c:numRef>
          </c:val>
          <c:extLst>
            <c:ext xmlns:c16="http://schemas.microsoft.com/office/drawing/2014/chart" uri="{C3380CC4-5D6E-409C-BE32-E72D297353CC}">
              <c16:uniqueId val="{00000006-23DF-44C1-9771-28D62A3A5412}"/>
            </c:ext>
          </c:extLst>
        </c:ser>
        <c:dLbls>
          <c:showLegendKey val="0"/>
          <c:showVal val="1"/>
          <c:showCatName val="0"/>
          <c:showSerName val="0"/>
          <c:showPercent val="0"/>
          <c:showBubbleSize val="0"/>
          <c:showLeaderLines val="1"/>
        </c:dLbls>
      </c:pie3DChart>
    </c:plotArea>
    <c:legend>
      <c:legendPos val="r"/>
      <c:layout>
        <c:manualLayout>
          <c:xMode val="edge"/>
          <c:yMode val="edge"/>
          <c:x val="0.72597561817930656"/>
          <c:y val="0.14441001264266365"/>
          <c:w val="0.22478121978173785"/>
          <c:h val="0.8386622512874328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sk-SK" sz="1200" b="1" i="0" baseline="0">
                <a:effectLst/>
              </a:rPr>
              <a:t>Štruktúra </a:t>
            </a:r>
            <a:r>
              <a:rPr lang="sk-SK" sz="1200" b="1" i="0" u="none" strike="noStrike" baseline="0">
                <a:effectLst/>
              </a:rPr>
              <a:t>osôb so ZP, ktorým bola poskytovaná pracovná asistencia </a:t>
            </a:r>
            <a:endParaRPr lang="sk-SK" sz="1200">
              <a:effectLst/>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9659223631528817E-2"/>
          <c:y val="0.37496610690945725"/>
          <c:w val="0.87718948924487883"/>
          <c:h val="0.48692926909254419"/>
        </c:manualLayout>
      </c:layout>
      <c:pie3DChart>
        <c:varyColors val="1"/>
        <c:ser>
          <c:idx val="0"/>
          <c:order val="0"/>
          <c:explosion val="20"/>
          <c:dPt>
            <c:idx val="3"/>
            <c:bubble3D val="0"/>
            <c:explosion val="14"/>
            <c:extLst>
              <c:ext xmlns:c16="http://schemas.microsoft.com/office/drawing/2014/chart" uri="{C3380CC4-5D6E-409C-BE32-E72D297353CC}">
                <c16:uniqueId val="{00000001-D561-4B17-95C4-20F05DC3798B}"/>
              </c:ext>
            </c:extLst>
          </c:dPt>
          <c:dLbls>
            <c:dLbl>
              <c:idx val="0"/>
              <c:layout>
                <c:manualLayout>
                  <c:x val="-2.5358554318641206E-2"/>
                  <c:y val="6.95005832604257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561-4B17-95C4-20F05DC3798B}"/>
                </c:ext>
              </c:extLst>
            </c:dLbl>
            <c:dLbl>
              <c:idx val="1"/>
              <c:layout>
                <c:manualLayout>
                  <c:x val="-3.9437139323101854E-2"/>
                  <c:y val="6.15088218139399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61-4B17-95C4-20F05DC3798B}"/>
                </c:ext>
              </c:extLst>
            </c:dLbl>
            <c:dLbl>
              <c:idx val="2"/>
              <c:layout>
                <c:manualLayout>
                  <c:x val="-0.1299766839489892"/>
                  <c:y val="-0.1628568917077723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561-4B17-95C4-20F05DC3798B}"/>
                </c:ext>
              </c:extLst>
            </c:dLbl>
            <c:dLbl>
              <c:idx val="3"/>
              <c:layout>
                <c:manualLayout>
                  <c:x val="8.350525149873507E-2"/>
                  <c:y val="4.16947360746573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61-4B17-95C4-20F05DC3798B}"/>
                </c:ext>
              </c:extLst>
            </c:dLbl>
            <c:spPr>
              <a:noFill/>
              <a:ln>
                <a:noFill/>
              </a:ln>
              <a:effectLst/>
            </c:spPr>
            <c:txPr>
              <a:bodyPr wrap="square" lIns="38100" tIns="19050" rIns="38100" bIns="19050" anchor="ctr">
                <a:spAutoFit/>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Hárok2!$A$38:$A$41</c:f>
              <c:strCache>
                <c:ptCount val="4"/>
                <c:pt idx="0">
                  <c:v>do 24 r. </c:v>
                </c:pt>
                <c:pt idx="1">
                  <c:v>25 - 29 r. </c:v>
                </c:pt>
                <c:pt idx="2">
                  <c:v>30 - 49 r.</c:v>
                </c:pt>
                <c:pt idx="3">
                  <c:v>50 a viac r. </c:v>
                </c:pt>
              </c:strCache>
            </c:strRef>
          </c:cat>
          <c:val>
            <c:numRef>
              <c:f>Hárok2!$B$38:$B$41</c:f>
              <c:numCache>
                <c:formatCode>General</c:formatCode>
                <c:ptCount val="4"/>
                <c:pt idx="0">
                  <c:v>77</c:v>
                </c:pt>
                <c:pt idx="1">
                  <c:v>127</c:v>
                </c:pt>
                <c:pt idx="2">
                  <c:v>803</c:v>
                </c:pt>
                <c:pt idx="3">
                  <c:v>559</c:v>
                </c:pt>
              </c:numCache>
            </c:numRef>
          </c:val>
          <c:extLst>
            <c:ext xmlns:c16="http://schemas.microsoft.com/office/drawing/2014/chart" uri="{C3380CC4-5D6E-409C-BE32-E72D297353CC}">
              <c16:uniqueId val="{00000000-CAA0-4BDA-9DF8-9B3064C36C37}"/>
            </c:ext>
          </c:extLst>
        </c:ser>
        <c:dLbls>
          <c:showLegendKey val="0"/>
          <c:showVal val="0"/>
          <c:showCatName val="0"/>
          <c:showSerName val="0"/>
          <c:showPercent val="1"/>
          <c:showBubbleSize val="0"/>
          <c:showLeaderLines val="1"/>
        </c:dLbls>
      </c:pie3DChart>
    </c:plotArea>
    <c:legend>
      <c:legendPos val="t"/>
      <c:layout>
        <c:manualLayout>
          <c:xMode val="edge"/>
          <c:yMode val="edge"/>
          <c:x val="0.24025824358162126"/>
          <c:y val="0.16595105195362816"/>
          <c:w val="0.51948351283675742"/>
          <c:h val="7.7642393240990856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P</a:t>
            </a:r>
            <a:r>
              <a:rPr lang="sk-SK" sz="1200"/>
              <a:t>odporení</a:t>
            </a:r>
            <a:r>
              <a:rPr lang="sk-SK" sz="1200" baseline="0"/>
              <a:t> zamestnávatelia a SZČO so ZP podľa vekovej štruktúry </a:t>
            </a:r>
            <a:endParaRPr lang="en-US" sz="1200"/>
          </a:p>
        </c:rich>
      </c:tx>
      <c:layout>
        <c:manualLayout>
          <c:xMode val="edge"/>
          <c:yMode val="edge"/>
          <c:x val="0.13274258884578871"/>
          <c:y val="6.635731854272933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8883565086279108"/>
          <c:y val="0.26844555321673902"/>
          <c:w val="0.42525217899317413"/>
          <c:h val="0.49434370208674416"/>
        </c:manualLayout>
      </c:layout>
      <c:pie3DChart>
        <c:varyColors val="1"/>
        <c:ser>
          <c:idx val="0"/>
          <c:order val="0"/>
          <c:tx>
            <c:strRef>
              <c:f>Hárok1!$B$1</c:f>
              <c:strCache>
                <c:ptCount val="1"/>
                <c:pt idx="0">
                  <c:v>Predaj</c:v>
                </c:pt>
              </c:strCache>
            </c:strRef>
          </c:tx>
          <c:explosion val="1"/>
          <c:dPt>
            <c:idx val="0"/>
            <c:bubble3D val="0"/>
            <c:extLst>
              <c:ext xmlns:c16="http://schemas.microsoft.com/office/drawing/2014/chart" uri="{C3380CC4-5D6E-409C-BE32-E72D297353CC}">
                <c16:uniqueId val="{00000000-0F0D-4901-B6EC-2B8EB008CA53}"/>
              </c:ext>
            </c:extLst>
          </c:dPt>
          <c:dPt>
            <c:idx val="1"/>
            <c:bubble3D val="0"/>
            <c:extLst>
              <c:ext xmlns:c16="http://schemas.microsoft.com/office/drawing/2014/chart" uri="{C3380CC4-5D6E-409C-BE32-E72D297353CC}">
                <c16:uniqueId val="{00000001-0F0D-4901-B6EC-2B8EB008CA53}"/>
              </c:ext>
            </c:extLst>
          </c:dPt>
          <c:dPt>
            <c:idx val="2"/>
            <c:bubble3D val="0"/>
            <c:explosion val="4"/>
            <c:extLst>
              <c:ext xmlns:c16="http://schemas.microsoft.com/office/drawing/2014/chart" uri="{C3380CC4-5D6E-409C-BE32-E72D297353CC}">
                <c16:uniqueId val="{00000003-0F0D-4901-B6EC-2B8EB008CA53}"/>
              </c:ext>
            </c:extLst>
          </c:dPt>
          <c:dPt>
            <c:idx val="3"/>
            <c:bubble3D val="0"/>
            <c:explosion val="3"/>
            <c:extLst>
              <c:ext xmlns:c16="http://schemas.microsoft.com/office/drawing/2014/chart" uri="{C3380CC4-5D6E-409C-BE32-E72D297353CC}">
                <c16:uniqueId val="{00000005-0F0D-4901-B6EC-2B8EB008CA53}"/>
              </c:ext>
            </c:extLst>
          </c:dPt>
          <c:dPt>
            <c:idx val="4"/>
            <c:bubble3D val="0"/>
            <c:extLst>
              <c:ext xmlns:c16="http://schemas.microsoft.com/office/drawing/2014/chart" uri="{C3380CC4-5D6E-409C-BE32-E72D297353CC}">
                <c16:uniqueId val="{00000006-0F0D-4901-B6EC-2B8EB008CA53}"/>
              </c:ext>
            </c:extLst>
          </c:dPt>
          <c:dLbls>
            <c:dLbl>
              <c:idx val="0"/>
              <c:layout>
                <c:manualLayout>
                  <c:x val="-9.1458445576861877E-2"/>
                  <c:y val="3.5505353397843943E-3"/>
                </c:manualLayout>
              </c:layout>
              <c:tx>
                <c:rich>
                  <a:bodyPr/>
                  <a:lstStyle/>
                  <a:p>
                    <a:r>
                      <a:rPr lang="en-US"/>
                      <a:t>0,99%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0D-4901-B6EC-2B8EB008CA53}"/>
                </c:ext>
              </c:extLst>
            </c:dLbl>
            <c:dLbl>
              <c:idx val="1"/>
              <c:layout>
                <c:manualLayout>
                  <c:x val="4.7469887952595408E-2"/>
                  <c:y val="-2.9738869247313273E-3"/>
                </c:manualLayout>
              </c:layout>
              <c:tx>
                <c:rich>
                  <a:bodyPr/>
                  <a:lstStyle/>
                  <a:p>
                    <a:r>
                      <a:rPr lang="en-US"/>
                      <a:t>2,71 %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0D-4901-B6EC-2B8EB008CA53}"/>
                </c:ext>
              </c:extLst>
            </c:dLbl>
            <c:dLbl>
              <c:idx val="2"/>
              <c:layout>
                <c:manualLayout>
                  <c:x val="-0.1556380825531137"/>
                  <c:y val="3.3204518377182371E-2"/>
                </c:manualLayout>
              </c:layout>
              <c:tx>
                <c:rich>
                  <a:bodyPr/>
                  <a:lstStyle/>
                  <a:p>
                    <a:r>
                      <a:rPr lang="en-US"/>
                      <a:t>38,93 %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0D-4901-B6EC-2B8EB008CA53}"/>
                </c:ext>
              </c:extLst>
            </c:dLbl>
            <c:dLbl>
              <c:idx val="3"/>
              <c:layout>
                <c:manualLayout>
                  <c:x val="0.16428060920245666"/>
                  <c:y val="-7.3782841991167566E-2"/>
                </c:manualLayout>
              </c:layout>
              <c:tx>
                <c:rich>
                  <a:bodyPr/>
                  <a:lstStyle/>
                  <a:p>
                    <a:r>
                      <a:rPr lang="en-US"/>
                      <a:t>57,37 %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0D-4901-B6EC-2B8EB008CA53}"/>
                </c:ext>
              </c:extLst>
            </c:dLbl>
            <c:dLbl>
              <c:idx val="4"/>
              <c:layout>
                <c:manualLayout>
                  <c:x val="0.11850027526825126"/>
                  <c:y val="7.6623404204484852E-2"/>
                </c:manualLayout>
              </c:layout>
              <c:tx>
                <c:rich>
                  <a:bodyPr/>
                  <a:lstStyle/>
                  <a:p>
                    <a:r>
                      <a:rPr lang="en-US"/>
                      <a:t>25,35</a:t>
                    </a:r>
                    <a:r>
                      <a:rPr lang="sk-SK"/>
                      <a:t> </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0D-4901-B6EC-2B8EB008CA53}"/>
                </c:ext>
              </c:extLst>
            </c:dLbl>
            <c:spPr>
              <a:noFill/>
              <a:ln>
                <a:noFill/>
              </a:ln>
              <a:effectLst/>
            </c:spPr>
            <c:txPr>
              <a:bodyPr wrap="square" lIns="38100" tIns="19050" rIns="38100" bIns="19050" anchor="ctr">
                <a:spAutoFit/>
              </a:bodyPr>
              <a:lstStyle/>
              <a:p>
                <a:pPr>
                  <a:defRPr sz="1000"/>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Hárok1!$A$2:$A$5</c:f>
              <c:strCache>
                <c:ptCount val="4"/>
                <c:pt idx="0">
                  <c:v>vek do 24 rokov</c:v>
                </c:pt>
                <c:pt idx="1">
                  <c:v>vek od 25 do 29 rokov </c:v>
                </c:pt>
                <c:pt idx="2">
                  <c:v>vek od 30 do 49 rokov </c:v>
                </c:pt>
                <c:pt idx="3">
                  <c:v>vek nad 50 rokov</c:v>
                </c:pt>
              </c:strCache>
            </c:strRef>
          </c:cat>
          <c:val>
            <c:numRef>
              <c:f>Hárok1!$B$2:$B$5</c:f>
              <c:numCache>
                <c:formatCode>0.00%</c:formatCode>
                <c:ptCount val="4"/>
                <c:pt idx="0">
                  <c:v>9.9000000000000008E-3</c:v>
                </c:pt>
                <c:pt idx="1">
                  <c:v>2.7099999999999999E-2</c:v>
                </c:pt>
                <c:pt idx="2">
                  <c:v>0.38929999999999998</c:v>
                </c:pt>
                <c:pt idx="3">
                  <c:v>0.57369999999999999</c:v>
                </c:pt>
              </c:numCache>
            </c:numRef>
          </c:val>
          <c:extLst>
            <c:ext xmlns:c16="http://schemas.microsoft.com/office/drawing/2014/chart" uri="{C3380CC4-5D6E-409C-BE32-E72D297353CC}">
              <c16:uniqueId val="{00000007-0F0D-4901-B6EC-2B8EB008CA53}"/>
            </c:ext>
          </c:extLst>
        </c:ser>
        <c:dLbls>
          <c:showLegendKey val="0"/>
          <c:showVal val="0"/>
          <c:showCatName val="0"/>
          <c:showSerName val="0"/>
          <c:showPercent val="0"/>
          <c:showBubbleSize val="0"/>
          <c:showLeaderLines val="1"/>
        </c:dLbls>
      </c:pie3DChart>
    </c:plotArea>
    <c:legend>
      <c:legendPos val="r"/>
      <c:layout>
        <c:manualLayout>
          <c:xMode val="edge"/>
          <c:yMode val="edge"/>
          <c:x val="0.7072166879303754"/>
          <c:y val="0.20654597133887947"/>
          <c:w val="0.25419138831177501"/>
          <c:h val="0.63596320084562818"/>
        </c:manualLayout>
      </c:layout>
      <c:overlay val="0"/>
      <c:txPr>
        <a:bodyPr/>
        <a:lstStyle/>
        <a:p>
          <a:pPr>
            <a:defRPr sz="1000"/>
          </a:pPr>
          <a:endParaRPr lang="sk-SK"/>
        </a:p>
      </c:txPr>
    </c:legend>
    <c:plotVisOnly val="1"/>
    <c:dispBlanksAs val="zero"/>
    <c:showDLblsOverMax val="0"/>
  </c:chart>
  <c:spPr>
    <a:gradFill flip="none" rotWithShape="1">
      <a:gsLst>
        <a:gs pos="0">
          <a:srgbClr val="5E9EFF"/>
        </a:gs>
        <a:gs pos="39999">
          <a:srgbClr val="85C2FF"/>
        </a:gs>
        <a:gs pos="70000">
          <a:srgbClr val="C4D6EB"/>
        </a:gs>
        <a:gs pos="100000">
          <a:srgbClr val="FFEBFA"/>
        </a:gs>
      </a:gsLst>
      <a:lin ang="2700000" scaled="0"/>
      <a:tileRect/>
    </a:grad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800">
                <a:latin typeface="Calibri" panose="020F0502020204030204" pitchFamily="34" charset="0"/>
              </a:defRPr>
            </a:pPr>
            <a:r>
              <a:rPr lang="sk-SK" sz="1100" b="1" i="0" baseline="0">
                <a:effectLst/>
                <a:latin typeface="Calibri" panose="020F0502020204030204" pitchFamily="34" charset="0"/>
                <a:cs typeface="Times New Roman" pitchFamily="18" charset="0"/>
              </a:rPr>
              <a:t>Počet klientov </a:t>
            </a:r>
            <a:r>
              <a:rPr lang="sk-SK" sz="1100" b="1" i="0" u="none" strike="noStrike" baseline="0">
                <a:effectLst/>
              </a:rPr>
              <a:t>zaradených </a:t>
            </a:r>
            <a:r>
              <a:rPr lang="sk-SK" sz="1100" b="1" i="0" baseline="0">
                <a:effectLst/>
                <a:latin typeface="Calibri" panose="020F0502020204030204" pitchFamily="34" charset="0"/>
                <a:cs typeface="Times New Roman" pitchFamily="18" charset="0"/>
              </a:rPr>
              <a:t>na § 19b podľa druhu znevýhodnenia</a:t>
            </a:r>
            <a:endParaRPr lang="sk-SK" sz="1100">
              <a:effectLst/>
              <a:latin typeface="Calibri" panose="020F0502020204030204" pitchFamily="34" charset="0"/>
              <a:cs typeface="Times New Roman" pitchFamily="18" charset="0"/>
            </a:endParaRPr>
          </a:p>
        </c:rich>
      </c:tx>
      <c:layout>
        <c:manualLayout>
          <c:xMode val="edge"/>
          <c:yMode val="edge"/>
          <c:x val="0.17343474426807759"/>
          <c:y val="5.030871255431054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3.3324133094474302E-2"/>
          <c:y val="0.17935753214472516"/>
          <c:w val="0.55066745129081085"/>
          <c:h val="0.69488133670226804"/>
        </c:manualLayout>
      </c:layout>
      <c:pie3DChart>
        <c:varyColors val="1"/>
        <c:ser>
          <c:idx val="0"/>
          <c:order val="0"/>
          <c:explosion val="25"/>
          <c:dPt>
            <c:idx val="0"/>
            <c:bubble3D val="0"/>
            <c:explosion val="12"/>
            <c:extLst>
              <c:ext xmlns:c16="http://schemas.microsoft.com/office/drawing/2014/chart" uri="{C3380CC4-5D6E-409C-BE32-E72D297353CC}">
                <c16:uniqueId val="{00000001-D380-47FB-9B77-2BFD4C867F0A}"/>
              </c:ext>
            </c:extLst>
          </c:dPt>
          <c:dPt>
            <c:idx val="1"/>
            <c:bubble3D val="0"/>
            <c:explosion val="11"/>
            <c:extLst>
              <c:ext xmlns:c16="http://schemas.microsoft.com/office/drawing/2014/chart" uri="{C3380CC4-5D6E-409C-BE32-E72D297353CC}">
                <c16:uniqueId val="{00000003-D380-47FB-9B77-2BFD4C867F0A}"/>
              </c:ext>
            </c:extLst>
          </c:dPt>
          <c:dPt>
            <c:idx val="2"/>
            <c:bubble3D val="0"/>
            <c:explosion val="9"/>
            <c:extLst>
              <c:ext xmlns:c16="http://schemas.microsoft.com/office/drawing/2014/chart" uri="{C3380CC4-5D6E-409C-BE32-E72D297353CC}">
                <c16:uniqueId val="{00000005-D380-47FB-9B77-2BFD4C867F0A}"/>
              </c:ext>
            </c:extLst>
          </c:dPt>
          <c:dLbls>
            <c:dLbl>
              <c:idx val="0"/>
              <c:layout>
                <c:manualLayout>
                  <c:x val="-4.7799059839742294E-2"/>
                  <c:y val="9.05108866208099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80-47FB-9B77-2BFD4C867F0A}"/>
                </c:ext>
              </c:extLst>
            </c:dLbl>
            <c:dLbl>
              <c:idx val="1"/>
              <c:layout>
                <c:manualLayout>
                  <c:x val="9.7677200072213158E-2"/>
                  <c:y val="-0.219785064494873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80-47FB-9B77-2BFD4C867F0A}"/>
                </c:ext>
              </c:extLst>
            </c:dLbl>
            <c:dLbl>
              <c:idx val="2"/>
              <c:layout>
                <c:manualLayout>
                  <c:x val="-2.1123574830923912E-2"/>
                  <c:y val="3.87237868595744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80-47FB-9B77-2BFD4C867F0A}"/>
                </c:ext>
              </c:extLst>
            </c:dLbl>
            <c:spPr>
              <a:noFill/>
              <a:ln>
                <a:noFill/>
              </a:ln>
              <a:effectLst/>
            </c:spPr>
            <c:txPr>
              <a:bodyPr wrap="square" lIns="38100" tIns="19050" rIns="38100" bIns="19050" anchor="ctr">
                <a:spAutoFit/>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Hárok2!$A$1:$A$4</c:f>
              <c:strCache>
                <c:ptCount val="3"/>
                <c:pt idx="0">
                  <c:v>Počet znevýhodnených osôb podľa § 2 ods. 5 písm. a) zákona o sociálnej ekonomike </c:v>
                </c:pt>
                <c:pt idx="1">
                  <c:v>Počet znevýhodnených osôb podľa § 2 ods. 5 písm. b) zákona o sociálnej ekonomike </c:v>
                </c:pt>
                <c:pt idx="2">
                  <c:v>Počet zraniteľných osôb podľa § 2 ods. 6 zákona o sociálnej ekonomike </c:v>
                </c:pt>
              </c:strCache>
            </c:strRef>
          </c:cat>
          <c:val>
            <c:numRef>
              <c:f>Hárok2!$B$1:$B$4</c:f>
              <c:numCache>
                <c:formatCode>General</c:formatCode>
                <c:ptCount val="4"/>
                <c:pt idx="0">
                  <c:v>845</c:v>
                </c:pt>
                <c:pt idx="1">
                  <c:v>4944</c:v>
                </c:pt>
                <c:pt idx="2">
                  <c:v>37</c:v>
                </c:pt>
              </c:numCache>
            </c:numRef>
          </c:val>
          <c:extLst>
            <c:ext xmlns:c16="http://schemas.microsoft.com/office/drawing/2014/chart" uri="{C3380CC4-5D6E-409C-BE32-E72D297353CC}">
              <c16:uniqueId val="{00000006-D380-47FB-9B77-2BFD4C867F0A}"/>
            </c:ext>
          </c:extLst>
        </c:ser>
        <c:dLbls>
          <c:showLegendKey val="0"/>
          <c:showVal val="0"/>
          <c:showCatName val="0"/>
          <c:showSerName val="0"/>
          <c:showPercent val="1"/>
          <c:showBubbleSize val="0"/>
          <c:showLeaderLines val="1"/>
        </c:dLbls>
      </c:pie3DChart>
    </c:plotArea>
    <c:legend>
      <c:legendPos val="r"/>
      <c:legendEntry>
        <c:idx val="3"/>
        <c:delete val="1"/>
      </c:legendEntry>
      <c:layout>
        <c:manualLayout>
          <c:xMode val="edge"/>
          <c:yMode val="edge"/>
          <c:x val="0.59648047466288934"/>
          <c:y val="0.23803103781202545"/>
          <c:w val="0.33742716807701945"/>
          <c:h val="0.66532004089494834"/>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5376401490374734"/>
          <c:y val="9.387008599063238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92225917055773"/>
          <c:y val="0.27433480740908917"/>
          <c:w val="0.43735005771980912"/>
          <c:h val="0.57133327841547232"/>
        </c:manualLayout>
      </c:layout>
      <c:pie3DChart>
        <c:varyColors val="1"/>
        <c:ser>
          <c:idx val="0"/>
          <c:order val="0"/>
          <c:explosion val="25"/>
          <c:dPt>
            <c:idx val="0"/>
            <c:bubble3D val="0"/>
            <c:explosion val="7"/>
            <c:extLst>
              <c:ext xmlns:c16="http://schemas.microsoft.com/office/drawing/2014/chart" uri="{C3380CC4-5D6E-409C-BE32-E72D297353CC}">
                <c16:uniqueId val="{00000001-67BA-4FB9-BB06-88CE37D080C0}"/>
              </c:ext>
            </c:extLst>
          </c:dPt>
          <c:dPt>
            <c:idx val="1"/>
            <c:bubble3D val="0"/>
            <c:explosion val="8"/>
            <c:extLst>
              <c:ext xmlns:c16="http://schemas.microsoft.com/office/drawing/2014/chart" uri="{C3380CC4-5D6E-409C-BE32-E72D297353CC}">
                <c16:uniqueId val="{00000003-67BA-4FB9-BB06-88CE37D080C0}"/>
              </c:ext>
            </c:extLst>
          </c:dPt>
          <c:dPt>
            <c:idx val="2"/>
            <c:bubble3D val="0"/>
            <c:explosion val="13"/>
            <c:extLst>
              <c:ext xmlns:c16="http://schemas.microsoft.com/office/drawing/2014/chart" uri="{C3380CC4-5D6E-409C-BE32-E72D297353CC}">
                <c16:uniqueId val="{00000005-67BA-4FB9-BB06-88CE37D080C0}"/>
              </c:ext>
            </c:extLst>
          </c:dPt>
          <c:dPt>
            <c:idx val="3"/>
            <c:bubble3D val="0"/>
            <c:explosion val="5"/>
            <c:extLst>
              <c:ext xmlns:c16="http://schemas.microsoft.com/office/drawing/2014/chart" uri="{C3380CC4-5D6E-409C-BE32-E72D297353CC}">
                <c16:uniqueId val="{00000007-67BA-4FB9-BB06-88CE37D080C0}"/>
              </c:ext>
            </c:extLst>
          </c:dPt>
          <c:dLbls>
            <c:dLbl>
              <c:idx val="0"/>
              <c:layout>
                <c:manualLayout>
                  <c:x val="-7.6129187414878674E-2"/>
                  <c:y val="-1.75392613216165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BA-4FB9-BB06-88CE37D080C0}"/>
                </c:ext>
              </c:extLst>
            </c:dLbl>
            <c:dLbl>
              <c:idx val="1"/>
              <c:layout>
                <c:manualLayout>
                  <c:x val="1.0552784389441842E-2"/>
                  <c:y val="-1.37824277490175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BA-4FB9-BB06-88CE37D080C0}"/>
                </c:ext>
              </c:extLst>
            </c:dLbl>
            <c:dLbl>
              <c:idx val="2"/>
              <c:layout>
                <c:manualLayout>
                  <c:x val="-0.14599682971794828"/>
                  <c:y val="-0.167119986040526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BA-4FB9-BB06-88CE37D080C0}"/>
                </c:ext>
              </c:extLst>
            </c:dLbl>
            <c:dLbl>
              <c:idx val="3"/>
              <c:layout>
                <c:manualLayout>
                  <c:x val="0.10891981944258484"/>
                  <c:y val="5.38264381316976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BA-4FB9-BB06-88CE37D080C0}"/>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3</c:v>
                </c:pt>
                <c:pt idx="1">
                  <c:v>1</c:v>
                </c:pt>
                <c:pt idx="2">
                  <c:v>35</c:v>
                </c:pt>
                <c:pt idx="3">
                  <c:v>17</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67BA-4FB9-BB06-88CE37D080C0}"/>
            </c:ext>
          </c:extLst>
        </c:ser>
        <c:dLbls>
          <c:showLegendKey val="0"/>
          <c:showVal val="1"/>
          <c:showCatName val="0"/>
          <c:showSerName val="0"/>
          <c:showPercent val="0"/>
          <c:showBubbleSize val="0"/>
          <c:showLeaderLines val="1"/>
        </c:dLbls>
      </c:pie3DChart>
    </c:plotArea>
    <c:legend>
      <c:legendPos val="r"/>
      <c:layout>
        <c:manualLayout>
          <c:xMode val="edge"/>
          <c:yMode val="edge"/>
          <c:x val="0.74124788609156966"/>
          <c:y val="0.20476302666891052"/>
          <c:w val="0.21584252309628849"/>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                          Veková štruktúra UoZ pred zaradením do projektu</a:t>
            </a:r>
          </a:p>
        </c:rich>
      </c:tx>
      <c:layout>
        <c:manualLayout>
          <c:xMode val="edge"/>
          <c:yMode val="edge"/>
          <c:x val="7.9860703686548989E-2"/>
          <c:y val="8.2782374273382531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9539756059904273"/>
          <c:y val="0.29746021747281592"/>
          <c:w val="0.46294031873466795"/>
          <c:h val="0.53133106468186775"/>
        </c:manualLayout>
      </c:layout>
      <c:pie3DChart>
        <c:varyColors val="1"/>
        <c:ser>
          <c:idx val="0"/>
          <c:order val="0"/>
          <c:explosion val="4"/>
          <c:dPt>
            <c:idx val="0"/>
            <c:bubble3D val="0"/>
            <c:extLst>
              <c:ext xmlns:c16="http://schemas.microsoft.com/office/drawing/2014/chart" uri="{C3380CC4-5D6E-409C-BE32-E72D297353CC}">
                <c16:uniqueId val="{00000000-F81D-44C9-B223-1AB7BC6C7CB4}"/>
              </c:ext>
            </c:extLst>
          </c:dPt>
          <c:dPt>
            <c:idx val="1"/>
            <c:bubble3D val="0"/>
            <c:extLst>
              <c:ext xmlns:c16="http://schemas.microsoft.com/office/drawing/2014/chart" uri="{C3380CC4-5D6E-409C-BE32-E72D297353CC}">
                <c16:uniqueId val="{00000001-F81D-44C9-B223-1AB7BC6C7CB4}"/>
              </c:ext>
            </c:extLst>
          </c:dPt>
          <c:dPt>
            <c:idx val="2"/>
            <c:bubble3D val="0"/>
            <c:extLst>
              <c:ext xmlns:c16="http://schemas.microsoft.com/office/drawing/2014/chart" uri="{C3380CC4-5D6E-409C-BE32-E72D297353CC}">
                <c16:uniqueId val="{00000002-F81D-44C9-B223-1AB7BC6C7CB4}"/>
              </c:ext>
            </c:extLst>
          </c:dPt>
          <c:dPt>
            <c:idx val="3"/>
            <c:bubble3D val="0"/>
            <c:extLst>
              <c:ext xmlns:c16="http://schemas.microsoft.com/office/drawing/2014/chart" uri="{C3380CC4-5D6E-409C-BE32-E72D297353CC}">
                <c16:uniqueId val="{00000003-F81D-44C9-B223-1AB7BC6C7CB4}"/>
              </c:ext>
            </c:extLst>
          </c:dPt>
          <c:dLbls>
            <c:dLbl>
              <c:idx val="0"/>
              <c:layout>
                <c:manualLayout>
                  <c:x val="-0.14351157085756444"/>
                  <c:y val="-0.1762453035119519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81D-44C9-B223-1AB7BC6C7CB4}"/>
                </c:ext>
              </c:extLst>
            </c:dLbl>
            <c:dLbl>
              <c:idx val="1"/>
              <c:layout>
                <c:manualLayout>
                  <c:x val="0.12401591957868012"/>
                  <c:y val="8.93567957436580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1D-44C9-B223-1AB7BC6C7CB4}"/>
                </c:ext>
              </c:extLst>
            </c:dLbl>
            <c:dLbl>
              <c:idx val="3"/>
              <c:layout>
                <c:manualLayout>
                  <c:x val="7.1368839311752655E-2"/>
                  <c:y val="0.10039396238260916"/>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1D-44C9-B223-1AB7BC6C7CB4}"/>
                </c:ext>
              </c:extLst>
            </c:dLbl>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0"/>
            <c:extLst>
              <c:ext xmlns:c15="http://schemas.microsoft.com/office/drawing/2012/chart" uri="{CE6537A1-D6FC-4f65-9D91-7224C49458BB}"/>
            </c:extLst>
          </c:dLbls>
          <c:cat>
            <c:strRef>
              <c:f>Hárok1!$A$6:$A$7</c:f>
              <c:strCache>
                <c:ptCount val="2"/>
                <c:pt idx="0">
                  <c:v>UoZ do 24 rokov</c:v>
                </c:pt>
                <c:pt idx="1">
                  <c:v>UoZ od 25 do 29 rokov</c:v>
                </c:pt>
              </c:strCache>
            </c:strRef>
          </c:cat>
          <c:val>
            <c:numRef>
              <c:f>Hárok1!$B$6:$B$7</c:f>
              <c:numCache>
                <c:formatCode>#,##0</c:formatCode>
                <c:ptCount val="2"/>
                <c:pt idx="0">
                  <c:v>1219</c:v>
                </c:pt>
                <c:pt idx="1">
                  <c:v>497</c:v>
                </c:pt>
              </c:numCache>
            </c:numRef>
          </c:val>
          <c:extLst>
            <c:ext xmlns:c16="http://schemas.microsoft.com/office/drawing/2014/chart" uri="{C3380CC4-5D6E-409C-BE32-E72D297353CC}">
              <c16:uniqueId val="{00000004-F81D-44C9-B223-1AB7BC6C7CB4}"/>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68763745218122252"/>
          <c:y val="0.27977304653290569"/>
          <c:w val="0.22916703120443271"/>
          <c:h val="0.44420775709300847"/>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4081420893699495"/>
          <c:y val="7.776180661981010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024312069436933"/>
          <c:y val="0.27612108450023354"/>
          <c:w val="0.51522783610382039"/>
          <c:h val="0.59100529100529087"/>
        </c:manualLayout>
      </c:layout>
      <c:pie3DChart>
        <c:varyColors val="1"/>
        <c:ser>
          <c:idx val="0"/>
          <c:order val="0"/>
          <c:explosion val="12"/>
          <c:dPt>
            <c:idx val="0"/>
            <c:bubble3D val="0"/>
            <c:explosion val="2"/>
            <c:extLst>
              <c:ext xmlns:c16="http://schemas.microsoft.com/office/drawing/2014/chart" uri="{C3380CC4-5D6E-409C-BE32-E72D297353CC}">
                <c16:uniqueId val="{00000001-D40F-4F0F-9664-E78665F06AD6}"/>
              </c:ext>
            </c:extLst>
          </c:dPt>
          <c:dPt>
            <c:idx val="1"/>
            <c:bubble3D val="0"/>
            <c:extLst>
              <c:ext xmlns:c16="http://schemas.microsoft.com/office/drawing/2014/chart" uri="{C3380CC4-5D6E-409C-BE32-E72D297353CC}">
                <c16:uniqueId val="{00000002-D40F-4F0F-9664-E78665F06AD6}"/>
              </c:ext>
            </c:extLst>
          </c:dPt>
          <c:dPt>
            <c:idx val="2"/>
            <c:bubble3D val="0"/>
            <c:extLst>
              <c:ext xmlns:c16="http://schemas.microsoft.com/office/drawing/2014/chart" uri="{C3380CC4-5D6E-409C-BE32-E72D297353CC}">
                <c16:uniqueId val="{00000003-D40F-4F0F-9664-E78665F06AD6}"/>
              </c:ext>
            </c:extLst>
          </c:dPt>
          <c:dPt>
            <c:idx val="3"/>
            <c:bubble3D val="0"/>
            <c:extLst>
              <c:ext xmlns:c16="http://schemas.microsoft.com/office/drawing/2014/chart" uri="{C3380CC4-5D6E-409C-BE32-E72D297353CC}">
                <c16:uniqueId val="{00000004-D40F-4F0F-9664-E78665F06AD6}"/>
              </c:ext>
            </c:extLst>
          </c:dPt>
          <c:dPt>
            <c:idx val="4"/>
            <c:bubble3D val="0"/>
            <c:extLst>
              <c:ext xmlns:c16="http://schemas.microsoft.com/office/drawing/2014/chart" uri="{C3380CC4-5D6E-409C-BE32-E72D297353CC}">
                <c16:uniqueId val="{00000005-D40F-4F0F-9664-E78665F06AD6}"/>
              </c:ext>
            </c:extLst>
          </c:dPt>
          <c:dLbls>
            <c:dLbl>
              <c:idx val="0"/>
              <c:layout>
                <c:manualLayout>
                  <c:x val="-0.11073734908999018"/>
                  <c:y val="6.8038952206936676E-2"/>
                </c:manualLayout>
              </c:layout>
              <c:tx>
                <c:rich>
                  <a:bodyPr/>
                  <a:lstStyle/>
                  <a:p>
                    <a:r>
                      <a:rPr lang="en-US" sz="1000"/>
                      <a:t>53,00 %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0F-4F0F-9664-E78665F06AD6}"/>
                </c:ext>
              </c:extLst>
            </c:dLbl>
            <c:dLbl>
              <c:idx val="1"/>
              <c:layout>
                <c:manualLayout>
                  <c:x val="-6.4089606281962044E-2"/>
                  <c:y val="-0.212332082650742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40F-4F0F-9664-E78665F06AD6}"/>
                </c:ext>
              </c:extLst>
            </c:dLbl>
            <c:dLbl>
              <c:idx val="2"/>
              <c:layout>
                <c:manualLayout>
                  <c:x val="0.11591148050299166"/>
                  <c:y val="-0.121719952791136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0F-4F0F-9664-E78665F06AD6}"/>
                </c:ext>
              </c:extLst>
            </c:dLbl>
            <c:dLbl>
              <c:idx val="3"/>
              <c:layout>
                <c:manualLayout>
                  <c:x val="6.6367197034974637E-2"/>
                  <c:y val="5.6057912115824234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40F-4F0F-9664-E78665F06AD6}"/>
                </c:ext>
              </c:extLst>
            </c:dLbl>
            <c:dLbl>
              <c:idx val="4"/>
              <c:layout>
                <c:manualLayout>
                  <c:x val="3.7480970481713116E-2"/>
                  <c:y val="7.57640255905511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0F-4F0F-9664-E78665F06AD6}"/>
                </c:ext>
              </c:extLst>
            </c:dLbl>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521</c:v>
                </c:pt>
                <c:pt idx="1">
                  <c:v>501</c:v>
                </c:pt>
                <c:pt idx="2">
                  <c:v>390</c:v>
                </c:pt>
                <c:pt idx="3">
                  <c:v>189</c:v>
                </c:pt>
                <c:pt idx="4">
                  <c:v>115</c:v>
                </c:pt>
              </c:numCache>
            </c:numRef>
          </c:val>
          <c:extLst>
            <c:ext xmlns:c16="http://schemas.microsoft.com/office/drawing/2014/chart" uri="{C3380CC4-5D6E-409C-BE32-E72D297353CC}">
              <c16:uniqueId val="{00000006-D40F-4F0F-9664-E78665F06AD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340199916679821"/>
          <c:y val="0.22521376103154891"/>
          <c:w val="0.30555610236220476"/>
          <c:h val="0.69845760890626918"/>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dosiahnutého stupňa vzdelania</a:t>
            </a:r>
          </a:p>
        </c:rich>
      </c:tx>
      <c:layout>
        <c:manualLayout>
          <c:xMode val="edge"/>
          <c:yMode val="edge"/>
          <c:x val="6.9326750822813824E-2"/>
          <c:y val="4.439408951063537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2236798245938916E-2"/>
          <c:y val="0.36482756249355291"/>
          <c:w val="0.65556506988837115"/>
          <c:h val="0.53852789143715118"/>
        </c:manualLayout>
      </c:layout>
      <c:pie3DChart>
        <c:varyColors val="1"/>
        <c:ser>
          <c:idx val="0"/>
          <c:order val="0"/>
          <c:explosion val="13"/>
          <c:dPt>
            <c:idx val="0"/>
            <c:bubble3D val="0"/>
            <c:extLst>
              <c:ext xmlns:c16="http://schemas.microsoft.com/office/drawing/2014/chart" uri="{C3380CC4-5D6E-409C-BE32-E72D297353CC}">
                <c16:uniqueId val="{00000000-6977-4A4E-94BB-0A5F3F027978}"/>
              </c:ext>
            </c:extLst>
          </c:dPt>
          <c:dPt>
            <c:idx val="1"/>
            <c:bubble3D val="0"/>
            <c:extLst>
              <c:ext xmlns:c16="http://schemas.microsoft.com/office/drawing/2014/chart" uri="{C3380CC4-5D6E-409C-BE32-E72D297353CC}">
                <c16:uniqueId val="{00000001-6977-4A4E-94BB-0A5F3F027978}"/>
              </c:ext>
            </c:extLst>
          </c:dPt>
          <c:dPt>
            <c:idx val="2"/>
            <c:bubble3D val="0"/>
            <c:extLst>
              <c:ext xmlns:c16="http://schemas.microsoft.com/office/drawing/2014/chart" uri="{C3380CC4-5D6E-409C-BE32-E72D297353CC}">
                <c16:uniqueId val="{00000002-6977-4A4E-94BB-0A5F3F027978}"/>
              </c:ext>
            </c:extLst>
          </c:dPt>
          <c:dPt>
            <c:idx val="3"/>
            <c:bubble3D val="0"/>
            <c:extLst>
              <c:ext xmlns:c16="http://schemas.microsoft.com/office/drawing/2014/chart" uri="{C3380CC4-5D6E-409C-BE32-E72D297353CC}">
                <c16:uniqueId val="{00000003-6977-4A4E-94BB-0A5F3F027978}"/>
              </c:ext>
            </c:extLst>
          </c:dPt>
          <c:dPt>
            <c:idx val="4"/>
            <c:bubble3D val="0"/>
            <c:extLst>
              <c:ext xmlns:c16="http://schemas.microsoft.com/office/drawing/2014/chart" uri="{C3380CC4-5D6E-409C-BE32-E72D297353CC}">
                <c16:uniqueId val="{00000004-6977-4A4E-94BB-0A5F3F027978}"/>
              </c:ext>
            </c:extLst>
          </c:dPt>
          <c:dPt>
            <c:idx val="5"/>
            <c:bubble3D val="0"/>
            <c:extLst>
              <c:ext xmlns:c16="http://schemas.microsoft.com/office/drawing/2014/chart" uri="{C3380CC4-5D6E-409C-BE32-E72D297353CC}">
                <c16:uniqueId val="{00000005-6977-4A4E-94BB-0A5F3F027978}"/>
              </c:ext>
            </c:extLst>
          </c:dPt>
          <c:dPt>
            <c:idx val="6"/>
            <c:bubble3D val="0"/>
            <c:extLst>
              <c:ext xmlns:c16="http://schemas.microsoft.com/office/drawing/2014/chart" uri="{C3380CC4-5D6E-409C-BE32-E72D297353CC}">
                <c16:uniqueId val="{00000006-6977-4A4E-94BB-0A5F3F027978}"/>
              </c:ext>
            </c:extLst>
          </c:dPt>
          <c:dPt>
            <c:idx val="7"/>
            <c:bubble3D val="0"/>
            <c:extLst>
              <c:ext xmlns:c16="http://schemas.microsoft.com/office/drawing/2014/chart" uri="{C3380CC4-5D6E-409C-BE32-E72D297353CC}">
                <c16:uniqueId val="{00000007-6977-4A4E-94BB-0A5F3F027978}"/>
              </c:ext>
            </c:extLst>
          </c:dPt>
          <c:dPt>
            <c:idx val="8"/>
            <c:bubble3D val="0"/>
            <c:extLst>
              <c:ext xmlns:c16="http://schemas.microsoft.com/office/drawing/2014/chart" uri="{C3380CC4-5D6E-409C-BE32-E72D297353CC}">
                <c16:uniqueId val="{00000008-6977-4A4E-94BB-0A5F3F027978}"/>
              </c:ext>
            </c:extLst>
          </c:dPt>
          <c:dPt>
            <c:idx val="9"/>
            <c:bubble3D val="0"/>
            <c:extLst>
              <c:ext xmlns:c16="http://schemas.microsoft.com/office/drawing/2014/chart" uri="{C3380CC4-5D6E-409C-BE32-E72D297353CC}">
                <c16:uniqueId val="{00000009-6977-4A4E-94BB-0A5F3F027978}"/>
              </c:ext>
            </c:extLst>
          </c:dPt>
          <c:dLbls>
            <c:dLbl>
              <c:idx val="0"/>
              <c:layout>
                <c:manualLayout>
                  <c:x val="-4.9948617533919368E-2"/>
                  <c:y val="-3.31057136233957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977-4A4E-94BB-0A5F3F027978}"/>
                </c:ext>
              </c:extLst>
            </c:dLbl>
            <c:dLbl>
              <c:idx val="1"/>
              <c:layout>
                <c:manualLayout>
                  <c:x val="2.04286964129483E-2"/>
                  <c:y val="-3.1993130918356469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77-4A4E-94BB-0A5F3F027978}"/>
                </c:ext>
              </c:extLst>
            </c:dLbl>
            <c:dLbl>
              <c:idx val="2"/>
              <c:layout>
                <c:manualLayout>
                  <c:x val="-6.9599459789748505E-2"/>
                  <c:y val="5.4650378215065076E-2"/>
                </c:manualLayout>
              </c:layout>
              <c:numFmt formatCode="0.00%" sourceLinked="0"/>
              <c:spPr>
                <a:noFill/>
                <a:ln w="25400">
                  <a:noFill/>
                </a:ln>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977-4A4E-94BB-0A5F3F027978}"/>
                </c:ext>
              </c:extLst>
            </c:dLbl>
            <c:dLbl>
              <c:idx val="3"/>
              <c:layout>
                <c:manualLayout>
                  <c:x val="-0.10931706453359996"/>
                  <c:y val="-0.18579681521229885"/>
                </c:manualLayout>
              </c:layout>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77-4A4E-94BB-0A5F3F027978}"/>
                </c:ext>
              </c:extLst>
            </c:dLbl>
            <c:dLbl>
              <c:idx val="4"/>
              <c:layout>
                <c:manualLayout>
                  <c:x val="0.11610572622084214"/>
                  <c:y val="-0.1076809379171584"/>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977-4A4E-94BB-0A5F3F027978}"/>
                </c:ext>
              </c:extLst>
            </c:dLbl>
            <c:dLbl>
              <c:idx val="5"/>
              <c:layout>
                <c:manualLayout>
                  <c:x val="-5.9936952325403969E-3"/>
                  <c:y val="-8.8479484191881456E-3"/>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77-4A4E-94BB-0A5F3F027978}"/>
                </c:ext>
              </c:extLst>
            </c:dLbl>
            <c:dLbl>
              <c:idx val="6"/>
              <c:layout>
                <c:manualLayout>
                  <c:x val="1.435445569303837E-2"/>
                  <c:y val="-4.43732311907730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977-4A4E-94BB-0A5F3F027978}"/>
                </c:ext>
              </c:extLst>
            </c:dLbl>
            <c:dLbl>
              <c:idx val="7"/>
              <c:layout>
                <c:manualLayout>
                  <c:x val="1.2379008179533073E-2"/>
                  <c:y val="-3.53768154561303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77-4A4E-94BB-0A5F3F027978}"/>
                </c:ext>
              </c:extLst>
            </c:dLbl>
            <c:numFmt formatCode="0.00%" sourceLinked="0"/>
            <c:spPr>
              <a:noFill/>
              <a:ln w="25400">
                <a:noFill/>
              </a:ln>
            </c:spPr>
            <c:txPr>
              <a:bodyPr wrap="square" lIns="38100" tIns="19050" rIns="38100" bIns="19050" anchor="ctr">
                <a:spAutoFit/>
              </a:bodyPr>
              <a:lstStyle/>
              <a:p>
                <a:pPr>
                  <a:defRPr sz="10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Hárok1!$A$7:$A$14</c:f>
              <c:strCache>
                <c:ptCount val="8"/>
                <c:pt idx="0">
                  <c:v>základné vzdelanie</c:v>
                </c:pt>
                <c:pt idx="1">
                  <c:v>nižšie stredné odborné vzdelanie</c:v>
                </c:pt>
                <c:pt idx="2">
                  <c:v>stredné odborné vzdelanie</c:v>
                </c:pt>
                <c:pt idx="3">
                  <c:v>úplné stredné odborné vzdelanie</c:v>
                </c:pt>
                <c:pt idx="4">
                  <c:v>úplné stredné všeobecné vzdelanie</c:v>
                </c:pt>
                <c:pt idx="5">
                  <c:v>vyššie odborné vzdelanie</c:v>
                </c:pt>
                <c:pt idx="6">
                  <c:v>vysokoškolské vzdelanie I. stupňa</c:v>
                </c:pt>
                <c:pt idx="7">
                  <c:v>vysokoškolské vzdelanie II. stupňa</c:v>
                </c:pt>
              </c:strCache>
            </c:strRef>
          </c:cat>
          <c:val>
            <c:numRef>
              <c:f>Hárok1!$B$7:$B$14</c:f>
              <c:numCache>
                <c:formatCode>#,##0</c:formatCode>
                <c:ptCount val="8"/>
                <c:pt idx="0" formatCode="General">
                  <c:v>95</c:v>
                </c:pt>
                <c:pt idx="1">
                  <c:v>18</c:v>
                </c:pt>
                <c:pt idx="2">
                  <c:v>153</c:v>
                </c:pt>
                <c:pt idx="3">
                  <c:v>836</c:v>
                </c:pt>
                <c:pt idx="4">
                  <c:v>263</c:v>
                </c:pt>
                <c:pt idx="5">
                  <c:v>10</c:v>
                </c:pt>
                <c:pt idx="6">
                  <c:v>107</c:v>
                </c:pt>
                <c:pt idx="7">
                  <c:v>233</c:v>
                </c:pt>
              </c:numCache>
            </c:numRef>
          </c:val>
          <c:extLst>
            <c:ext xmlns:c16="http://schemas.microsoft.com/office/drawing/2014/chart" uri="{C3380CC4-5D6E-409C-BE32-E72D297353CC}">
              <c16:uniqueId val="{0000000A-6977-4A4E-94BB-0A5F3F02797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036644724964925"/>
          <c:y val="0.15417569448114288"/>
          <c:w val="0.27709834881750894"/>
          <c:h val="0.82148375342305591"/>
        </c:manualLayout>
      </c:layout>
      <c:overlay val="0"/>
      <c:txPr>
        <a:bodyPr/>
        <a:lstStyle/>
        <a:p>
          <a:pPr rtl="0">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0.1327934138980067"/>
          <c:y val="7.160635505668173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576953104222181"/>
          <c:y val="0.35064304461942258"/>
          <c:w val="0.57399543807024134"/>
          <c:h val="0.46760596414809852"/>
        </c:manualLayout>
      </c:layout>
      <c:pie3DChart>
        <c:varyColors val="1"/>
        <c:ser>
          <c:idx val="0"/>
          <c:order val="0"/>
          <c:explosion val="5"/>
          <c:dPt>
            <c:idx val="0"/>
            <c:bubble3D val="0"/>
            <c:extLst>
              <c:ext xmlns:c16="http://schemas.microsoft.com/office/drawing/2014/chart" uri="{C3380CC4-5D6E-409C-BE32-E72D297353CC}">
                <c16:uniqueId val="{00000000-CAE0-4BCD-AE73-6E881AC28F81}"/>
              </c:ext>
            </c:extLst>
          </c:dPt>
          <c:dPt>
            <c:idx val="1"/>
            <c:bubble3D val="0"/>
            <c:extLst>
              <c:ext xmlns:c16="http://schemas.microsoft.com/office/drawing/2014/chart" uri="{C3380CC4-5D6E-409C-BE32-E72D297353CC}">
                <c16:uniqueId val="{00000001-CAE0-4BCD-AE73-6E881AC28F81}"/>
              </c:ext>
            </c:extLst>
          </c:dPt>
          <c:dPt>
            <c:idx val="2"/>
            <c:bubble3D val="0"/>
            <c:explosion val="12"/>
            <c:extLst>
              <c:ext xmlns:c16="http://schemas.microsoft.com/office/drawing/2014/chart" uri="{C3380CC4-5D6E-409C-BE32-E72D297353CC}">
                <c16:uniqueId val="{00000002-CAE0-4BCD-AE73-6E881AC28F81}"/>
              </c:ext>
            </c:extLst>
          </c:dPt>
          <c:dPt>
            <c:idx val="3"/>
            <c:bubble3D val="0"/>
            <c:extLst>
              <c:ext xmlns:c16="http://schemas.microsoft.com/office/drawing/2014/chart" uri="{C3380CC4-5D6E-409C-BE32-E72D297353CC}">
                <c16:uniqueId val="{00000003-CAE0-4BCD-AE73-6E881AC28F81}"/>
              </c:ext>
            </c:extLst>
          </c:dPt>
          <c:dPt>
            <c:idx val="4"/>
            <c:bubble3D val="0"/>
            <c:extLst>
              <c:ext xmlns:c16="http://schemas.microsoft.com/office/drawing/2014/chart" uri="{C3380CC4-5D6E-409C-BE32-E72D297353CC}">
                <c16:uniqueId val="{00000004-CAE0-4BCD-AE73-6E881AC28F81}"/>
              </c:ext>
            </c:extLst>
          </c:dPt>
          <c:dPt>
            <c:idx val="5"/>
            <c:bubble3D val="0"/>
            <c:extLst>
              <c:ext xmlns:c16="http://schemas.microsoft.com/office/drawing/2014/chart" uri="{C3380CC4-5D6E-409C-BE32-E72D297353CC}">
                <c16:uniqueId val="{00000005-CAE0-4BCD-AE73-6E881AC28F81}"/>
              </c:ext>
            </c:extLst>
          </c:dPt>
          <c:dPt>
            <c:idx val="6"/>
            <c:bubble3D val="0"/>
            <c:extLst>
              <c:ext xmlns:c16="http://schemas.microsoft.com/office/drawing/2014/chart" uri="{C3380CC4-5D6E-409C-BE32-E72D297353CC}">
                <c16:uniqueId val="{00000006-CAE0-4BCD-AE73-6E881AC28F81}"/>
              </c:ext>
            </c:extLst>
          </c:dPt>
          <c:dPt>
            <c:idx val="7"/>
            <c:bubble3D val="0"/>
            <c:extLst>
              <c:ext xmlns:c16="http://schemas.microsoft.com/office/drawing/2014/chart" uri="{C3380CC4-5D6E-409C-BE32-E72D297353CC}">
                <c16:uniqueId val="{00000007-CAE0-4BCD-AE73-6E881AC28F81}"/>
              </c:ext>
            </c:extLst>
          </c:dPt>
          <c:dPt>
            <c:idx val="8"/>
            <c:bubble3D val="0"/>
            <c:extLst>
              <c:ext xmlns:c16="http://schemas.microsoft.com/office/drawing/2014/chart" uri="{C3380CC4-5D6E-409C-BE32-E72D297353CC}">
                <c16:uniqueId val="{00000008-CAE0-4BCD-AE73-6E881AC28F81}"/>
              </c:ext>
            </c:extLst>
          </c:dPt>
          <c:dLbls>
            <c:dLbl>
              <c:idx val="0"/>
              <c:layout>
                <c:manualLayout>
                  <c:x val="2.8389352834491243E-2"/>
                  <c:y val="0.12593678449768247"/>
                </c:manualLayout>
              </c:layout>
              <c:tx>
                <c:rich>
                  <a:bodyPr/>
                  <a:lstStyle/>
                  <a:p>
                    <a:pPr>
                      <a:defRPr sz="1000" b="0"/>
                    </a:pPr>
                    <a:r>
                      <a:rPr lang="en-US" sz="1000" b="0"/>
                      <a:t>8,08%</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E0-4BCD-AE73-6E881AC28F81}"/>
                </c:ext>
              </c:extLst>
            </c:dLbl>
            <c:dLbl>
              <c:idx val="1"/>
              <c:layout>
                <c:manualLayout>
                  <c:x val="-0.17808624869810219"/>
                  <c:y val="-3.16281342491763E-2"/>
                </c:manualLayout>
              </c:layout>
              <c:tx>
                <c:rich>
                  <a:bodyPr/>
                  <a:lstStyle/>
                  <a:p>
                    <a:pPr>
                      <a:defRPr sz="1000" b="0"/>
                    </a:pPr>
                    <a:r>
                      <a:rPr lang="en-US" sz="1000" b="0"/>
                      <a:t>9,67%</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E0-4BCD-AE73-6E881AC28F81}"/>
                </c:ext>
              </c:extLst>
            </c:dLbl>
            <c:dLbl>
              <c:idx val="2"/>
              <c:layout>
                <c:manualLayout>
                  <c:x val="6.6283117966105184E-3"/>
                  <c:y val="-0.2027235159434859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E0-4BCD-AE73-6E881AC28F81}"/>
                </c:ext>
              </c:extLst>
            </c:dLbl>
            <c:dLbl>
              <c:idx val="3"/>
              <c:layout>
                <c:manualLayout>
                  <c:x val="0.10651609549024281"/>
                  <c:y val="4.3820293739878259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E0-4BCD-AE73-6E881AC28F81}"/>
                </c:ext>
              </c:extLst>
            </c:dLbl>
            <c:dLbl>
              <c:idx val="4"/>
              <c:layout>
                <c:manualLayout>
                  <c:x val="4.1599305425675574E-2"/>
                  <c:y val="5.8628469313676219E-2"/>
                </c:manualLayout>
              </c:layout>
              <c:numFmt formatCode="0.00%" sourceLinked="0"/>
              <c:spPr/>
              <c:txPr>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E0-4BCD-AE73-6E881AC28F81}"/>
                </c:ext>
              </c:extLst>
            </c:dLbl>
            <c:dLbl>
              <c:idx val="5"/>
              <c:layout>
                <c:manualLayout>
                  <c:x val="9.0358149675734981E-2"/>
                  <c:y val="-7.7654548500586368E-2"/>
                </c:manualLayout>
              </c:layout>
              <c:tx>
                <c:rich>
                  <a:bodyPr/>
                  <a:lstStyle/>
                  <a:p>
                    <a:pPr>
                      <a:defRPr sz="1000" b="0"/>
                    </a:pPr>
                    <a:r>
                      <a:rPr lang="en-US" sz="1000" b="0"/>
                      <a:t>0,82%</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E0-4BCD-AE73-6E881AC28F81}"/>
                </c:ext>
              </c:extLst>
            </c:dLbl>
            <c:dLbl>
              <c:idx val="6"/>
              <c:layout>
                <c:manualLayout>
                  <c:x val="5.6198038714836245E-2"/>
                  <c:y val="7.217138996865903E-2"/>
                </c:manualLayout>
              </c:layout>
              <c:tx>
                <c:rich>
                  <a:bodyPr/>
                  <a:lstStyle/>
                  <a:p>
                    <a:pPr>
                      <a:defRPr sz="1000" b="0"/>
                    </a:pPr>
                    <a:r>
                      <a:rPr lang="en-US" sz="1000" b="0"/>
                      <a:t>7,51 %</a:t>
                    </a:r>
                  </a:p>
                </c:rich>
              </c:tx>
              <c:numFmt formatCode="0.00%" sourceLinked="0"/>
              <c:sp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AE0-4BCD-AE73-6E881AC28F81}"/>
                </c:ext>
              </c:extLst>
            </c:dLbl>
            <c:dLbl>
              <c:idx val="7"/>
              <c:layout>
                <c:manualLayout>
                  <c:x val="-2.9009414745075963E-2"/>
                  <c:y val="-0.13252163348577062"/>
                </c:manualLayout>
              </c:layout>
              <c:tx>
                <c:rich>
                  <a:bodyPr/>
                  <a:lstStyle/>
                  <a:p>
                    <a:pPr>
                      <a:defRPr sz="1000" b="0"/>
                    </a:pPr>
                    <a:r>
                      <a:rPr lang="en-US" sz="1000" b="0"/>
                      <a:t>1,60%</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E0-4BCD-AE73-6E881AC28F81}"/>
                </c:ext>
              </c:extLst>
            </c:dLbl>
            <c:numFmt formatCode="0.00%" sourceLinked="0"/>
            <c:spPr>
              <a:noFill/>
              <a:ln w="25400">
                <a:noFill/>
              </a:ln>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špecialisti</c:v>
                </c:pt>
                <c:pt idx="1">
                  <c:v>technici a odborní pracovníci</c:v>
                </c:pt>
                <c:pt idx="2">
                  <c:v>administratívni pracovníci</c:v>
                </c:pt>
                <c:pt idx="3">
                  <c:v>pracovníci v službách a obchode</c:v>
                </c:pt>
                <c:pt idx="4">
                  <c:v>Iné</c:v>
                </c:pt>
              </c:strCache>
            </c:strRef>
          </c:cat>
          <c:val>
            <c:numRef>
              <c:f>Hárok1!$B$6:$B$10</c:f>
              <c:numCache>
                <c:formatCode>#,##0</c:formatCode>
                <c:ptCount val="5"/>
                <c:pt idx="0">
                  <c:v>202</c:v>
                </c:pt>
                <c:pt idx="1">
                  <c:v>133</c:v>
                </c:pt>
                <c:pt idx="2">
                  <c:v>984</c:v>
                </c:pt>
                <c:pt idx="3">
                  <c:v>205</c:v>
                </c:pt>
                <c:pt idx="4">
                  <c:v>133</c:v>
                </c:pt>
              </c:numCache>
            </c:numRef>
          </c:val>
          <c:extLst>
            <c:ext xmlns:c16="http://schemas.microsoft.com/office/drawing/2014/chart" uri="{C3380CC4-5D6E-409C-BE32-E72D297353CC}">
              <c16:uniqueId val="{00000009-CAE0-4BCD-AE73-6E881AC28F8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205707589013778"/>
          <c:y val="0.2501270452895516"/>
          <c:w val="0.19169873868185305"/>
          <c:h val="0.64348997598704416"/>
        </c:manualLayout>
      </c:layout>
      <c:overlay val="0"/>
      <c:txPr>
        <a:bodyPr/>
        <a:lstStyle/>
        <a:p>
          <a:pPr rtl="0">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Veľkosť podnikov  v rámci projektu</a:t>
            </a:r>
          </a:p>
        </c:rich>
      </c:tx>
      <c:layout>
        <c:manualLayout>
          <c:xMode val="edge"/>
          <c:yMode val="edge"/>
          <c:x val="0.25494244389559467"/>
          <c:y val="8.020170192336950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5405284270636279E-2"/>
          <c:y val="0.22509711511479699"/>
          <c:w val="0.69980239687344881"/>
          <c:h val="0.57469158132820353"/>
        </c:manualLayout>
      </c:layout>
      <c:pie3DChart>
        <c:varyColors val="1"/>
        <c:ser>
          <c:idx val="0"/>
          <c:order val="0"/>
          <c:explosion val="14"/>
          <c:dPt>
            <c:idx val="0"/>
            <c:bubble3D val="0"/>
            <c:explosion val="6"/>
            <c:extLst>
              <c:ext xmlns:c16="http://schemas.microsoft.com/office/drawing/2014/chart" uri="{C3380CC4-5D6E-409C-BE32-E72D297353CC}">
                <c16:uniqueId val="{00000001-1FB4-4348-9BCA-B76B4E7A4A1C}"/>
              </c:ext>
            </c:extLst>
          </c:dPt>
          <c:dPt>
            <c:idx val="1"/>
            <c:bubble3D val="0"/>
            <c:explosion val="9"/>
            <c:extLst>
              <c:ext xmlns:c16="http://schemas.microsoft.com/office/drawing/2014/chart" uri="{C3380CC4-5D6E-409C-BE32-E72D297353CC}">
                <c16:uniqueId val="{00000003-1FB4-4348-9BCA-B76B4E7A4A1C}"/>
              </c:ext>
            </c:extLst>
          </c:dPt>
          <c:dPt>
            <c:idx val="2"/>
            <c:bubble3D val="0"/>
            <c:explosion val="10"/>
            <c:extLst>
              <c:ext xmlns:c16="http://schemas.microsoft.com/office/drawing/2014/chart" uri="{C3380CC4-5D6E-409C-BE32-E72D297353CC}">
                <c16:uniqueId val="{00000005-1FB4-4348-9BCA-B76B4E7A4A1C}"/>
              </c:ext>
            </c:extLst>
          </c:dPt>
          <c:dPt>
            <c:idx val="3"/>
            <c:bubble3D val="0"/>
            <c:explosion val="6"/>
            <c:extLst>
              <c:ext xmlns:c16="http://schemas.microsoft.com/office/drawing/2014/chart" uri="{C3380CC4-5D6E-409C-BE32-E72D297353CC}">
                <c16:uniqueId val="{00000007-1FB4-4348-9BCA-B76B4E7A4A1C}"/>
              </c:ext>
            </c:extLst>
          </c:dPt>
          <c:dPt>
            <c:idx val="4"/>
            <c:bubble3D val="0"/>
            <c:explosion val="8"/>
            <c:extLst>
              <c:ext xmlns:c16="http://schemas.microsoft.com/office/drawing/2014/chart" uri="{C3380CC4-5D6E-409C-BE32-E72D297353CC}">
                <c16:uniqueId val="{00000009-1FB4-4348-9BCA-B76B4E7A4A1C}"/>
              </c:ext>
            </c:extLst>
          </c:dPt>
          <c:dLbls>
            <c:dLbl>
              <c:idx val="0"/>
              <c:layout>
                <c:manualLayout>
                  <c:x val="-0.13804191388564138"/>
                  <c:y val="4.7984164066224223E-2"/>
                </c:manualLayout>
              </c:layout>
              <c:numFmt formatCode="0.00%" sourceLinked="0"/>
              <c:spPr/>
              <c:txPr>
                <a:bodyPr/>
                <a:lstStyle/>
                <a:p>
                  <a:pPr>
                    <a:defRPr sz="9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B4-4348-9BCA-B76B4E7A4A1C}"/>
                </c:ext>
              </c:extLst>
            </c:dLbl>
            <c:dLbl>
              <c:idx val="1"/>
              <c:layout>
                <c:manualLayout>
                  <c:x val="-7.6098796401678978E-2"/>
                  <c:y val="-0.18298313290486606"/>
                </c:manualLayout>
              </c:layout>
              <c:numFmt formatCode="0.00%" sourceLinked="0"/>
              <c:spPr/>
              <c:txPr>
                <a:bodyPr/>
                <a:lstStyle/>
                <a:p>
                  <a:pPr>
                    <a:defRPr sz="900" b="1"/>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B4-4348-9BCA-B76B4E7A4A1C}"/>
                </c:ext>
              </c:extLst>
            </c:dLbl>
            <c:dLbl>
              <c:idx val="2"/>
              <c:layout>
                <c:manualLayout>
                  <c:x val="6.0006142300059101E-2"/>
                  <c:y val="-0.1626334170658896"/>
                </c:manualLayout>
              </c:layout>
              <c:numFmt formatCode="0.00%" sourceLinked="0"/>
              <c:spPr/>
              <c:txPr>
                <a:bodyPr/>
                <a:lstStyle/>
                <a:p>
                  <a:pPr>
                    <a:defRPr sz="900" b="1"/>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FB4-4348-9BCA-B76B4E7A4A1C}"/>
                </c:ext>
              </c:extLst>
            </c:dLbl>
            <c:dLbl>
              <c:idx val="3"/>
              <c:layout>
                <c:manualLayout>
                  <c:x val="0.103613719868104"/>
                  <c:y val="-0.13657411007393941"/>
                </c:manualLayout>
              </c:layout>
              <c:numFmt formatCode="0.00%" sourceLinked="0"/>
              <c:spPr/>
              <c:txPr>
                <a:bodyPr/>
                <a:lstStyle/>
                <a:p>
                  <a:pPr>
                    <a:defRPr sz="9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B4-4348-9BCA-B76B4E7A4A1C}"/>
                </c:ext>
              </c:extLst>
            </c:dLbl>
            <c:dLbl>
              <c:idx val="4"/>
              <c:layout>
                <c:manualLayout>
                  <c:x val="0.10957536404311309"/>
                  <c:y val="7.1004418779983897E-2"/>
                </c:manualLayout>
              </c:layout>
              <c:numFmt formatCode="0.00%" sourceLinked="0"/>
              <c:spPr/>
              <c:txPr>
                <a:bodyPr/>
                <a:lstStyle/>
                <a:p>
                  <a:pPr>
                    <a:defRPr sz="9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FB4-4348-9BCA-B76B4E7A4A1C}"/>
                </c:ext>
              </c:extLst>
            </c:dLbl>
            <c:numFmt formatCode="0.00%" sourceLinked="0"/>
            <c:spPr>
              <a:noFill/>
              <a:ln w="25400">
                <a:noFill/>
              </a:ln>
            </c:spPr>
            <c:txPr>
              <a:bodyPr wrap="square" lIns="38100" tIns="19050" rIns="38100" bIns="19050" anchor="ctr">
                <a:spAutoFit/>
              </a:bodyPr>
              <a:lstStyle/>
              <a:p>
                <a:pPr>
                  <a:defRPr sz="900" b="1"/>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mikropodnik </c:v>
                </c:pt>
                <c:pt idx="1">
                  <c:v>malý podnik</c:v>
                </c:pt>
                <c:pt idx="2">
                  <c:v>stredný podnik</c:v>
                </c:pt>
                <c:pt idx="3">
                  <c:v>veľký</c:v>
                </c:pt>
                <c:pt idx="4">
                  <c:v>iný</c:v>
                </c:pt>
              </c:strCache>
            </c:strRef>
          </c:cat>
          <c:val>
            <c:numRef>
              <c:f>Hárok1!$B$6:$B$10</c:f>
              <c:numCache>
                <c:formatCode>#,##0</c:formatCode>
                <c:ptCount val="5"/>
                <c:pt idx="0">
                  <c:v>362</c:v>
                </c:pt>
                <c:pt idx="1">
                  <c:v>118</c:v>
                </c:pt>
                <c:pt idx="2">
                  <c:v>123</c:v>
                </c:pt>
                <c:pt idx="3">
                  <c:v>102</c:v>
                </c:pt>
                <c:pt idx="4">
                  <c:v>278</c:v>
                </c:pt>
              </c:numCache>
            </c:numRef>
          </c:val>
          <c:extLst>
            <c:ext xmlns:c16="http://schemas.microsoft.com/office/drawing/2014/chart" uri="{C3380CC4-5D6E-409C-BE32-E72D297353CC}">
              <c16:uniqueId val="{0000000A-1FB4-4348-9BCA-B76B4E7A4A1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867568637253674"/>
          <c:y val="0.22683081853926695"/>
          <c:w val="0.23272229194199812"/>
          <c:h val="0.57655081907864969"/>
        </c:manualLayout>
      </c:layout>
      <c:overlay val="0"/>
      <c:txPr>
        <a:bodyPr/>
        <a:lstStyle/>
        <a:p>
          <a:pPr>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t>Štr</a:t>
            </a:r>
            <a:r>
              <a:rPr lang="sk-SK" sz="1050"/>
              <a:t>uktúra ZUoZ, ktorým boli v roku 2023 poskytnuté</a:t>
            </a:r>
            <a:r>
              <a:rPr lang="sk-SK" sz="1050" baseline="0"/>
              <a:t> poradenské služby v rámci NP IP pre ZUoZ</a:t>
            </a:r>
            <a:endParaRPr lang="en-US" sz="105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view3D>
      <c:rotX val="0"/>
      <c:rotY val="0"/>
      <c:depthPercent val="60"/>
      <c:rAngAx val="0"/>
      <c:perspective val="120"/>
    </c:view3D>
    <c:floor>
      <c:thickness val="0"/>
      <c:spPr>
        <a:solidFill>
          <a:schemeClr val="lt1">
            <a:lumMod val="95000"/>
          </a:schemeClr>
        </a:solidFill>
        <a:ln>
          <a:noFill/>
        </a:ln>
        <a:effectLst/>
        <a:sp3d/>
      </c:spPr>
    </c:floor>
    <c:sideWall>
      <c:thickness val="0"/>
      <c:spPr>
        <a:noFill/>
        <a:ln>
          <a:noFill/>
        </a:ln>
        <a:effectLst>
          <a:outerShdw blurRad="50800" dist="38100" dir="5400000" algn="t" rotWithShape="0">
            <a:prstClr val="black">
              <a:alpha val="40000"/>
            </a:prstClr>
          </a:outerShdw>
        </a:effectLst>
        <a:sp3d/>
      </c:spPr>
    </c:sideWall>
    <c:backWall>
      <c:thickness val="0"/>
      <c:spPr>
        <a:noFill/>
        <a:ln>
          <a:noFill/>
        </a:ln>
        <a:effectLst>
          <a:outerShdw blurRad="50800" dist="38100" dir="5400000" algn="t" rotWithShape="0">
            <a:prstClr val="black">
              <a:alpha val="40000"/>
            </a:prstClr>
          </a:outerShdw>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Hárok1!$B$5:$B$13</c:f>
              <c:strCache>
                <c:ptCount val="9"/>
                <c:pt idx="0">
                  <c:v>štátni príslušníci tretej krajiny, ktorým bol udelený azyl</c:v>
                </c:pt>
                <c:pt idx="1">
                  <c:v>občania, ktorí ukončili poberanie materského alebo rodičovského príspevku</c:v>
                </c:pt>
                <c:pt idx="2">
                  <c:v>občania, ktorí žijú v domácnosti s osobami odkázanými na starostlivosť</c:v>
                </c:pt>
                <c:pt idx="3">
                  <c:v>občania so zdravotným postihnutím </c:v>
                </c:pt>
                <c:pt idx="4">
                  <c:v>absolventi škôl</c:v>
                </c:pt>
                <c:pt idx="5">
                  <c:v>občania starší ako 50 rokov </c:v>
                </c:pt>
                <c:pt idx="6">
                  <c:v>občania s nižším vzdelaním ako stredné odborné</c:v>
                </c:pt>
                <c:pt idx="7">
                  <c:v>občania, ktorí nemali pravidelne platené zamestnanie</c:v>
                </c:pt>
                <c:pt idx="8">
                  <c:v>dlhodobo nezamestnaní občania </c:v>
                </c:pt>
              </c:strCache>
            </c:strRef>
          </c:cat>
          <c:val>
            <c:numRef>
              <c:f>Hárok1!$C$5:$C$13</c:f>
              <c:numCache>
                <c:formatCode>0.00%</c:formatCode>
                <c:ptCount val="9"/>
                <c:pt idx="0" formatCode="0%">
                  <c:v>0</c:v>
                </c:pt>
                <c:pt idx="1">
                  <c:v>1.0414930844859191E-2</c:v>
                </c:pt>
                <c:pt idx="2">
                  <c:v>1.2831194800866523E-2</c:v>
                </c:pt>
                <c:pt idx="3">
                  <c:v>3.0911514747542078E-2</c:v>
                </c:pt>
                <c:pt idx="4">
                  <c:v>5.2324612564572569E-2</c:v>
                </c:pt>
                <c:pt idx="5">
                  <c:v>0.28578570238293616</c:v>
                </c:pt>
                <c:pt idx="6">
                  <c:v>0.35285785702382938</c:v>
                </c:pt>
                <c:pt idx="7">
                  <c:v>0.6751374770871521</c:v>
                </c:pt>
                <c:pt idx="8">
                  <c:v>0.7242959506748875</c:v>
                </c:pt>
              </c:numCache>
            </c:numRef>
          </c:val>
          <c:extLst>
            <c:ext xmlns:c16="http://schemas.microsoft.com/office/drawing/2014/chart" uri="{C3380CC4-5D6E-409C-BE32-E72D297353CC}">
              <c16:uniqueId val="{00000000-031F-4CAE-8189-FB2E9F70E3EB}"/>
            </c:ext>
          </c:extLst>
        </c:ser>
        <c:dLbls>
          <c:showLegendKey val="0"/>
          <c:showVal val="1"/>
          <c:showCatName val="0"/>
          <c:showSerName val="0"/>
          <c:showPercent val="0"/>
          <c:showBubbleSize val="0"/>
        </c:dLbls>
        <c:gapWidth val="65"/>
        <c:shape val="box"/>
        <c:axId val="510252064"/>
        <c:axId val="510252392"/>
        <c:axId val="0"/>
      </c:bar3DChart>
      <c:catAx>
        <c:axId val="5102520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sk-SK"/>
          </a:p>
        </c:txPr>
        <c:crossAx val="510252392"/>
        <c:crossesAt val="0"/>
        <c:auto val="1"/>
        <c:lblAlgn val="ctr"/>
        <c:lblOffset val="100"/>
        <c:noMultiLvlLbl val="0"/>
      </c:catAx>
      <c:valAx>
        <c:axId val="51025239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510252064"/>
        <c:crosses val="autoZero"/>
        <c:crossBetween val="between"/>
      </c:valAx>
      <c:spPr>
        <a:noFill/>
        <a:ln>
          <a:noFill/>
        </a:ln>
        <a:effectLst/>
      </c:spPr>
    </c:plotArea>
    <c:plotVisOnly val="1"/>
    <c:dispBlanksAs val="gap"/>
    <c:showDLblsOverMax val="0"/>
  </c:chart>
  <c:spPr>
    <a:solidFill>
      <a:schemeClr val="accent1">
        <a:lumMod val="60000"/>
        <a:lumOff val="40000"/>
      </a:schemeClr>
    </a:soli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1693958080865366"/>
          <c:y val="0.10768224068676496"/>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458408771685952"/>
          <c:y val="0.20402749397412756"/>
          <c:w val="0.47090008366088432"/>
          <c:h val="0.6102485462797812"/>
        </c:manualLayout>
      </c:layout>
      <c:pie3DChart>
        <c:varyColors val="1"/>
        <c:ser>
          <c:idx val="0"/>
          <c:order val="0"/>
          <c:explosion val="25"/>
          <c:dPt>
            <c:idx val="0"/>
            <c:bubble3D val="0"/>
            <c:explosion val="4"/>
            <c:extLst>
              <c:ext xmlns:c16="http://schemas.microsoft.com/office/drawing/2014/chart" uri="{C3380CC4-5D6E-409C-BE32-E72D297353CC}">
                <c16:uniqueId val="{00000001-8B8B-42BE-8F1E-41570719AB73}"/>
              </c:ext>
            </c:extLst>
          </c:dPt>
          <c:dPt>
            <c:idx val="1"/>
            <c:bubble3D val="0"/>
            <c:explosion val="9"/>
            <c:extLst>
              <c:ext xmlns:c16="http://schemas.microsoft.com/office/drawing/2014/chart" uri="{C3380CC4-5D6E-409C-BE32-E72D297353CC}">
                <c16:uniqueId val="{00000003-8B8B-42BE-8F1E-41570719AB73}"/>
              </c:ext>
            </c:extLst>
          </c:dPt>
          <c:dPt>
            <c:idx val="2"/>
            <c:bubble3D val="0"/>
            <c:extLst>
              <c:ext xmlns:c16="http://schemas.microsoft.com/office/drawing/2014/chart" uri="{C3380CC4-5D6E-409C-BE32-E72D297353CC}">
                <c16:uniqueId val="{00000005-8B8B-42BE-8F1E-41570719AB73}"/>
              </c:ext>
            </c:extLst>
          </c:dPt>
          <c:dPt>
            <c:idx val="3"/>
            <c:bubble3D val="0"/>
            <c:explosion val="2"/>
            <c:extLst>
              <c:ext xmlns:c16="http://schemas.microsoft.com/office/drawing/2014/chart" uri="{C3380CC4-5D6E-409C-BE32-E72D297353CC}">
                <c16:uniqueId val="{00000007-8B8B-42BE-8F1E-41570719AB73}"/>
              </c:ext>
            </c:extLst>
          </c:dPt>
          <c:dLbls>
            <c:dLbl>
              <c:idx val="1"/>
              <c:layout>
                <c:manualLayout>
                  <c:x val="-6.4178046735818367E-2"/>
                  <c:y val="4.25162349627626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8B-42BE-8F1E-41570719AB73}"/>
                </c:ext>
              </c:extLst>
            </c:dLbl>
            <c:dLbl>
              <c:idx val="2"/>
              <c:layout>
                <c:manualLayout>
                  <c:x val="-7.7709448563053951E-2"/>
                  <c:y val="-0.224975636075469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8B-42BE-8F1E-41570719AB73}"/>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161</c:v>
                </c:pt>
                <c:pt idx="1">
                  <c:v>204</c:v>
                </c:pt>
                <c:pt idx="2">
                  <c:v>1211</c:v>
                </c:pt>
                <c:pt idx="3">
                  <c:v>536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8B8B-42BE-8F1E-41570719AB73}"/>
            </c:ext>
          </c:extLst>
        </c:ser>
        <c:dLbls>
          <c:showLegendKey val="0"/>
          <c:showVal val="1"/>
          <c:showCatName val="0"/>
          <c:showSerName val="0"/>
          <c:showPercent val="0"/>
          <c:showBubbleSize val="0"/>
          <c:showLeaderLines val="1"/>
        </c:dLbls>
      </c:pie3DChart>
    </c:plotArea>
    <c:legend>
      <c:legendPos val="r"/>
      <c:layout>
        <c:manualLayout>
          <c:xMode val="edge"/>
          <c:yMode val="edge"/>
          <c:x val="0.75641088836602"/>
          <c:y val="0.15872268383579125"/>
          <c:w val="0.18551651854738779"/>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412142852878796"/>
          <c:y val="3.862120295550189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725494226034484"/>
          <c:y val="0.28414950629609775"/>
          <c:w val="0.47956465638914164"/>
          <c:h val="0.61904813428614991"/>
        </c:manualLayout>
      </c:layout>
      <c:pie3DChart>
        <c:varyColors val="1"/>
        <c:ser>
          <c:idx val="0"/>
          <c:order val="0"/>
          <c:explosion val="25"/>
          <c:dPt>
            <c:idx val="0"/>
            <c:bubble3D val="0"/>
            <c:explosion val="7"/>
            <c:extLst>
              <c:ext xmlns:c16="http://schemas.microsoft.com/office/drawing/2014/chart" uri="{C3380CC4-5D6E-409C-BE32-E72D297353CC}">
                <c16:uniqueId val="{00000001-B05C-488A-BDA2-06874D745F53}"/>
              </c:ext>
            </c:extLst>
          </c:dPt>
          <c:dPt>
            <c:idx val="1"/>
            <c:bubble3D val="0"/>
            <c:explosion val="7"/>
            <c:extLst>
              <c:ext xmlns:c16="http://schemas.microsoft.com/office/drawing/2014/chart" uri="{C3380CC4-5D6E-409C-BE32-E72D297353CC}">
                <c16:uniqueId val="{00000003-B05C-488A-BDA2-06874D745F53}"/>
              </c:ext>
            </c:extLst>
          </c:dPt>
          <c:dPt>
            <c:idx val="2"/>
            <c:bubble3D val="0"/>
            <c:explosion val="6"/>
            <c:extLst>
              <c:ext xmlns:c16="http://schemas.microsoft.com/office/drawing/2014/chart" uri="{C3380CC4-5D6E-409C-BE32-E72D297353CC}">
                <c16:uniqueId val="{00000005-B05C-488A-BDA2-06874D745F53}"/>
              </c:ext>
            </c:extLst>
          </c:dPt>
          <c:dPt>
            <c:idx val="3"/>
            <c:bubble3D val="0"/>
            <c:explosion val="10"/>
            <c:extLst>
              <c:ext xmlns:c16="http://schemas.microsoft.com/office/drawing/2014/chart" uri="{C3380CC4-5D6E-409C-BE32-E72D297353CC}">
                <c16:uniqueId val="{00000007-B05C-488A-BDA2-06874D745F53}"/>
              </c:ext>
            </c:extLst>
          </c:dPt>
          <c:dPt>
            <c:idx val="4"/>
            <c:bubble3D val="0"/>
            <c:explosion val="17"/>
            <c:extLst>
              <c:ext xmlns:c16="http://schemas.microsoft.com/office/drawing/2014/chart" uri="{C3380CC4-5D6E-409C-BE32-E72D297353CC}">
                <c16:uniqueId val="{00000009-976B-4D7C-9180-899CD8F3D598}"/>
              </c:ext>
            </c:extLst>
          </c:dPt>
          <c:dPt>
            <c:idx val="5"/>
            <c:bubble3D val="0"/>
            <c:explosion val="13"/>
            <c:extLst>
              <c:ext xmlns:c16="http://schemas.microsoft.com/office/drawing/2014/chart" uri="{C3380CC4-5D6E-409C-BE32-E72D297353CC}">
                <c16:uniqueId val="{0000000A-976B-4D7C-9180-899CD8F3D598}"/>
              </c:ext>
            </c:extLst>
          </c:dPt>
          <c:dLbls>
            <c:dLbl>
              <c:idx val="1"/>
              <c:layout>
                <c:manualLayout>
                  <c:x val="-1.7899506306973189E-2"/>
                  <c:y val="-0.226953626424429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5C-488A-BDA2-06874D745F53}"/>
                </c:ext>
              </c:extLst>
            </c:dLbl>
            <c:dLbl>
              <c:idx val="2"/>
              <c:layout>
                <c:manualLayout>
                  <c:x val="-1.8734921212937853E-2"/>
                  <c:y val="9.804895562320793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5C-488A-BDA2-06874D745F53}"/>
                </c:ext>
              </c:extLst>
            </c:dLbl>
            <c:dLbl>
              <c:idx val="4"/>
              <c:layout>
                <c:manualLayout>
                  <c:x val="-0.10130591143885632"/>
                  <c:y val="-3.481715004237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76B-4D7C-9180-899CD8F3D598}"/>
                </c:ext>
              </c:extLst>
            </c:dLbl>
            <c:dLbl>
              <c:idx val="5"/>
              <c:layout>
                <c:manualLayout>
                  <c:x val="-4.4232046809160229E-2"/>
                  <c:y val="-5.84362463748870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76B-4D7C-9180-899CD8F3D598}"/>
                </c:ext>
              </c:extLst>
            </c:dLbl>
            <c:dLbl>
              <c:idx val="6"/>
              <c:layout>
                <c:manualLayout>
                  <c:x val="5.4030348177668087E-2"/>
                  <c:y val="-3.80392176149748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891-4B57-A2B4-789CD8633061}"/>
                </c:ext>
              </c:extLst>
            </c:dLbl>
            <c:dLbl>
              <c:idx val="7"/>
              <c:layout>
                <c:manualLayout>
                  <c:x val="0.14823327144758908"/>
                  <c:y val="-2.08170418422869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76B-4D7C-9180-899CD8F3D598}"/>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Vysokoškolské vzdelanie druhého stupňa</c:v>
                </c:pt>
                <c:pt idx="7">
                  <c:v>Vysokoškolské vzdelanie tretieho stupňa</c:v>
                </c:pt>
              </c:strCache>
            </c:strRef>
          </c:cat>
          <c:val>
            <c:numRef>
              <c:f>Hárok1!$B$1:$B$8</c:f>
              <c:numCache>
                <c:formatCode>General</c:formatCode>
                <c:ptCount val="8"/>
                <c:pt idx="0">
                  <c:v>438</c:v>
                </c:pt>
                <c:pt idx="1">
                  <c:v>1190</c:v>
                </c:pt>
                <c:pt idx="2">
                  <c:v>36</c:v>
                </c:pt>
                <c:pt idx="3">
                  <c:v>353</c:v>
                </c:pt>
                <c:pt idx="4">
                  <c:v>75</c:v>
                </c:pt>
                <c:pt idx="5">
                  <c:v>12</c:v>
                </c:pt>
                <c:pt idx="6">
                  <c:v>3</c:v>
                </c:pt>
                <c:pt idx="7">
                  <c:v>4</c:v>
                </c:pt>
              </c:numCache>
            </c:numRef>
          </c:val>
          <c:extLst>
            <c:ext xmlns:c16="http://schemas.microsoft.com/office/drawing/2014/chart" uri="{C3380CC4-5D6E-409C-BE32-E72D297353CC}">
              <c16:uniqueId val="{00000008-B05C-488A-BDA2-06874D745F53}"/>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0.13570061339017708"/>
          <c:w val="0.30408761452202859"/>
          <c:h val="0.852908165484839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pracovných miest podľa SK ISCO</a:t>
            </a:r>
            <a:endParaRPr lang="sk-SK" sz="1200">
              <a:effectLst/>
            </a:endParaRPr>
          </a:p>
        </c:rich>
      </c:tx>
      <c:layout>
        <c:manualLayout>
          <c:xMode val="edge"/>
          <c:yMode val="edge"/>
          <c:x val="0.20827500808039631"/>
          <c:y val="6.62457765983671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399597850697847"/>
          <c:y val="0.23199795755067984"/>
          <c:w val="0.46223551093262699"/>
          <c:h val="0.5964363915836487"/>
        </c:manualLayout>
      </c:layout>
      <c:pie3DChart>
        <c:varyColors val="1"/>
        <c:ser>
          <c:idx val="0"/>
          <c:order val="0"/>
          <c:explosion val="25"/>
          <c:dPt>
            <c:idx val="0"/>
            <c:bubble3D val="0"/>
            <c:explosion val="7"/>
            <c:extLst>
              <c:ext xmlns:c16="http://schemas.microsoft.com/office/drawing/2014/chart" uri="{C3380CC4-5D6E-409C-BE32-E72D297353CC}">
                <c16:uniqueId val="{00000001-F232-4764-B6D2-52742F843CA4}"/>
              </c:ext>
            </c:extLst>
          </c:dPt>
          <c:dPt>
            <c:idx val="1"/>
            <c:bubble3D val="0"/>
            <c:explosion val="12"/>
            <c:extLst>
              <c:ext xmlns:c16="http://schemas.microsoft.com/office/drawing/2014/chart" uri="{C3380CC4-5D6E-409C-BE32-E72D297353CC}">
                <c16:uniqueId val="{00000003-F232-4764-B6D2-52742F843CA4}"/>
              </c:ext>
            </c:extLst>
          </c:dPt>
          <c:dPt>
            <c:idx val="2"/>
            <c:bubble3D val="0"/>
            <c:explosion val="16"/>
            <c:extLst>
              <c:ext xmlns:c16="http://schemas.microsoft.com/office/drawing/2014/chart" uri="{C3380CC4-5D6E-409C-BE32-E72D297353CC}">
                <c16:uniqueId val="{00000005-F232-4764-B6D2-52742F843CA4}"/>
              </c:ext>
            </c:extLst>
          </c:dPt>
          <c:dLbls>
            <c:dLbl>
              <c:idx val="0"/>
              <c:layout>
                <c:manualLayout>
                  <c:x val="-0.11634348281572103"/>
                  <c:y val="-2.9909428581213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32-4764-B6D2-52742F843CA4}"/>
                </c:ext>
              </c:extLst>
            </c:dLbl>
            <c:dLbl>
              <c:idx val="1"/>
              <c:layout>
                <c:manualLayout>
                  <c:x val="-3.5896403775911634E-2"/>
                  <c:y val="-2.23035483824190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32-4764-B6D2-52742F843CA4}"/>
                </c:ext>
              </c:extLst>
            </c:dLbl>
            <c:dLbl>
              <c:idx val="2"/>
              <c:layout>
                <c:manualLayout>
                  <c:x val="5.850680950288939E-2"/>
                  <c:y val="-2.00571014032498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32-4764-B6D2-52742F843CA4}"/>
                </c:ext>
              </c:extLst>
            </c:dLbl>
            <c:dLbl>
              <c:idx val="3"/>
              <c:layout>
                <c:manualLayout>
                  <c:x val="4.681154810159719E-2"/>
                  <c:y val="-0.238479620652400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B07-48F6-950E-3903755E582B}"/>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Technici a odborní pracovníci</c:v>
                </c:pt>
                <c:pt idx="1">
                  <c:v>Administratívny pracovníci</c:v>
                </c:pt>
                <c:pt idx="2">
                  <c:v>Pracovníci v službách a obchode</c:v>
                </c:pt>
                <c:pt idx="3">
                  <c:v>Pomocní a nekvalifikovaní pracovníci</c:v>
                </c:pt>
              </c:strCache>
            </c:strRef>
          </c:cat>
          <c:val>
            <c:numRef>
              <c:f>Hárok1!$B$1:$B$4</c:f>
              <c:numCache>
                <c:formatCode>General</c:formatCode>
                <c:ptCount val="4"/>
                <c:pt idx="0">
                  <c:v>34</c:v>
                </c:pt>
                <c:pt idx="1">
                  <c:v>29</c:v>
                </c:pt>
                <c:pt idx="2">
                  <c:v>7</c:v>
                </c:pt>
                <c:pt idx="3">
                  <c:v>2042</c:v>
                </c:pt>
              </c:numCache>
            </c:numRef>
          </c:val>
          <c:extLst>
            <c:ext xmlns:c16="http://schemas.microsoft.com/office/drawing/2014/chart" uri="{C3380CC4-5D6E-409C-BE32-E72D297353CC}">
              <c16:uniqueId val="{00000006-F232-4764-B6D2-52742F843CA4}"/>
            </c:ext>
          </c:extLst>
        </c:ser>
        <c:dLbls>
          <c:showLegendKey val="0"/>
          <c:showVal val="1"/>
          <c:showCatName val="0"/>
          <c:showSerName val="0"/>
          <c:showPercent val="0"/>
          <c:showBubbleSize val="0"/>
          <c:showLeaderLines val="1"/>
        </c:dLbls>
      </c:pie3DChart>
    </c:plotArea>
    <c:legend>
      <c:legendPos val="r"/>
      <c:layout>
        <c:manualLayout>
          <c:xMode val="edge"/>
          <c:yMode val="edge"/>
          <c:x val="0.65893444517312505"/>
          <c:y val="0.16332673540116877"/>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znevýhodnenia</a:t>
            </a:r>
            <a:endParaRPr lang="sk-SK" sz="1200">
              <a:effectLst/>
            </a:endParaRPr>
          </a:p>
        </c:rich>
      </c:tx>
      <c:layout>
        <c:manualLayout>
          <c:xMode val="edge"/>
          <c:yMode val="edge"/>
          <c:x val="0.11190222843766151"/>
          <c:y val="6.951472335799295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9.6643228476749291E-2"/>
          <c:y val="0.28445385519521271"/>
          <c:w val="0.48337735775306079"/>
          <c:h val="0.62187028208775486"/>
        </c:manualLayout>
      </c:layout>
      <c:pie3DChart>
        <c:varyColors val="1"/>
        <c:ser>
          <c:idx val="0"/>
          <c:order val="0"/>
          <c:explosion val="25"/>
          <c:dPt>
            <c:idx val="0"/>
            <c:bubble3D val="0"/>
            <c:explosion val="14"/>
            <c:extLst>
              <c:ext xmlns:c16="http://schemas.microsoft.com/office/drawing/2014/chart" uri="{C3380CC4-5D6E-409C-BE32-E72D297353CC}">
                <c16:uniqueId val="{00000001-CED0-4C45-ADD3-13CDDEA1E3FC}"/>
              </c:ext>
            </c:extLst>
          </c:dPt>
          <c:dPt>
            <c:idx val="1"/>
            <c:bubble3D val="0"/>
            <c:explosion val="7"/>
            <c:extLst>
              <c:ext xmlns:c16="http://schemas.microsoft.com/office/drawing/2014/chart" uri="{C3380CC4-5D6E-409C-BE32-E72D297353CC}">
                <c16:uniqueId val="{00000003-CED0-4C45-ADD3-13CDDEA1E3FC}"/>
              </c:ext>
            </c:extLst>
          </c:dPt>
          <c:dPt>
            <c:idx val="2"/>
            <c:bubble3D val="0"/>
            <c:explosion val="5"/>
            <c:extLst>
              <c:ext xmlns:c16="http://schemas.microsoft.com/office/drawing/2014/chart" uri="{C3380CC4-5D6E-409C-BE32-E72D297353CC}">
                <c16:uniqueId val="{00000005-CED0-4C45-ADD3-13CDDEA1E3FC}"/>
              </c:ext>
            </c:extLst>
          </c:dPt>
          <c:dPt>
            <c:idx val="3"/>
            <c:bubble3D val="0"/>
            <c:explosion val="11"/>
            <c:extLst>
              <c:ext xmlns:c16="http://schemas.microsoft.com/office/drawing/2014/chart" uri="{C3380CC4-5D6E-409C-BE32-E72D297353CC}">
                <c16:uniqueId val="{00000007-CED0-4C45-ADD3-13CDDEA1E3FC}"/>
              </c:ext>
            </c:extLst>
          </c:dPt>
          <c:dPt>
            <c:idx val="4"/>
            <c:bubble3D val="0"/>
            <c:explosion val="13"/>
            <c:extLst>
              <c:ext xmlns:c16="http://schemas.microsoft.com/office/drawing/2014/chart" uri="{C3380CC4-5D6E-409C-BE32-E72D297353CC}">
                <c16:uniqueId val="{00000008-B6EA-4E05-8858-9FF7DD3866EE}"/>
              </c:ext>
            </c:extLst>
          </c:dPt>
          <c:dLbls>
            <c:dLbl>
              <c:idx val="0"/>
              <c:layout>
                <c:manualLayout>
                  <c:x val="7.8183450752866424E-2"/>
                  <c:y val="-6.205008471124985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D0-4C45-ADD3-13CDDEA1E3FC}"/>
                </c:ext>
              </c:extLst>
            </c:dLbl>
            <c:dLbl>
              <c:idx val="2"/>
              <c:layout>
                <c:manualLayout>
                  <c:x val="-0.12482026703183841"/>
                  <c:y val="-5.515750335187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D0-4C45-ADD3-13CDDEA1E3FC}"/>
                </c:ext>
              </c:extLst>
            </c:dLbl>
            <c:dLbl>
              <c:idx val="3"/>
              <c:layout>
                <c:manualLayout>
                  <c:x val="9.0373722589695588E-2"/>
                  <c:y val="-0.214719985398650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ED0-4C45-ADD3-13CDDEA1E3FC}"/>
                </c:ext>
              </c:extLst>
            </c:dLbl>
            <c:dLbl>
              <c:idx val="4"/>
              <c:layout>
                <c:manualLayout>
                  <c:x val="9.0477411444180714E-2"/>
                  <c:y val="3.77197145266145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6EA-4E05-8858-9FF7DD3866EE}"/>
                </c:ext>
              </c:extLst>
            </c:dLbl>
            <c:dLbl>
              <c:idx val="5"/>
              <c:layout>
                <c:manualLayout>
                  <c:x val="-0.11114811139605912"/>
                  <c:y val="2.7597932510995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6EA-4E05-8858-9FF7DD3866EE}"/>
                </c:ext>
              </c:extLst>
            </c:dLbl>
            <c:dLbl>
              <c:idx val="6"/>
              <c:layout>
                <c:manualLayout>
                  <c:x val="-1.254886724685734E-2"/>
                  <c:y val="-2.2991024520609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6EA-4E05-8858-9FF7DD3866EE}"/>
                </c:ext>
              </c:extLst>
            </c:dLbl>
            <c:dLbl>
              <c:idx val="7"/>
              <c:layout>
                <c:manualLayout>
                  <c:x val="4.0156012570797074E-2"/>
                  <c:y val="-3.03534393926877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6EA-4E05-8858-9FF7DD3866EE}"/>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8</c:v>
                </c:pt>
                <c:pt idx="1">
                  <c:v>520</c:v>
                </c:pt>
                <c:pt idx="2">
                  <c:v>2063</c:v>
                </c:pt>
                <c:pt idx="3">
                  <c:v>1662</c:v>
                </c:pt>
                <c:pt idx="4">
                  <c:v>1663</c:v>
                </c:pt>
                <c:pt idx="5">
                  <c:v>33</c:v>
                </c:pt>
                <c:pt idx="6">
                  <c:v>32</c:v>
                </c:pt>
                <c:pt idx="7">
                  <c:v>99</c:v>
                </c:pt>
              </c:numCache>
            </c:numRef>
          </c:val>
          <c:extLst>
            <c:ext xmlns:c16="http://schemas.microsoft.com/office/drawing/2014/chart" uri="{C3380CC4-5D6E-409C-BE32-E72D297353CC}">
              <c16:uniqueId val="{00000008-CED0-4C45-ADD3-13CDDEA1E3FC}"/>
            </c:ext>
          </c:extLst>
        </c:ser>
        <c:dLbls>
          <c:showLegendKey val="0"/>
          <c:showVal val="1"/>
          <c:showCatName val="0"/>
          <c:showSerName val="0"/>
          <c:showPercent val="0"/>
          <c:showBubbleSize val="0"/>
          <c:showLeaderLines val="1"/>
        </c:dLbls>
      </c:pie3DChart>
    </c:plotArea>
    <c:legend>
      <c:legendPos val="r"/>
      <c:layout>
        <c:manualLayout>
          <c:xMode val="edge"/>
          <c:yMode val="edge"/>
          <c:x val="0.66268601771331248"/>
          <c:y val="6.8382532493561188E-2"/>
          <c:w val="0.26609560834184426"/>
          <c:h val="0.89489131318902615"/>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0.17361671716736696"/>
          <c:y val="7.630145283472862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978848502832851"/>
          <c:y val="0.30563019385188128"/>
          <c:w val="0.38681757955102236"/>
          <c:h val="0.50345763530300547"/>
        </c:manualLayout>
      </c:layout>
      <c:pie3DChart>
        <c:varyColors val="1"/>
        <c:ser>
          <c:idx val="0"/>
          <c:order val="0"/>
          <c:explosion val="25"/>
          <c:dPt>
            <c:idx val="0"/>
            <c:bubble3D val="0"/>
            <c:explosion val="14"/>
            <c:extLst>
              <c:ext xmlns:c16="http://schemas.microsoft.com/office/drawing/2014/chart" uri="{C3380CC4-5D6E-409C-BE32-E72D297353CC}">
                <c16:uniqueId val="{00000001-F4E7-46AD-AC9B-16CAA0ED808A}"/>
              </c:ext>
            </c:extLst>
          </c:dPt>
          <c:dPt>
            <c:idx val="1"/>
            <c:bubble3D val="0"/>
            <c:explosion val="7"/>
            <c:extLst>
              <c:ext xmlns:c16="http://schemas.microsoft.com/office/drawing/2014/chart" uri="{C3380CC4-5D6E-409C-BE32-E72D297353CC}">
                <c16:uniqueId val="{00000003-F4E7-46AD-AC9B-16CAA0ED808A}"/>
              </c:ext>
            </c:extLst>
          </c:dPt>
          <c:dPt>
            <c:idx val="2"/>
            <c:bubble3D val="0"/>
            <c:explosion val="12"/>
            <c:extLst>
              <c:ext xmlns:c16="http://schemas.microsoft.com/office/drawing/2014/chart" uri="{C3380CC4-5D6E-409C-BE32-E72D297353CC}">
                <c16:uniqueId val="{00000005-F4E7-46AD-AC9B-16CAA0ED808A}"/>
              </c:ext>
            </c:extLst>
          </c:dPt>
          <c:dPt>
            <c:idx val="3"/>
            <c:bubble3D val="0"/>
            <c:explosion val="16"/>
            <c:extLst>
              <c:ext xmlns:c16="http://schemas.microsoft.com/office/drawing/2014/chart" uri="{C3380CC4-5D6E-409C-BE32-E72D297353CC}">
                <c16:uniqueId val="{00000007-F4E7-46AD-AC9B-16CAA0ED808A}"/>
              </c:ext>
            </c:extLst>
          </c:dPt>
          <c:dLbls>
            <c:dLbl>
              <c:idx val="0"/>
              <c:layout>
                <c:manualLayout>
                  <c:x val="6.7318613224901097E-2"/>
                  <c:y val="3.28665974841835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E7-46AD-AC9B-16CAA0ED808A}"/>
                </c:ext>
              </c:extLst>
            </c:dLbl>
            <c:dLbl>
              <c:idx val="1"/>
              <c:layout>
                <c:manualLayout>
                  <c:x val="-0.14198879002995429"/>
                  <c:y val="-0.112415788530884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E7-46AD-AC9B-16CAA0ED808A}"/>
                </c:ext>
              </c:extLst>
            </c:dLbl>
            <c:dLbl>
              <c:idx val="2"/>
              <c:layout>
                <c:manualLayout>
                  <c:x val="-3.0026326314972589E-2"/>
                  <c:y val="7.876966659617266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E7-46AD-AC9B-16CAA0ED808A}"/>
                </c:ext>
              </c:extLst>
            </c:dLbl>
            <c:dLbl>
              <c:idx val="3"/>
              <c:layout>
                <c:manualLayout>
                  <c:x val="0.11528401633647199"/>
                  <c:y val="1.80412176772719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4E7-46AD-AC9B-16CAA0ED808A}"/>
                </c:ext>
              </c:extLst>
            </c:dLbl>
            <c:dLbl>
              <c:idx val="4"/>
              <c:layout>
                <c:manualLayout>
                  <c:x val="-9.0158892042222164E-3"/>
                  <c:y val="-2.36720646942123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93A-4B5E-9FA0-D6CA190F9936}"/>
                </c:ext>
              </c:extLst>
            </c:dLbl>
            <c:numFmt formatCode="0.00%" sourceLinked="0"/>
            <c:spPr>
              <a:noFill/>
              <a:ln>
                <a:noFill/>
              </a:ln>
              <a:effectLst/>
            </c:spPr>
            <c:txPr>
              <a:bodyPr wrap="square" lIns="38100" tIns="19050" rIns="38100" bIns="19050" anchor="ctr">
                <a:spAutoFit/>
              </a:bodyPr>
              <a:lstStyle/>
              <a:p>
                <a:pPr>
                  <a:defRPr sz="10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Neukončené základné vzdelanie</c:v>
                </c:pt>
                <c:pt idx="1">
                  <c:v>Základné vzdelanie</c:v>
                </c:pt>
                <c:pt idx="2">
                  <c:v>Nižšie stredné odborné vzdelanie</c:v>
                </c:pt>
                <c:pt idx="3">
                  <c:v>Stredné odborné vzdelanie</c:v>
                </c:pt>
                <c:pt idx="4">
                  <c:v>Úpné stredné odborné vzdelanie</c:v>
                </c:pt>
              </c:strCache>
            </c:strRef>
          </c:cat>
          <c:val>
            <c:numRef>
              <c:f>Hárok1!$B$1:$B$5</c:f>
              <c:numCache>
                <c:formatCode>General</c:formatCode>
                <c:ptCount val="5"/>
                <c:pt idx="0">
                  <c:v>2</c:v>
                </c:pt>
                <c:pt idx="1">
                  <c:v>33</c:v>
                </c:pt>
                <c:pt idx="2">
                  <c:v>1</c:v>
                </c:pt>
                <c:pt idx="3">
                  <c:v>15</c:v>
                </c:pt>
                <c:pt idx="4">
                  <c:v>5</c:v>
                </c:pt>
              </c:numCache>
            </c:numRef>
          </c:val>
          <c:extLst>
            <c:ext xmlns:c16="http://schemas.microsoft.com/office/drawing/2014/chart" uri="{C3380CC4-5D6E-409C-BE32-E72D297353CC}">
              <c16:uniqueId val="{00000008-F4E7-46AD-AC9B-16CAA0ED808A}"/>
            </c:ext>
          </c:extLst>
        </c:ser>
        <c:dLbls>
          <c:showLegendKey val="0"/>
          <c:showVal val="1"/>
          <c:showCatName val="0"/>
          <c:showSerName val="0"/>
          <c:showPercent val="0"/>
          <c:showBubbleSize val="0"/>
          <c:showLeaderLines val="1"/>
        </c:dLbls>
      </c:pie3DChart>
    </c:plotArea>
    <c:legend>
      <c:legendPos val="r"/>
      <c:layout>
        <c:manualLayout>
          <c:xMode val="edge"/>
          <c:yMode val="edge"/>
          <c:x val="0.66112955205752655"/>
          <c:y val="0.2060427798504329"/>
          <c:w val="0.30408761452202859"/>
          <c:h val="0.7548883659037761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5860318061992799"/>
          <c:y val="4.322426900319853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700365931855813"/>
          <c:y val="0.2270923120753093"/>
          <c:w val="0.50518375575044361"/>
          <c:h val="0.65629966564881348"/>
        </c:manualLayout>
      </c:layout>
      <c:pie3DChart>
        <c:varyColors val="1"/>
        <c:ser>
          <c:idx val="0"/>
          <c:order val="0"/>
          <c:explosion val="11"/>
          <c:dPt>
            <c:idx val="0"/>
            <c:bubble3D val="0"/>
            <c:extLst>
              <c:ext xmlns:c16="http://schemas.microsoft.com/office/drawing/2014/chart" uri="{C3380CC4-5D6E-409C-BE32-E72D297353CC}">
                <c16:uniqueId val="{00000001-F550-4718-9A2B-C5BF258013F2}"/>
              </c:ext>
            </c:extLst>
          </c:dPt>
          <c:dPt>
            <c:idx val="1"/>
            <c:bubble3D val="0"/>
            <c:extLst>
              <c:ext xmlns:c16="http://schemas.microsoft.com/office/drawing/2014/chart" uri="{C3380CC4-5D6E-409C-BE32-E72D297353CC}">
                <c16:uniqueId val="{00000003-F550-4718-9A2B-C5BF258013F2}"/>
              </c:ext>
            </c:extLst>
          </c:dPt>
          <c:dPt>
            <c:idx val="2"/>
            <c:bubble3D val="0"/>
            <c:extLst>
              <c:ext xmlns:c16="http://schemas.microsoft.com/office/drawing/2014/chart" uri="{C3380CC4-5D6E-409C-BE32-E72D297353CC}">
                <c16:uniqueId val="{00000005-F550-4718-9A2B-C5BF258013F2}"/>
              </c:ext>
            </c:extLst>
          </c:dPt>
          <c:dPt>
            <c:idx val="3"/>
            <c:bubble3D val="0"/>
            <c:explosion val="0"/>
            <c:extLst>
              <c:ext xmlns:c16="http://schemas.microsoft.com/office/drawing/2014/chart" uri="{C3380CC4-5D6E-409C-BE32-E72D297353CC}">
                <c16:uniqueId val="{00000007-F550-4718-9A2B-C5BF258013F2}"/>
              </c:ext>
            </c:extLst>
          </c:dPt>
          <c:dLbls>
            <c:dLbl>
              <c:idx val="0"/>
              <c:layout>
                <c:manualLayout>
                  <c:x val="-0.10807479327811594"/>
                  <c:y val="-3.510574457638557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50-4718-9A2B-C5BF258013F2}"/>
                </c:ext>
              </c:extLst>
            </c:dLbl>
            <c:dLbl>
              <c:idx val="1"/>
              <c:layout>
                <c:manualLayout>
                  <c:x val="2.6169921826380227E-2"/>
                  <c:y val="1.0740848502482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50-4718-9A2B-C5BF258013F2}"/>
                </c:ext>
              </c:extLst>
            </c:dLbl>
            <c:dLbl>
              <c:idx val="2"/>
              <c:layout>
                <c:manualLayout>
                  <c:x val="-0.16921193746453775"/>
                  <c:y val="-0.1178768646990719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50-4718-9A2B-C5BF258013F2}"/>
                </c:ext>
              </c:extLst>
            </c:dLbl>
            <c:dLbl>
              <c:idx val="3"/>
              <c:layout>
                <c:manualLayout>
                  <c:x val="0.162478875493485"/>
                  <c:y val="3.16403142357492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50-4718-9A2B-C5BF258013F2}"/>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3</c:v>
                </c:pt>
                <c:pt idx="1">
                  <c:v>3</c:v>
                </c:pt>
                <c:pt idx="2">
                  <c:v>27</c:v>
                </c:pt>
                <c:pt idx="3">
                  <c:v>28</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F550-4718-9A2B-C5BF258013F2}"/>
            </c:ext>
          </c:extLst>
        </c:ser>
        <c:dLbls>
          <c:showLegendKey val="0"/>
          <c:showVal val="1"/>
          <c:showCatName val="0"/>
          <c:showSerName val="0"/>
          <c:showPercent val="0"/>
          <c:showBubbleSize val="0"/>
          <c:showLeaderLines val="1"/>
        </c:dLbls>
      </c:pie3DChart>
    </c:plotArea>
    <c:legend>
      <c:legendPos val="r"/>
      <c:layout>
        <c:manualLayout>
          <c:xMode val="edge"/>
          <c:yMode val="edge"/>
          <c:x val="0.71214028498078885"/>
          <c:y val="0.14492429528012105"/>
          <c:w val="0.19024552456107099"/>
          <c:h val="0.68955900075206367"/>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znevýhodnenia</a:t>
            </a:r>
            <a:endParaRPr lang="sk-SK" sz="1200">
              <a:effectLst/>
            </a:endParaRPr>
          </a:p>
        </c:rich>
      </c:tx>
      <c:layout>
        <c:manualLayout>
          <c:xMode val="edge"/>
          <c:yMode val="edge"/>
          <c:x val="0.1383142995844365"/>
          <c:y val="3.862149397285633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365878346973135"/>
          <c:y val="0.15672048912690287"/>
          <c:w val="0.43411338995830584"/>
          <c:h val="0.80476199676468052"/>
        </c:manualLayout>
      </c:layout>
      <c:pie3DChart>
        <c:varyColors val="1"/>
        <c:ser>
          <c:idx val="0"/>
          <c:order val="0"/>
          <c:explosion val="18"/>
          <c:dPt>
            <c:idx val="0"/>
            <c:bubble3D val="0"/>
            <c:explosion val="9"/>
            <c:extLst>
              <c:ext xmlns:c16="http://schemas.microsoft.com/office/drawing/2014/chart" uri="{C3380CC4-5D6E-409C-BE32-E72D297353CC}">
                <c16:uniqueId val="{00000001-8274-41AE-8DF8-5B6051EA4EE8}"/>
              </c:ext>
            </c:extLst>
          </c:dPt>
          <c:dPt>
            <c:idx val="1"/>
            <c:bubble3D val="0"/>
            <c:explosion val="11"/>
            <c:extLst>
              <c:ext xmlns:c16="http://schemas.microsoft.com/office/drawing/2014/chart" uri="{C3380CC4-5D6E-409C-BE32-E72D297353CC}">
                <c16:uniqueId val="{00000003-8274-41AE-8DF8-5B6051EA4EE8}"/>
              </c:ext>
            </c:extLst>
          </c:dPt>
          <c:dPt>
            <c:idx val="2"/>
            <c:bubble3D val="0"/>
            <c:explosion val="13"/>
            <c:extLst>
              <c:ext xmlns:c16="http://schemas.microsoft.com/office/drawing/2014/chart" uri="{C3380CC4-5D6E-409C-BE32-E72D297353CC}">
                <c16:uniqueId val="{00000005-8274-41AE-8DF8-5B6051EA4EE8}"/>
              </c:ext>
            </c:extLst>
          </c:dPt>
          <c:dPt>
            <c:idx val="3"/>
            <c:bubble3D val="0"/>
            <c:explosion val="11"/>
            <c:extLst>
              <c:ext xmlns:c16="http://schemas.microsoft.com/office/drawing/2014/chart" uri="{C3380CC4-5D6E-409C-BE32-E72D297353CC}">
                <c16:uniqueId val="{00000007-8274-41AE-8DF8-5B6051EA4EE8}"/>
              </c:ext>
            </c:extLst>
          </c:dPt>
          <c:dLbls>
            <c:dLbl>
              <c:idx val="4"/>
              <c:layout>
                <c:manualLayout>
                  <c:x val="-4.6793929398965053E-2"/>
                  <c:y val="-2.08799296028215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274-41AE-8DF8-5B6051EA4EE8}"/>
                </c:ext>
              </c:extLst>
            </c:dLbl>
            <c:dLbl>
              <c:idx val="5"/>
              <c:layout>
                <c:manualLayout>
                  <c:x val="6.6502208649367013E-3"/>
                  <c:y val="-3.43000064987415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274-41AE-8DF8-5B6051EA4EE8}"/>
                </c:ext>
              </c:extLst>
            </c:dLbl>
            <c:dLbl>
              <c:idx val="6"/>
              <c:layout>
                <c:manualLayout>
                  <c:x val="4.7393690458565875E-2"/>
                  <c:y val="-6.433402828884622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274-41AE-8DF8-5B6051EA4EE8}"/>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Hárok1!$A$1:$A$7</c:f>
              <c:strCache>
                <c:ptCount val="7"/>
                <c:pt idx="0">
                  <c:v>občan starší ako 50 rokv veku</c:v>
                </c:pt>
                <c:pt idx="1">
                  <c:v>dlhodobo nezamestnaný občan</c:v>
                </c:pt>
                <c:pt idx="2">
                  <c:v>občan - vzdelanie nižšie ako str.odb.</c:v>
                </c:pt>
                <c:pt idx="3">
                  <c:v>občan - 12 kal.mesiacov nemal pravidelne plat.zam.</c:v>
                </c:pt>
                <c:pt idx="4">
                  <c:v>osamelý občan - starostlivosť o odkázanú osobu/starajúci sa o dieťa</c:v>
                </c:pt>
                <c:pt idx="5">
                  <c:v>občan so zdravotným postihnutím</c:v>
                </c:pt>
                <c:pt idx="6">
                  <c:v>ukončil poberanie materského alebo poberanie rodičovského príspevku</c:v>
                </c:pt>
              </c:strCache>
            </c:strRef>
          </c:cat>
          <c:val>
            <c:numRef>
              <c:f>Hárok1!$B$1:$B$7</c:f>
              <c:numCache>
                <c:formatCode>General</c:formatCode>
                <c:ptCount val="7"/>
                <c:pt idx="0">
                  <c:v>28</c:v>
                </c:pt>
                <c:pt idx="1">
                  <c:v>32</c:v>
                </c:pt>
                <c:pt idx="2">
                  <c:v>17</c:v>
                </c:pt>
                <c:pt idx="3">
                  <c:v>42</c:v>
                </c:pt>
                <c:pt idx="4">
                  <c:v>1</c:v>
                </c:pt>
                <c:pt idx="5">
                  <c:v>9</c:v>
                </c:pt>
                <c:pt idx="6">
                  <c:v>1</c:v>
                </c:pt>
              </c:numCache>
            </c:numRef>
          </c:val>
          <c:extLst>
            <c:ext xmlns:c16="http://schemas.microsoft.com/office/drawing/2014/chart" uri="{C3380CC4-5D6E-409C-BE32-E72D297353CC}">
              <c16:uniqueId val="{0000000B-8274-41AE-8DF8-5B6051EA4EE8}"/>
            </c:ext>
          </c:extLst>
        </c:ser>
        <c:dLbls>
          <c:showLegendKey val="0"/>
          <c:showVal val="1"/>
          <c:showCatName val="0"/>
          <c:showSerName val="0"/>
          <c:showPercent val="0"/>
          <c:showBubbleSize val="0"/>
          <c:showLeaderLines val="1"/>
        </c:dLbls>
      </c:pie3DChart>
    </c:plotArea>
    <c:legend>
      <c:legendPos val="r"/>
      <c:layout>
        <c:manualLayout>
          <c:xMode val="edge"/>
          <c:yMode val="edge"/>
          <c:x val="0.7045769582062289"/>
          <c:y val="5.658346551511613E-2"/>
          <c:w val="0.26293089406280623"/>
          <c:h val="0.9195333294502817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3895842625433763"/>
          <c:y val="5.94415235884396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725494226034484"/>
          <c:y val="0.32162608343538568"/>
          <c:w val="0.43407564956579064"/>
          <c:h val="0.56491530064051176"/>
        </c:manualLayout>
      </c:layout>
      <c:pie3DChart>
        <c:varyColors val="1"/>
        <c:ser>
          <c:idx val="0"/>
          <c:order val="0"/>
          <c:explosion val="15"/>
          <c:dPt>
            <c:idx val="0"/>
            <c:bubble3D val="0"/>
            <c:explosion val="8"/>
            <c:extLst>
              <c:ext xmlns:c16="http://schemas.microsoft.com/office/drawing/2014/chart" uri="{C3380CC4-5D6E-409C-BE32-E72D297353CC}">
                <c16:uniqueId val="{00000001-0782-4A7E-A50E-6AF993F02B8E}"/>
              </c:ext>
            </c:extLst>
          </c:dPt>
          <c:dPt>
            <c:idx val="1"/>
            <c:bubble3D val="0"/>
            <c:explosion val="6"/>
            <c:extLst>
              <c:ext xmlns:c16="http://schemas.microsoft.com/office/drawing/2014/chart" uri="{C3380CC4-5D6E-409C-BE32-E72D297353CC}">
                <c16:uniqueId val="{00000003-0782-4A7E-A50E-6AF993F02B8E}"/>
              </c:ext>
            </c:extLst>
          </c:dPt>
          <c:dPt>
            <c:idx val="2"/>
            <c:bubble3D val="0"/>
            <c:explosion val="6"/>
            <c:extLst>
              <c:ext xmlns:c16="http://schemas.microsoft.com/office/drawing/2014/chart" uri="{C3380CC4-5D6E-409C-BE32-E72D297353CC}">
                <c16:uniqueId val="{00000005-0782-4A7E-A50E-6AF993F02B8E}"/>
              </c:ext>
            </c:extLst>
          </c:dPt>
          <c:dPt>
            <c:idx val="3"/>
            <c:bubble3D val="0"/>
            <c:explosion val="6"/>
            <c:extLst>
              <c:ext xmlns:c16="http://schemas.microsoft.com/office/drawing/2014/chart" uri="{C3380CC4-5D6E-409C-BE32-E72D297353CC}">
                <c16:uniqueId val="{00000003-0921-4D44-A452-EEB51E9CB067}"/>
              </c:ext>
            </c:extLst>
          </c:dPt>
          <c:dPt>
            <c:idx val="4"/>
            <c:bubble3D val="0"/>
            <c:explosion val="5"/>
            <c:extLst>
              <c:ext xmlns:c16="http://schemas.microsoft.com/office/drawing/2014/chart" uri="{C3380CC4-5D6E-409C-BE32-E72D297353CC}">
                <c16:uniqueId val="{00000004-0921-4D44-A452-EEB51E9CB067}"/>
              </c:ext>
            </c:extLst>
          </c:dPt>
          <c:dPt>
            <c:idx val="5"/>
            <c:bubble3D val="0"/>
            <c:explosion val="7"/>
            <c:extLst>
              <c:ext xmlns:c16="http://schemas.microsoft.com/office/drawing/2014/chart" uri="{C3380CC4-5D6E-409C-BE32-E72D297353CC}">
                <c16:uniqueId val="{00000006-0921-4D44-A452-EEB51E9CB067}"/>
              </c:ext>
            </c:extLst>
          </c:dPt>
          <c:dPt>
            <c:idx val="6"/>
            <c:bubble3D val="0"/>
            <c:explosion val="9"/>
            <c:extLst>
              <c:ext xmlns:c16="http://schemas.microsoft.com/office/drawing/2014/chart" uri="{C3380CC4-5D6E-409C-BE32-E72D297353CC}">
                <c16:uniqueId val="{00000005-0921-4D44-A452-EEB51E9CB067}"/>
              </c:ext>
            </c:extLst>
          </c:dPt>
          <c:dLbls>
            <c:dLbl>
              <c:idx val="0"/>
              <c:layout>
                <c:manualLayout>
                  <c:x val="2.9369831424597325E-2"/>
                  <c:y val="-1.99225877527332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82-4A7E-A50E-6AF993F02B8E}"/>
                </c:ext>
              </c:extLst>
            </c:dLbl>
            <c:dLbl>
              <c:idx val="1"/>
              <c:layout>
                <c:manualLayout>
                  <c:x val="-0.10629528966195374"/>
                  <c:y val="5.47620335715374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82-4A7E-A50E-6AF993F02B8E}"/>
                </c:ext>
              </c:extLst>
            </c:dLbl>
            <c:dLbl>
              <c:idx val="2"/>
              <c:layout>
                <c:manualLayout>
                  <c:x val="-0.10383305005752219"/>
                  <c:y val="-0.135329133202509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82-4A7E-A50E-6AF993F02B8E}"/>
                </c:ext>
              </c:extLst>
            </c:dLbl>
            <c:dLbl>
              <c:idx val="3"/>
              <c:layout>
                <c:manualLayout>
                  <c:x val="0.1424924803277528"/>
                  <c:y val="-0.118095153783478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21-4D44-A452-EEB51E9CB067}"/>
                </c:ext>
              </c:extLst>
            </c:dLbl>
            <c:dLbl>
              <c:idx val="4"/>
              <c:layout>
                <c:manualLayout>
                  <c:x val="-4.039191840974389E-2"/>
                  <c:y val="-5.79860684185245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921-4D44-A452-EEB51E9CB067}"/>
                </c:ext>
              </c:extLst>
            </c:dLbl>
            <c:dLbl>
              <c:idx val="5"/>
              <c:layout>
                <c:manualLayout>
                  <c:x val="-1.7009192423320259E-3"/>
                  <c:y val="-3.4995188374719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921-4D44-A452-EEB51E9CB067}"/>
                </c:ext>
              </c:extLst>
            </c:dLbl>
            <c:dLbl>
              <c:idx val="6"/>
              <c:layout>
                <c:manualLayout>
                  <c:x val="2.609724959512737E-2"/>
                  <c:y val="-2.65726309508001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21-4D44-A452-EEB51E9CB067}"/>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Hárok1!$A$1:$A$7</c:f>
              <c:strCache>
                <c:ptCount val="7"/>
                <c:pt idx="0">
                  <c:v>Neukončené základné vzdelanie</c:v>
                </c:pt>
                <c:pt idx="1">
                  <c:v>Základné vzdelanie</c:v>
                </c:pt>
                <c:pt idx="2">
                  <c:v>Stredné odborné vzdelanie</c:v>
                </c:pt>
                <c:pt idx="3">
                  <c:v>Úpné stredné odborné vzdelanie</c:v>
                </c:pt>
                <c:pt idx="4">
                  <c:v>Úplné stredné všeobecné vzdelanie</c:v>
                </c:pt>
                <c:pt idx="5">
                  <c:v>Vysokoškolské vzdelanie prvého stupňa</c:v>
                </c:pt>
                <c:pt idx="6">
                  <c:v>Vysokoškolské vzdelanie druhého stupňa</c:v>
                </c:pt>
              </c:strCache>
            </c:strRef>
          </c:cat>
          <c:val>
            <c:numRef>
              <c:f>Hárok1!$B$1:$B$7</c:f>
              <c:numCache>
                <c:formatCode>General</c:formatCode>
                <c:ptCount val="7"/>
                <c:pt idx="0">
                  <c:v>3</c:v>
                </c:pt>
                <c:pt idx="1">
                  <c:v>14</c:v>
                </c:pt>
                <c:pt idx="2">
                  <c:v>9</c:v>
                </c:pt>
                <c:pt idx="3">
                  <c:v>28</c:v>
                </c:pt>
                <c:pt idx="4">
                  <c:v>3</c:v>
                </c:pt>
                <c:pt idx="5">
                  <c:v>2</c:v>
                </c:pt>
                <c:pt idx="6">
                  <c:v>2</c:v>
                </c:pt>
              </c:numCache>
            </c:numRef>
          </c:val>
          <c:extLst>
            <c:ext xmlns:c16="http://schemas.microsoft.com/office/drawing/2014/chart" uri="{C3380CC4-5D6E-409C-BE32-E72D297353CC}">
              <c16:uniqueId val="{00000006-0782-4A7E-A50E-6AF993F02B8E}"/>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0.13570061339017708"/>
          <c:w val="0.30408761452202859"/>
          <c:h val="0.852908165484839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19744429217007464"/>
          <c:y val="9.387008599063238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119044988791466"/>
          <c:y val="0.27293719717580506"/>
          <c:w val="0.46873394047882"/>
          <c:h val="0.60564449471440374"/>
        </c:manualLayout>
      </c:layout>
      <c:pie3DChart>
        <c:varyColors val="1"/>
        <c:ser>
          <c:idx val="0"/>
          <c:order val="0"/>
          <c:explosion val="20"/>
          <c:dPt>
            <c:idx val="0"/>
            <c:bubble3D val="0"/>
            <c:explosion val="7"/>
            <c:extLst>
              <c:ext xmlns:c16="http://schemas.microsoft.com/office/drawing/2014/chart" uri="{C3380CC4-5D6E-409C-BE32-E72D297353CC}">
                <c16:uniqueId val="{00000001-97D8-48B4-812F-A9538EA01AB5}"/>
              </c:ext>
            </c:extLst>
          </c:dPt>
          <c:dPt>
            <c:idx val="1"/>
            <c:bubble3D val="0"/>
            <c:explosion val="7"/>
            <c:extLst>
              <c:ext xmlns:c16="http://schemas.microsoft.com/office/drawing/2014/chart" uri="{C3380CC4-5D6E-409C-BE32-E72D297353CC}">
                <c16:uniqueId val="{00000003-97D8-48B4-812F-A9538EA01AB5}"/>
              </c:ext>
            </c:extLst>
          </c:dPt>
          <c:dPt>
            <c:idx val="2"/>
            <c:bubble3D val="0"/>
            <c:explosion val="9"/>
            <c:extLst>
              <c:ext xmlns:c16="http://schemas.microsoft.com/office/drawing/2014/chart" uri="{C3380CC4-5D6E-409C-BE32-E72D297353CC}">
                <c16:uniqueId val="{00000005-97D8-48B4-812F-A9538EA01AB5}"/>
              </c:ext>
            </c:extLst>
          </c:dPt>
          <c:dPt>
            <c:idx val="3"/>
            <c:bubble3D val="0"/>
            <c:explosion val="6"/>
            <c:extLst>
              <c:ext xmlns:c16="http://schemas.microsoft.com/office/drawing/2014/chart" uri="{C3380CC4-5D6E-409C-BE32-E72D297353CC}">
                <c16:uniqueId val="{00000007-97D8-48B4-812F-A9538EA01AB5}"/>
              </c:ext>
            </c:extLst>
          </c:dPt>
          <c:dPt>
            <c:idx val="4"/>
            <c:bubble3D val="0"/>
            <c:explosion val="6"/>
            <c:extLst>
              <c:ext xmlns:c16="http://schemas.microsoft.com/office/drawing/2014/chart" uri="{C3380CC4-5D6E-409C-BE32-E72D297353CC}">
                <c16:uniqueId val="{00000004-8DDD-4BB7-BF29-94A37597012F}"/>
              </c:ext>
            </c:extLst>
          </c:dPt>
          <c:dLbls>
            <c:dLbl>
              <c:idx val="0"/>
              <c:layout>
                <c:manualLayout>
                  <c:x val="-8.7052348175962468E-2"/>
                  <c:y val="6.6324081727353101E-2"/>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D8-48B4-812F-A9538EA01AB5}"/>
                </c:ext>
              </c:extLst>
            </c:dLbl>
            <c:dLbl>
              <c:idx val="1"/>
              <c:layout>
                <c:manualLayout>
                  <c:x val="-0.10065483666473492"/>
                  <c:y val="-0.12488974344131887"/>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D8-48B4-812F-A9538EA01AB5}"/>
                </c:ext>
              </c:extLst>
            </c:dLbl>
            <c:dLbl>
              <c:idx val="2"/>
              <c:layout>
                <c:manualLayout>
                  <c:x val="-2.9243359364006717E-2"/>
                  <c:y val="-0.21708284392627716"/>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D8-48B4-812F-A9538EA01AB5}"/>
                </c:ext>
              </c:extLst>
            </c:dLbl>
            <c:dLbl>
              <c:idx val="3"/>
              <c:layout>
                <c:manualLayout>
                  <c:x val="0.11502147381588093"/>
                  <c:y val="-9.2412440100063983E-2"/>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D8-48B4-812F-A9538EA01AB5}"/>
                </c:ext>
              </c:extLst>
            </c:dLbl>
            <c:dLbl>
              <c:idx val="4"/>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6="http://schemas.microsoft.com/office/drawing/2014/chart" uri="{C3380CC4-5D6E-409C-BE32-E72D297353CC}">
                  <c16:uniqueId val="{00000004-8DDD-4BB7-BF29-94A37597012F}"/>
                </c:ext>
              </c:extLst>
            </c:dLbl>
            <c:numFmt formatCode="0.00%" sourceLinked="0"/>
            <c:spPr>
              <a:noFill/>
              <a:ln>
                <a:noFill/>
              </a:ln>
              <a:effectLst/>
            </c:spPr>
            <c:txPr>
              <a:bodyPr wrap="square" lIns="38100" tIns="19050" rIns="38100" bIns="19050" anchor="ctr">
                <a:spAutoFit/>
              </a:bodyPr>
              <a:lstStyle/>
              <a:p>
                <a:pPr>
                  <a:defRPr sz="900" b="1"/>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17</c:v>
                </c:pt>
                <c:pt idx="1">
                  <c:v>8</c:v>
                </c:pt>
                <c:pt idx="2">
                  <c:v>9</c:v>
                </c:pt>
                <c:pt idx="3">
                  <c:v>17</c:v>
                </c:pt>
                <c:pt idx="4">
                  <c:v>10</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97D8-48B4-812F-A9538EA01AB5}"/>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pracovných miest podľa SK ISCO</a:t>
            </a:r>
            <a:endParaRPr lang="sk-SK" sz="1200">
              <a:effectLst/>
            </a:endParaRPr>
          </a:p>
        </c:rich>
      </c:tx>
      <c:layout>
        <c:manualLayout>
          <c:xMode val="edge"/>
          <c:yMode val="edge"/>
          <c:x val="0.22560415353691099"/>
          <c:y val="7.675697317496331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274394908369586"/>
          <c:y val="0.28199586280528494"/>
          <c:w val="0.41024807456308293"/>
          <c:h val="0.53067663152275457"/>
        </c:manualLayout>
      </c:layout>
      <c:pie3DChart>
        <c:varyColors val="1"/>
        <c:ser>
          <c:idx val="0"/>
          <c:order val="0"/>
          <c:explosion val="9"/>
          <c:dPt>
            <c:idx val="0"/>
            <c:bubble3D val="0"/>
            <c:extLst>
              <c:ext xmlns:c16="http://schemas.microsoft.com/office/drawing/2014/chart" uri="{C3380CC4-5D6E-409C-BE32-E72D297353CC}">
                <c16:uniqueId val="{00000001-32D6-4E89-B318-7496951E6A2D}"/>
              </c:ext>
            </c:extLst>
          </c:dPt>
          <c:dPt>
            <c:idx val="1"/>
            <c:bubble3D val="0"/>
            <c:extLst>
              <c:ext xmlns:c16="http://schemas.microsoft.com/office/drawing/2014/chart" uri="{C3380CC4-5D6E-409C-BE32-E72D297353CC}">
                <c16:uniqueId val="{00000003-32D6-4E89-B318-7496951E6A2D}"/>
              </c:ext>
            </c:extLst>
          </c:dPt>
          <c:dPt>
            <c:idx val="2"/>
            <c:bubble3D val="0"/>
            <c:extLst>
              <c:ext xmlns:c16="http://schemas.microsoft.com/office/drawing/2014/chart" uri="{C3380CC4-5D6E-409C-BE32-E72D297353CC}">
                <c16:uniqueId val="{00000005-32D6-4E89-B318-7496951E6A2D}"/>
              </c:ext>
            </c:extLst>
          </c:dPt>
          <c:dPt>
            <c:idx val="3"/>
            <c:bubble3D val="0"/>
            <c:explosion val="5"/>
            <c:extLst>
              <c:ext xmlns:c16="http://schemas.microsoft.com/office/drawing/2014/chart" uri="{C3380CC4-5D6E-409C-BE32-E72D297353CC}">
                <c16:uniqueId val="{00000007-32D6-4E89-B318-7496951E6A2D}"/>
              </c:ext>
            </c:extLst>
          </c:dPt>
          <c:dPt>
            <c:idx val="4"/>
            <c:bubble3D val="0"/>
            <c:explosion val="11"/>
            <c:extLst>
              <c:ext xmlns:c16="http://schemas.microsoft.com/office/drawing/2014/chart" uri="{C3380CC4-5D6E-409C-BE32-E72D297353CC}">
                <c16:uniqueId val="{00000004-7F2B-48D3-9348-73E5BBD5D749}"/>
              </c:ext>
            </c:extLst>
          </c:dPt>
          <c:dLbls>
            <c:dLbl>
              <c:idx val="0"/>
              <c:layout>
                <c:manualLayout>
                  <c:x val="-6.520167731118523E-2"/>
                  <c:y val="-8.3112193848697089E-3"/>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D6-4E89-B318-7496951E6A2D}"/>
                </c:ext>
              </c:extLst>
            </c:dLbl>
            <c:dLbl>
              <c:idx val="1"/>
              <c:layout>
                <c:manualLayout>
                  <c:x val="-8.1835866043658875E-2"/>
                  <c:y val="5.23549542495033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D6-4E89-B318-7496951E6A2D}"/>
                </c:ext>
              </c:extLst>
            </c:dLbl>
            <c:dLbl>
              <c:idx val="2"/>
              <c:layout>
                <c:manualLayout>
                  <c:x val="-7.7057729421426566E-2"/>
                  <c:y val="-0.21478713465901508"/>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D6-4E89-B318-7496951E6A2D}"/>
                </c:ext>
              </c:extLst>
            </c:dLbl>
            <c:dLbl>
              <c:idx val="3"/>
              <c:layout>
                <c:manualLayout>
                  <c:x val="-2.4782724752279352E-2"/>
                  <c:y val="-4.8679688519598033E-3"/>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D6-4E89-B318-7496951E6A2D}"/>
                </c:ext>
              </c:extLst>
            </c:dLbl>
            <c:dLbl>
              <c:idx val="4"/>
              <c:layout>
                <c:manualLayout>
                  <c:x val="0.10223343007067255"/>
                  <c:y val="3.7687606038195501E-2"/>
                </c:manualLayout>
              </c:layout>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F2B-48D3-9348-73E5BBD5D749}"/>
                </c:ext>
              </c:extLst>
            </c:dLbl>
            <c:numFmt formatCode="0.00%" sourceLinked="0"/>
            <c:spPr>
              <a:noFill/>
              <a:ln>
                <a:noFill/>
              </a:ln>
              <a:effectLst/>
            </c:spPr>
            <c:txPr>
              <a:bodyPr wrap="square" lIns="38100" tIns="19050" rIns="38100" bIns="19050" anchor="ctr">
                <a:spAutoFit/>
              </a:bodyPr>
              <a:lstStyle/>
              <a:p>
                <a:pPr>
                  <a:defRPr sz="1000" b="1"/>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Špecialisti</c:v>
                </c:pt>
                <c:pt idx="1">
                  <c:v>Technici a odborní pracovníci</c:v>
                </c:pt>
                <c:pt idx="2">
                  <c:v>Administratívny pracovníci</c:v>
                </c:pt>
                <c:pt idx="3">
                  <c:v>Pracovníci v službách a obchode</c:v>
                </c:pt>
                <c:pt idx="4">
                  <c:v>Pomocní a nekvalifikovaní pracovníci</c:v>
                </c:pt>
              </c:strCache>
            </c:strRef>
          </c:cat>
          <c:val>
            <c:numRef>
              <c:f>Hárok1!$B$1:$B$5</c:f>
              <c:numCache>
                <c:formatCode>General</c:formatCode>
                <c:ptCount val="5"/>
                <c:pt idx="0">
                  <c:v>2</c:v>
                </c:pt>
                <c:pt idx="1">
                  <c:v>13</c:v>
                </c:pt>
                <c:pt idx="2">
                  <c:v>25</c:v>
                </c:pt>
                <c:pt idx="3">
                  <c:v>3</c:v>
                </c:pt>
                <c:pt idx="4">
                  <c:v>18</c:v>
                </c:pt>
              </c:numCache>
            </c:numRef>
          </c:val>
          <c:extLst>
            <c:ext xmlns:c16="http://schemas.microsoft.com/office/drawing/2014/chart" uri="{C3380CC4-5D6E-409C-BE32-E72D297353CC}">
              <c16:uniqueId val="{00000008-32D6-4E89-B318-7496951E6A2D}"/>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8527593141766372"/>
          <c:y val="2.625820568927789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666581450046015"/>
          <c:y val="0.28782092654559416"/>
          <c:w val="0.49951443569553805"/>
          <c:h val="0.56803453880234811"/>
        </c:manualLayout>
      </c:layout>
      <c:pie3DChart>
        <c:varyColors val="1"/>
        <c:ser>
          <c:idx val="0"/>
          <c:order val="0"/>
          <c:explosion val="18"/>
          <c:dPt>
            <c:idx val="0"/>
            <c:bubble3D val="0"/>
            <c:explosion val="5"/>
            <c:extLst>
              <c:ext xmlns:c16="http://schemas.microsoft.com/office/drawing/2014/chart" uri="{C3380CC4-5D6E-409C-BE32-E72D297353CC}">
                <c16:uniqueId val="{00000001-7D18-49D6-BF08-396ADF58F04E}"/>
              </c:ext>
            </c:extLst>
          </c:dPt>
          <c:dPt>
            <c:idx val="1"/>
            <c:bubble3D val="0"/>
            <c:explosion val="2"/>
            <c:extLst>
              <c:ext xmlns:c16="http://schemas.microsoft.com/office/drawing/2014/chart" uri="{C3380CC4-5D6E-409C-BE32-E72D297353CC}">
                <c16:uniqueId val="{00000003-7D18-49D6-BF08-396ADF58F04E}"/>
              </c:ext>
            </c:extLst>
          </c:dPt>
          <c:dPt>
            <c:idx val="2"/>
            <c:bubble3D val="0"/>
            <c:explosion val="12"/>
            <c:extLst>
              <c:ext xmlns:c16="http://schemas.microsoft.com/office/drawing/2014/chart" uri="{C3380CC4-5D6E-409C-BE32-E72D297353CC}">
                <c16:uniqueId val="{00000004-7D18-49D6-BF08-396ADF58F04E}"/>
              </c:ext>
            </c:extLst>
          </c:dPt>
          <c:dPt>
            <c:idx val="3"/>
            <c:bubble3D val="0"/>
            <c:explosion val="5"/>
            <c:extLst>
              <c:ext xmlns:c16="http://schemas.microsoft.com/office/drawing/2014/chart" uri="{C3380CC4-5D6E-409C-BE32-E72D297353CC}">
                <c16:uniqueId val="{00000006-7D18-49D6-BF08-396ADF58F04E}"/>
              </c:ext>
            </c:extLst>
          </c:dPt>
          <c:dLbls>
            <c:dLbl>
              <c:idx val="0"/>
              <c:layout>
                <c:manualLayout>
                  <c:x val="4.5758598357023554E-2"/>
                  <c:y val="-4.1826534171447664E-3"/>
                </c:manualLayout>
              </c:layout>
              <c:numFmt formatCode="0.00%" sourceLinked="0"/>
              <c:spPr>
                <a:noFill/>
                <a:ln>
                  <a:noFill/>
                </a:ln>
                <a:effectLst/>
              </c:spPr>
              <c:txPr>
                <a:bodyPr wrap="square" lIns="38100" tIns="19050" rIns="38100" bIns="19050" anchor="ctr">
                  <a:noAutofit/>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15:layout>
                    <c:manualLayout>
                      <c:w val="8.1937314653850082E-2"/>
                      <c:h val="0.11170610294141986"/>
                    </c:manualLayout>
                  </c15:layout>
                </c:ext>
                <c:ext xmlns:c16="http://schemas.microsoft.com/office/drawing/2014/chart" uri="{C3380CC4-5D6E-409C-BE32-E72D297353CC}">
                  <c16:uniqueId val="{00000001-7D18-49D6-BF08-396ADF58F04E}"/>
                </c:ext>
              </c:extLst>
            </c:dLbl>
            <c:dLbl>
              <c:idx val="1"/>
              <c:layout>
                <c:manualLayout>
                  <c:x val="-8.2581211439479232E-2"/>
                  <c:y val="2.87633931987465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18-49D6-BF08-396ADF58F04E}"/>
                </c:ext>
              </c:extLst>
            </c:dLbl>
            <c:dLbl>
              <c:idx val="2"/>
              <c:layout>
                <c:manualLayout>
                  <c:x val="0.15951000443126429"/>
                  <c:y val="-0.201540665098295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D18-49D6-BF08-396ADF58F04E}"/>
                </c:ext>
              </c:extLst>
            </c:dLbl>
            <c:dLbl>
              <c:idx val="3"/>
              <c:layout>
                <c:manualLayout>
                  <c:x val="-0.10040264853256983"/>
                  <c:y val="-5.0808749789000209E-3"/>
                </c:manualLayout>
              </c:layout>
              <c:numFmt formatCode="0.00%" sourceLinked="0"/>
              <c:spPr>
                <a:noFill/>
                <a:ln>
                  <a:noFill/>
                </a:ln>
                <a:effectLst/>
              </c:spPr>
              <c:txPr>
                <a:bodyPr wrap="square" lIns="38100" tIns="19050" rIns="38100" bIns="19050" anchor="ctr">
                  <a:noAutofit/>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15:layout>
                    <c:manualLayout>
                      <c:w val="8.8191703309813532E-2"/>
                      <c:h val="0.10428056518155912"/>
                    </c:manualLayout>
                  </c15:layout>
                </c:ext>
                <c:ext xmlns:c16="http://schemas.microsoft.com/office/drawing/2014/chart" uri="{C3380CC4-5D6E-409C-BE32-E72D297353CC}">
                  <c16:uniqueId val="{00000006-7D18-49D6-BF08-396ADF58F04E}"/>
                </c:ext>
              </c:extLst>
            </c:dLbl>
            <c:numFmt formatCode="0.00%" sourceLinked="0"/>
            <c:spPr>
              <a:noFill/>
              <a:ln>
                <a:noFill/>
              </a:ln>
              <a:effectLst/>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42</c:v>
                </c:pt>
                <c:pt idx="1">
                  <c:v>126</c:v>
                </c:pt>
                <c:pt idx="2">
                  <c:v>471</c:v>
                </c:pt>
                <c:pt idx="3">
                  <c:v>5</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7-7D18-49D6-BF08-396ADF58F04E}"/>
            </c:ext>
          </c:extLst>
        </c:ser>
        <c:dLbls>
          <c:showLegendKey val="0"/>
          <c:showVal val="1"/>
          <c:showCatName val="0"/>
          <c:showSerName val="0"/>
          <c:showPercent val="0"/>
          <c:showBubbleSize val="0"/>
          <c:showLeaderLines val="1"/>
        </c:dLbls>
      </c:pie3DChart>
    </c:plotArea>
    <c:legend>
      <c:legendPos val="r"/>
      <c:layout>
        <c:manualLayout>
          <c:xMode val="edge"/>
          <c:yMode val="edge"/>
          <c:x val="0.72527235231959641"/>
          <c:y val="0.21929348995310013"/>
          <c:w val="0.21341616388860482"/>
          <c:h val="0.6444552564599035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6316849724994567"/>
          <c:y val="4.50255038874857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268015159566291"/>
          <c:y val="0.26922187097386246"/>
          <c:w val="0.40824615075981746"/>
          <c:h val="0.61985105679294739"/>
        </c:manualLayout>
      </c:layout>
      <c:pie3DChart>
        <c:varyColors val="1"/>
        <c:ser>
          <c:idx val="0"/>
          <c:order val="0"/>
          <c:explosion val="13"/>
          <c:dLbls>
            <c:dLbl>
              <c:idx val="0"/>
              <c:layout>
                <c:manualLayout>
                  <c:x val="2.2487419964224216E-2"/>
                  <c:y val="-5.30789311713394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41-4860-92BD-DF72EE243705}"/>
                </c:ext>
              </c:extLst>
            </c:dLbl>
            <c:dLbl>
              <c:idx val="1"/>
              <c:layout>
                <c:manualLayout>
                  <c:x val="0.10758162758935669"/>
                  <c:y val="-3.12071756673633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41-4860-92BD-DF72EE243705}"/>
                </c:ext>
              </c:extLst>
            </c:dLbl>
            <c:dLbl>
              <c:idx val="2"/>
              <c:layout>
                <c:manualLayout>
                  <c:x val="-8.156744738117927E-2"/>
                  <c:y val="3.06381162317465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41-4860-92BD-DF72EE243705}"/>
                </c:ext>
              </c:extLst>
            </c:dLbl>
            <c:dLbl>
              <c:idx val="3"/>
              <c:layout>
                <c:manualLayout>
                  <c:x val="-0.10725876220296784"/>
                  <c:y val="-0.158532121883520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541-4860-92BD-DF72EE243705}"/>
                </c:ext>
              </c:extLst>
            </c:dLbl>
            <c:dLbl>
              <c:idx val="4"/>
              <c:layout>
                <c:manualLayout>
                  <c:x val="-5.3790728388250931E-3"/>
                  <c:y val="2.36036533169202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41-4860-92BD-DF72EE243705}"/>
                </c:ext>
              </c:extLst>
            </c:dLbl>
            <c:dLbl>
              <c:idx val="5"/>
              <c:layout>
                <c:manualLayout>
                  <c:x val="-9.5529698915024254E-3"/>
                  <c:y val="-5.9436155386237165E-2"/>
                </c:manualLayout>
              </c:layout>
              <c:numFmt formatCode="0.00%" sourceLinked="0"/>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541-4860-92BD-DF72EE243705}"/>
                </c:ext>
              </c:extLst>
            </c:dLbl>
            <c:dLbl>
              <c:idx val="6"/>
              <c:layout>
                <c:manualLayout>
                  <c:x val="-3.9805406489793874E-2"/>
                  <c:y val="-0.123167151275901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41-4860-92BD-DF72EE243705}"/>
                </c:ext>
              </c:extLst>
            </c:dLbl>
            <c:dLbl>
              <c:idx val="7"/>
              <c:layout>
                <c:manualLayout>
                  <c:x val="8.4727585803366895E-2"/>
                  <c:y val="5.32145306790096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541-4860-92BD-DF72EE243705}"/>
                </c:ext>
              </c:extLst>
            </c:dLbl>
            <c:dLbl>
              <c:idx val="8"/>
              <c:layout>
                <c:manualLayout>
                  <c:x val="-6.2641506119598969E-2"/>
                  <c:y val="-4.48099739572973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541-4860-92BD-DF72EE243705}"/>
                </c:ext>
              </c:extLst>
            </c:dLbl>
            <c:numFmt formatCode="0.00%" sourceLinked="0"/>
            <c:spPr>
              <a:noFill/>
              <a:ln>
                <a:noFill/>
              </a:ln>
              <a:effectLst/>
            </c:spPr>
            <c:txPr>
              <a:bodyPr wrap="square" lIns="38100" tIns="19050" rIns="38100" bIns="19050" anchor="ctr">
                <a:spAutoFit/>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Hárok1!$A$1:$A$9</c:f>
              <c:strCache>
                <c:ptCount val="9"/>
                <c:pt idx="0">
                  <c:v>Základné vzdelanie</c:v>
                </c:pt>
                <c:pt idx="1">
                  <c:v>Nižšie stredné odborné vzdelanie</c:v>
                </c:pt>
                <c:pt idx="2">
                  <c:v>Stredné odborné vzdelanie</c:v>
                </c:pt>
                <c:pt idx="3">
                  <c:v>Úplné stredné odborné vzdelanie</c:v>
                </c:pt>
                <c:pt idx="4">
                  <c:v>Úplné stredné všeobecné vzdelanie</c:v>
                </c:pt>
                <c:pt idx="5">
                  <c:v>Vyššie odborné vzdelanie</c:v>
                </c:pt>
                <c:pt idx="6">
                  <c:v>Vysokoškolské vzdelanie prvého stupňa</c:v>
                </c:pt>
                <c:pt idx="7">
                  <c:v>Vysokoškolské vzdelanie druhého stupňa</c:v>
                </c:pt>
                <c:pt idx="8">
                  <c:v>Vysokoškolské vzdelanie tretieho stupňa</c:v>
                </c:pt>
              </c:strCache>
            </c:strRef>
          </c:cat>
          <c:val>
            <c:numRef>
              <c:f>Hárok1!$B$1:$B$9</c:f>
              <c:numCache>
                <c:formatCode>General</c:formatCode>
                <c:ptCount val="9"/>
                <c:pt idx="0">
                  <c:v>2</c:v>
                </c:pt>
                <c:pt idx="1">
                  <c:v>1</c:v>
                </c:pt>
                <c:pt idx="2">
                  <c:v>112</c:v>
                </c:pt>
                <c:pt idx="3">
                  <c:v>290</c:v>
                </c:pt>
                <c:pt idx="4">
                  <c:v>27</c:v>
                </c:pt>
                <c:pt idx="5">
                  <c:v>10</c:v>
                </c:pt>
                <c:pt idx="6">
                  <c:v>46</c:v>
                </c:pt>
                <c:pt idx="7">
                  <c:v>145</c:v>
                </c:pt>
                <c:pt idx="8">
                  <c:v>11</c:v>
                </c:pt>
              </c:numCache>
            </c:numRef>
          </c:val>
          <c:extLst>
            <c:ext xmlns:c16="http://schemas.microsoft.com/office/drawing/2014/chart" uri="{C3380CC4-5D6E-409C-BE32-E72D297353CC}">
              <c16:uniqueId val="{00000007-2541-4860-92BD-DF72EE243705}"/>
            </c:ext>
          </c:extLst>
        </c:ser>
        <c:dLbls>
          <c:showLegendKey val="0"/>
          <c:showVal val="1"/>
          <c:showCatName val="0"/>
          <c:showSerName val="0"/>
          <c:showPercent val="0"/>
          <c:showBubbleSize val="0"/>
          <c:showLeaderLines val="1"/>
        </c:dLbls>
      </c:pie3DChart>
    </c:plotArea>
    <c:legend>
      <c:legendPos val="r"/>
      <c:layout>
        <c:manualLayout>
          <c:xMode val="edge"/>
          <c:yMode val="edge"/>
          <c:x val="0.68512789548438613"/>
          <c:y val="0.12218902735418041"/>
          <c:w val="0.26009186388855116"/>
          <c:h val="0.8618545949083097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latin typeface="+mn-lt"/>
              </a:rPr>
              <a:t>Štruktúra zaradených </a:t>
            </a:r>
            <a:r>
              <a:rPr lang="sk-SK" sz="1200" b="1" i="0" baseline="0">
                <a:effectLst/>
              </a:rPr>
              <a:t>UoZ podľa dĺžky evidencie</a:t>
            </a:r>
            <a:endParaRPr lang="sk-SK" sz="1200">
              <a:effectLst/>
            </a:endParaRPr>
          </a:p>
        </c:rich>
      </c:tx>
      <c:layout>
        <c:manualLayout>
          <c:xMode val="edge"/>
          <c:yMode val="edge"/>
          <c:x val="0.19839644483901395"/>
          <c:y val="8.8816836749196951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609162643907177"/>
          <c:y val="0.29942251772470352"/>
          <c:w val="0.45416374522691388"/>
          <c:h val="0.59057801443772839"/>
        </c:manualLayout>
      </c:layout>
      <c:pie3DChart>
        <c:varyColors val="1"/>
        <c:ser>
          <c:idx val="0"/>
          <c:order val="0"/>
          <c:explosion val="15"/>
          <c:dPt>
            <c:idx val="0"/>
            <c:bubble3D val="0"/>
            <c:extLst>
              <c:ext xmlns:c16="http://schemas.microsoft.com/office/drawing/2014/chart" uri="{C3380CC4-5D6E-409C-BE32-E72D297353CC}">
                <c16:uniqueId val="{00000001-006C-4189-8523-66C7DD44B05E}"/>
              </c:ext>
            </c:extLst>
          </c:dPt>
          <c:dPt>
            <c:idx val="1"/>
            <c:bubble3D val="0"/>
            <c:explosion val="8"/>
            <c:extLst>
              <c:ext xmlns:c16="http://schemas.microsoft.com/office/drawing/2014/chart" uri="{C3380CC4-5D6E-409C-BE32-E72D297353CC}">
                <c16:uniqueId val="{00000003-006C-4189-8523-66C7DD44B05E}"/>
              </c:ext>
            </c:extLst>
          </c:dPt>
          <c:dPt>
            <c:idx val="2"/>
            <c:bubble3D val="0"/>
            <c:explosion val="12"/>
            <c:extLst>
              <c:ext xmlns:c16="http://schemas.microsoft.com/office/drawing/2014/chart" uri="{C3380CC4-5D6E-409C-BE32-E72D297353CC}">
                <c16:uniqueId val="{00000005-006C-4189-8523-66C7DD44B05E}"/>
              </c:ext>
            </c:extLst>
          </c:dPt>
          <c:dLbls>
            <c:dLbl>
              <c:idx val="0"/>
              <c:layout>
                <c:manualLayout>
                  <c:x val="4.2968956234730668E-2"/>
                  <c:y val="-1.811677067337537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6C-4189-8523-66C7DD44B05E}"/>
                </c:ext>
              </c:extLst>
            </c:dLbl>
            <c:dLbl>
              <c:idx val="1"/>
              <c:layout>
                <c:manualLayout>
                  <c:x val="-0.13370156084749496"/>
                  <c:y val="4.10393985047897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6C-4189-8523-66C7DD44B05E}"/>
                </c:ext>
              </c:extLst>
            </c:dLbl>
            <c:dLbl>
              <c:idx val="2"/>
              <c:layout>
                <c:manualLayout>
                  <c:x val="0.12281648650420936"/>
                  <c:y val="-0.213134827491172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6C-4189-8523-66C7DD44B05E}"/>
                </c:ext>
              </c:extLst>
            </c:dLbl>
            <c:dLbl>
              <c:idx val="3"/>
              <c:layout>
                <c:manualLayout>
                  <c:x val="9.7414336660832157E-2"/>
                  <c:y val="5.17513534909616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06C-4189-8523-66C7DD44B05E}"/>
                </c:ext>
              </c:extLst>
            </c:dLbl>
            <c:dLbl>
              <c:idx val="4"/>
              <c:layout>
                <c:manualLayout>
                  <c:x val="-2.6680017015810284E-2"/>
                  <c:y val="-1.53110399581795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06C-4189-8523-66C7DD44B05E}"/>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93</c:v>
                </c:pt>
                <c:pt idx="1">
                  <c:v>1013</c:v>
                </c:pt>
                <c:pt idx="2">
                  <c:v>888</c:v>
                </c:pt>
                <c:pt idx="3">
                  <c:v>407</c:v>
                </c:pt>
                <c:pt idx="4">
                  <c:v>180</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006C-4189-8523-66C7DD44B05E}"/>
            </c:ext>
          </c:extLst>
        </c:ser>
        <c:dLbls>
          <c:showLegendKey val="0"/>
          <c:showVal val="1"/>
          <c:showCatName val="0"/>
          <c:showSerName val="0"/>
          <c:showPercent val="0"/>
          <c:showBubbleSize val="0"/>
          <c:showLeaderLines val="1"/>
        </c:dLbls>
      </c:pie3DChart>
    </c:plotArea>
    <c:legend>
      <c:legendPos val="r"/>
      <c:layout>
        <c:manualLayout>
          <c:xMode val="edge"/>
          <c:yMode val="edge"/>
          <c:x val="0.71103074171702707"/>
          <c:y val="0.19102302962295678"/>
          <c:w val="0.24659910784694514"/>
          <c:h val="0.55888495411337391"/>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314609537444183"/>
          <c:y val="0.11574074074074074"/>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212035995500559"/>
          <c:y val="0.32567426767506596"/>
          <c:w val="0.41293434911545146"/>
          <c:h val="0.46767437480453194"/>
        </c:manualLayout>
      </c:layout>
      <c:pie3DChart>
        <c:varyColors val="1"/>
        <c:ser>
          <c:idx val="0"/>
          <c:order val="0"/>
          <c:explosion val="4"/>
          <c:dPt>
            <c:idx val="0"/>
            <c:bubble3D val="0"/>
            <c:extLst>
              <c:ext xmlns:c16="http://schemas.microsoft.com/office/drawing/2014/chart" uri="{C3380CC4-5D6E-409C-BE32-E72D297353CC}">
                <c16:uniqueId val="{00000000-97DC-4423-AB10-76B454F53EC9}"/>
              </c:ext>
            </c:extLst>
          </c:dPt>
          <c:dPt>
            <c:idx val="1"/>
            <c:bubble3D val="0"/>
            <c:extLst>
              <c:ext xmlns:c16="http://schemas.microsoft.com/office/drawing/2014/chart" uri="{C3380CC4-5D6E-409C-BE32-E72D297353CC}">
                <c16:uniqueId val="{00000001-97DC-4423-AB10-76B454F53EC9}"/>
              </c:ext>
            </c:extLst>
          </c:dPt>
          <c:dLbls>
            <c:dLbl>
              <c:idx val="0"/>
              <c:layout>
                <c:manualLayout>
                  <c:x val="-0.10747298633125404"/>
                  <c:y val="6.0458223972003539E-2"/>
                </c:manualLayout>
              </c:layout>
              <c:numFmt formatCode="0.00%" sourceLinked="0"/>
              <c:spPr>
                <a:noFill/>
                <a:ln>
                  <a:noFill/>
                </a:ln>
                <a:effectLst/>
              </c:spPr>
              <c:txPr>
                <a:bodyPr wrap="square" lIns="38100" tIns="19050" rIns="38100" bIns="19050" anchor="ctr">
                  <a:noAutofit/>
                </a:bodyPr>
                <a:lstStyle/>
                <a:p>
                  <a:pPr>
                    <a:defRPr sz="900" b="0"/>
                  </a:pPr>
                  <a:endParaRPr lang="sk-SK"/>
                </a:p>
              </c:txPr>
              <c:showLegendKey val="0"/>
              <c:showVal val="0"/>
              <c:showCatName val="0"/>
              <c:showSerName val="0"/>
              <c:showPercent val="1"/>
              <c:showBubbleSize val="0"/>
              <c:extLst>
                <c:ext xmlns:c15="http://schemas.microsoft.com/office/drawing/2012/chart" uri="{CE6537A1-D6FC-4f65-9D91-7224C49458BB}">
                  <c15:layout>
                    <c:manualLayout>
                      <c:w val="0.10589818318164775"/>
                      <c:h val="8.7631598133566635E-2"/>
                    </c:manualLayout>
                  </c15:layout>
                </c:ext>
                <c:ext xmlns:c16="http://schemas.microsoft.com/office/drawing/2014/chart" uri="{C3380CC4-5D6E-409C-BE32-E72D297353CC}">
                  <c16:uniqueId val="{00000000-97DC-4423-AB10-76B454F53EC9}"/>
                </c:ext>
              </c:extLst>
            </c:dLbl>
            <c:dLbl>
              <c:idx val="1"/>
              <c:layout>
                <c:manualLayout>
                  <c:x val="0.17033251525377505"/>
                  <c:y val="-0.15627122530282411"/>
                </c:manualLayout>
              </c:layout>
              <c:numFmt formatCode="0.00%" sourceLinked="0"/>
              <c:spPr>
                <a:noFill/>
                <a:ln>
                  <a:noFill/>
                </a:ln>
                <a:effectLst/>
              </c:spPr>
              <c:txPr>
                <a:bodyPr wrap="square" lIns="38100" tIns="19050" rIns="38100" bIns="19050" anchor="ctr">
                  <a:noAutofit/>
                </a:bodyPr>
                <a:lstStyle/>
                <a:p>
                  <a:pPr>
                    <a:defRPr sz="900" b="0"/>
                  </a:pPr>
                  <a:endParaRPr lang="sk-SK"/>
                </a:p>
              </c:txPr>
              <c:showLegendKey val="0"/>
              <c:showVal val="0"/>
              <c:showCatName val="0"/>
              <c:showSerName val="0"/>
              <c:showPercent val="1"/>
              <c:showBubbleSize val="0"/>
              <c:extLst>
                <c:ext xmlns:c15="http://schemas.microsoft.com/office/drawing/2012/chart" uri="{CE6537A1-D6FC-4f65-9D91-7224C49458BB}">
                  <c15:layout>
                    <c:manualLayout>
                      <c:w val="7.7759655043119616E-2"/>
                      <c:h val="6.0714494021580634E-2"/>
                    </c:manualLayout>
                  </c15:layout>
                </c:ext>
                <c:ext xmlns:c16="http://schemas.microsoft.com/office/drawing/2014/chart" uri="{C3380CC4-5D6E-409C-BE32-E72D297353CC}">
                  <c16:uniqueId val="{00000001-97DC-4423-AB10-76B454F53EC9}"/>
                </c:ext>
              </c:extLst>
            </c:dLbl>
            <c:numFmt formatCode="0.00%" sourceLinked="0"/>
            <c:spPr>
              <a:noFill/>
              <a:ln>
                <a:noFill/>
              </a:ln>
              <a:effectLst/>
            </c:spPr>
            <c:txPr>
              <a:bodyPr wrap="square" lIns="38100" tIns="19050" rIns="38100" bIns="19050" anchor="ctr">
                <a:spAutoFit/>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25 - 29 r.</c:v>
                </c:pt>
                <c:pt idx="1">
                  <c:v>30 - 49 r.</c:v>
                </c:pt>
              </c:strCache>
            </c:strRef>
          </c:cat>
          <c:val>
            <c:numRef>
              <c:f>Hárok1!$B$1:$B$2</c:f>
              <c:numCache>
                <c:formatCode>General</c:formatCode>
                <c:ptCount val="2"/>
                <c:pt idx="0">
                  <c:v>1</c:v>
                </c:pt>
                <c:pt idx="1">
                  <c:v>3</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2-97DC-4423-AB10-76B454F53EC9}"/>
            </c:ext>
          </c:extLst>
        </c:ser>
        <c:dLbls>
          <c:showLegendKey val="0"/>
          <c:showVal val="1"/>
          <c:showCatName val="0"/>
          <c:showSerName val="0"/>
          <c:showPercent val="0"/>
          <c:showBubbleSize val="0"/>
          <c:showLeaderLines val="1"/>
        </c:dLbls>
      </c:pie3DChart>
    </c:plotArea>
    <c:legend>
      <c:legendPos val="r"/>
      <c:layout>
        <c:manualLayout>
          <c:xMode val="edge"/>
          <c:yMode val="edge"/>
          <c:x val="0.74258836963561392"/>
          <c:y val="0.28039151356080488"/>
          <c:w val="0.16363261410505503"/>
          <c:h val="0.38403944298629339"/>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213375466224618"/>
          <c:y val="0.10402241244691249"/>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203991546511232"/>
          <c:y val="0.20773965541577555"/>
          <c:w val="0.40325960077358752"/>
          <c:h val="0.61939848560444877"/>
        </c:manualLayout>
      </c:layout>
      <c:pie3DChart>
        <c:varyColors val="1"/>
        <c:ser>
          <c:idx val="0"/>
          <c:order val="0"/>
          <c:explosion val="6"/>
          <c:dLbls>
            <c:dLbl>
              <c:idx val="0"/>
              <c:layout>
                <c:manualLayout>
                  <c:x val="-9.9195158171018136E-2"/>
                  <c:y val="6.4554422188036531E-2"/>
                </c:manualLayout>
              </c:layout>
              <c:numFmt formatCode="0.00%" sourceLinked="0"/>
              <c:spPr>
                <a:noFill/>
                <a:ln>
                  <a:noFill/>
                </a:ln>
                <a:effectLst/>
              </c:spPr>
              <c:txPr>
                <a:bodyPr wrap="square" lIns="38100" tIns="19050" rIns="38100" bIns="19050" anchor="ctr">
                  <a:spAutoFit/>
                </a:bodyPr>
                <a:lstStyle/>
                <a:p>
                  <a:pPr>
                    <a:defRPr sz="9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A9A-43A0-87C0-C4480FC5C57A}"/>
                </c:ext>
              </c:extLst>
            </c:dLbl>
            <c:dLbl>
              <c:idx val="1"/>
              <c:layout>
                <c:manualLayout>
                  <c:x val="0.15984678051607185"/>
                  <c:y val="-0.16866438325570093"/>
                </c:manualLayout>
              </c:layout>
              <c:numFmt formatCode="0.00%" sourceLinked="0"/>
              <c:spPr>
                <a:noFill/>
                <a:ln>
                  <a:noFill/>
                </a:ln>
                <a:effectLst/>
              </c:spPr>
              <c:txPr>
                <a:bodyPr wrap="square" lIns="38100" tIns="19050" rIns="38100" bIns="19050" anchor="ctr">
                  <a:spAutoFit/>
                </a:bodyPr>
                <a:lstStyle/>
                <a:p>
                  <a:pPr>
                    <a:defRPr sz="9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9A-43A0-87C0-C4480FC5C57A}"/>
                </c:ext>
              </c:extLst>
            </c:dLbl>
            <c:numFmt formatCode="0.00%" sourceLinked="0"/>
            <c:spPr>
              <a:noFill/>
              <a:ln>
                <a:noFill/>
              </a:ln>
              <a:effectLst/>
            </c:spPr>
            <c:txPr>
              <a:bodyPr wrap="square" lIns="38100" tIns="19050" rIns="38100" bIns="19050" anchor="ctr">
                <a:spAutoFit/>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Úplné stredné odborné vzdelanie</c:v>
                </c:pt>
                <c:pt idx="1">
                  <c:v>Vysokoškolské vzdelanie druhého stupňa</c:v>
                </c:pt>
              </c:strCache>
            </c:strRef>
          </c:cat>
          <c:val>
            <c:numRef>
              <c:f>Hárok1!$B$1:$B$2</c:f>
              <c:numCache>
                <c:formatCode>General</c:formatCode>
                <c:ptCount val="2"/>
                <c:pt idx="0">
                  <c:v>1</c:v>
                </c:pt>
                <c:pt idx="1">
                  <c:v>3</c:v>
                </c:pt>
              </c:numCache>
            </c:numRef>
          </c:val>
          <c:extLst>
            <c:ext xmlns:c16="http://schemas.microsoft.com/office/drawing/2014/chart" uri="{C3380CC4-5D6E-409C-BE32-E72D297353CC}">
              <c16:uniqueId val="{00000002-0A9A-43A0-87C0-C4480FC5C57A}"/>
            </c:ext>
          </c:extLst>
        </c:ser>
        <c:dLbls>
          <c:showLegendKey val="0"/>
          <c:showVal val="1"/>
          <c:showCatName val="0"/>
          <c:showSerName val="0"/>
          <c:showPercent val="0"/>
          <c:showBubbleSize val="0"/>
          <c:showLeaderLines val="1"/>
        </c:dLbls>
      </c:pie3DChart>
    </c:plotArea>
    <c:legend>
      <c:legendPos val="r"/>
      <c:layout>
        <c:manualLayout>
          <c:xMode val="edge"/>
          <c:yMode val="edge"/>
          <c:x val="0.69170690012432656"/>
          <c:y val="0.23808758078146972"/>
          <c:w val="0.26009186388855116"/>
          <c:h val="0.586325620121174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znevýhodnenia</a:t>
            </a:r>
            <a:endParaRPr lang="sk-SK" sz="1100">
              <a:effectLst/>
            </a:endParaRPr>
          </a:p>
        </c:rich>
      </c:tx>
      <c:layout>
        <c:manualLayout>
          <c:xMode val="edge"/>
          <c:yMode val="edge"/>
          <c:x val="0.20827498485766199"/>
          <c:y val="3.8621327686519609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997952567675211"/>
          <c:y val="0.25616926908466742"/>
          <c:w val="0.47718674413769568"/>
          <c:h val="0.61877108074688014"/>
        </c:manualLayout>
      </c:layout>
      <c:pie3DChart>
        <c:varyColors val="1"/>
        <c:ser>
          <c:idx val="0"/>
          <c:order val="0"/>
          <c:explosion val="38"/>
          <c:dPt>
            <c:idx val="0"/>
            <c:bubble3D val="0"/>
            <c:extLst>
              <c:ext xmlns:c16="http://schemas.microsoft.com/office/drawing/2014/chart" uri="{C3380CC4-5D6E-409C-BE32-E72D297353CC}">
                <c16:uniqueId val="{00000001-11B8-45E1-B27E-7D2426F43DAF}"/>
              </c:ext>
            </c:extLst>
          </c:dPt>
          <c:dPt>
            <c:idx val="1"/>
            <c:bubble3D val="0"/>
            <c:explosion val="3"/>
            <c:extLst>
              <c:ext xmlns:c16="http://schemas.microsoft.com/office/drawing/2014/chart" uri="{C3380CC4-5D6E-409C-BE32-E72D297353CC}">
                <c16:uniqueId val="{00000003-11B8-45E1-B27E-7D2426F43DAF}"/>
              </c:ext>
            </c:extLst>
          </c:dPt>
          <c:dPt>
            <c:idx val="2"/>
            <c:bubble3D val="0"/>
            <c:explosion val="26"/>
            <c:extLst>
              <c:ext xmlns:c16="http://schemas.microsoft.com/office/drawing/2014/chart" uri="{C3380CC4-5D6E-409C-BE32-E72D297353CC}">
                <c16:uniqueId val="{00000005-11B8-45E1-B27E-7D2426F43DAF}"/>
              </c:ext>
            </c:extLst>
          </c:dPt>
          <c:dPt>
            <c:idx val="3"/>
            <c:bubble3D val="0"/>
            <c:explosion val="6"/>
            <c:extLst>
              <c:ext xmlns:c16="http://schemas.microsoft.com/office/drawing/2014/chart" uri="{C3380CC4-5D6E-409C-BE32-E72D297353CC}">
                <c16:uniqueId val="{00000006-6266-4227-B154-46F58F7C5F50}"/>
              </c:ext>
            </c:extLst>
          </c:dPt>
          <c:dLbls>
            <c:dLbl>
              <c:idx val="0"/>
              <c:layout>
                <c:manualLayout>
                  <c:x val="5.5305142708514256E-2"/>
                  <c:y val="2.01343778501773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B8-45E1-B27E-7D2426F43DAF}"/>
                </c:ext>
              </c:extLst>
            </c:dLbl>
            <c:dLbl>
              <c:idx val="1"/>
              <c:layout>
                <c:manualLayout>
                  <c:x val="5.2934296502082083E-2"/>
                  <c:y val="3.729397886436667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B8-45E1-B27E-7D2426F43DAF}"/>
                </c:ext>
              </c:extLst>
            </c:dLbl>
            <c:dLbl>
              <c:idx val="2"/>
              <c:layout>
                <c:manualLayout>
                  <c:x val="-0.11818107926121325"/>
                  <c:y val="-0.21507829977628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B8-45E1-B27E-7D2426F43DAF}"/>
                </c:ext>
              </c:extLst>
            </c:dLbl>
            <c:dLbl>
              <c:idx val="3"/>
              <c:layout>
                <c:manualLayout>
                  <c:x val="0.11316810091990032"/>
                  <c:y val="4.43985767469442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266-4227-B154-46F58F7C5F50}"/>
                </c:ext>
              </c:extLst>
            </c:dLbl>
            <c:dLbl>
              <c:idx val="4"/>
              <c:layout>
                <c:manualLayout>
                  <c:x val="-9.1116813158324789E-2"/>
                  <c:y val="2.03123292681023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66-4227-B154-46F58F7C5F50}"/>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absolventi škôl</c:v>
                </c:pt>
                <c:pt idx="1">
                  <c:v>občan starší ako 50 rokv veku</c:v>
                </c:pt>
                <c:pt idx="2">
                  <c:v>dlhodobo nezamestnaný občan</c:v>
                </c:pt>
                <c:pt idx="3">
                  <c:v>občan - 12 kal.mesiacov nemal pravidelne plat.zam.</c:v>
                </c:pt>
                <c:pt idx="4">
                  <c:v>osamelý občan - starostlivosť o odkázanú osobu/starajúci sa o dieťa</c:v>
                </c:pt>
              </c:strCache>
            </c:strRef>
          </c:cat>
          <c:val>
            <c:numRef>
              <c:f>Hárok1!$B$1:$B$5</c:f>
              <c:numCache>
                <c:formatCode>General</c:formatCode>
                <c:ptCount val="5"/>
                <c:pt idx="0">
                  <c:v>1</c:v>
                </c:pt>
                <c:pt idx="1">
                  <c:v>15</c:v>
                </c:pt>
                <c:pt idx="2">
                  <c:v>50</c:v>
                </c:pt>
                <c:pt idx="3">
                  <c:v>34</c:v>
                </c:pt>
                <c:pt idx="4">
                  <c:v>1</c:v>
                </c:pt>
              </c:numCache>
            </c:numRef>
          </c:val>
          <c:extLst>
            <c:ext xmlns:c16="http://schemas.microsoft.com/office/drawing/2014/chart" uri="{C3380CC4-5D6E-409C-BE32-E72D297353CC}">
              <c16:uniqueId val="{00000006-11B8-45E1-B27E-7D2426F43DAF}"/>
            </c:ext>
          </c:extLst>
        </c:ser>
        <c:dLbls>
          <c:showLegendKey val="0"/>
          <c:showVal val="1"/>
          <c:showCatName val="0"/>
          <c:showSerName val="0"/>
          <c:showPercent val="0"/>
          <c:showBubbleSize val="0"/>
          <c:showLeaderLines val="1"/>
        </c:dLbls>
      </c:pie3DChart>
    </c:plotArea>
    <c:legend>
      <c:legendPos val="r"/>
      <c:layout>
        <c:manualLayout>
          <c:xMode val="edge"/>
          <c:yMode val="edge"/>
          <c:x val="0.69581265915380208"/>
          <c:y val="0.24206001105625224"/>
          <c:w val="0.24540239601951597"/>
          <c:h val="0.5650163071800695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6695009487843887"/>
          <c:y val="0.1200609689413823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950699850972259"/>
          <c:y val="0.22254791393263346"/>
          <c:w val="0.41829658480223791"/>
          <c:h val="0.63905361439195107"/>
        </c:manualLayout>
      </c:layout>
      <c:pie3DChart>
        <c:varyColors val="1"/>
        <c:ser>
          <c:idx val="0"/>
          <c:order val="0"/>
          <c:explosion val="13"/>
          <c:dPt>
            <c:idx val="0"/>
            <c:bubble3D val="0"/>
            <c:explosion val="3"/>
            <c:extLst>
              <c:ext xmlns:c16="http://schemas.microsoft.com/office/drawing/2014/chart" uri="{C3380CC4-5D6E-409C-BE32-E72D297353CC}">
                <c16:uniqueId val="{00000000-B206-4F5B-B343-5B01B0F5E785}"/>
              </c:ext>
            </c:extLst>
          </c:dPt>
          <c:dPt>
            <c:idx val="2"/>
            <c:bubble3D val="0"/>
            <c:explosion val="7"/>
            <c:extLst>
              <c:ext xmlns:c16="http://schemas.microsoft.com/office/drawing/2014/chart" uri="{C3380CC4-5D6E-409C-BE32-E72D297353CC}">
                <c16:uniqueId val="{00000002-B206-4F5B-B343-5B01B0F5E785}"/>
              </c:ext>
            </c:extLst>
          </c:dPt>
          <c:dLbls>
            <c:dLbl>
              <c:idx val="0"/>
              <c:layout>
                <c:manualLayout>
                  <c:x val="-8.4008468667979008E-2"/>
                  <c:y val="5.5501024700679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206-4F5B-B343-5B01B0F5E785}"/>
                </c:ext>
              </c:extLst>
            </c:dLbl>
            <c:dLbl>
              <c:idx val="1"/>
              <c:layout>
                <c:manualLayout>
                  <c:x val="3.4894808070865743E-3"/>
                  <c:y val="-0.213315116973194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06-4F5B-B343-5B01B0F5E785}"/>
                </c:ext>
              </c:extLst>
            </c:dLbl>
            <c:dLbl>
              <c:idx val="2"/>
              <c:layout>
                <c:manualLayout>
                  <c:x val="0.10991873770350723"/>
                  <c:y val="3.1548522255030624E-2"/>
                </c:manualLayout>
              </c:layout>
              <c:numFmt formatCode="0.00%" sourceLinked="0"/>
              <c:spPr/>
              <c:txPr>
                <a:bodyPr/>
                <a:lstStyle/>
                <a:p>
                  <a:pPr>
                    <a:defRPr/>
                  </a:pPr>
                  <a:endParaRPr lang="sk-SK"/>
                </a:p>
              </c:txPr>
              <c:showLegendKey val="0"/>
              <c:showVal val="0"/>
              <c:showCatName val="0"/>
              <c:showSerName val="0"/>
              <c:showPercent val="1"/>
              <c:showBubbleSize val="0"/>
              <c:extLst>
                <c:ext xmlns:c15="http://schemas.microsoft.com/office/drawing/2012/chart" uri="{CE6537A1-D6FC-4f65-9D91-7224C49458BB}">
                  <c15:layout>
                    <c:manualLayout>
                      <c:w val="7.7962213926808549E-2"/>
                      <c:h val="9.108397583114608E-2"/>
                    </c:manualLayout>
                  </c15:layout>
                </c:ext>
                <c:ext xmlns:c16="http://schemas.microsoft.com/office/drawing/2014/chart" uri="{C3380CC4-5D6E-409C-BE32-E72D297353CC}">
                  <c16:uniqueId val="{00000002-B206-4F5B-B343-5B01B0F5E785}"/>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Hárok1!$A$1:$A$3</c:f>
              <c:strCache>
                <c:ptCount val="3"/>
                <c:pt idx="0">
                  <c:v>Úplné stredné odborné vzdelanie</c:v>
                </c:pt>
                <c:pt idx="1">
                  <c:v>Vysokoškolské vzdelanie prvého stupňa</c:v>
                </c:pt>
                <c:pt idx="2">
                  <c:v>Vysokoškolské vzdelanie druhého stupňa</c:v>
                </c:pt>
              </c:strCache>
            </c:strRef>
          </c:cat>
          <c:val>
            <c:numRef>
              <c:f>Hárok1!$B$1:$B$3</c:f>
              <c:numCache>
                <c:formatCode>General</c:formatCode>
                <c:ptCount val="3"/>
                <c:pt idx="0">
                  <c:v>1</c:v>
                </c:pt>
                <c:pt idx="1">
                  <c:v>1</c:v>
                </c:pt>
                <c:pt idx="2">
                  <c:v>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3-B206-4F5B-B343-5B01B0F5E785}"/>
            </c:ext>
          </c:extLst>
        </c:ser>
        <c:dLbls>
          <c:showLegendKey val="0"/>
          <c:showVal val="1"/>
          <c:showCatName val="0"/>
          <c:showSerName val="0"/>
          <c:showPercent val="0"/>
          <c:showBubbleSize val="0"/>
          <c:showLeaderLines val="1"/>
        </c:dLbls>
      </c:pie3DChart>
    </c:plotArea>
    <c:legend>
      <c:legendPos val="r"/>
      <c:layout>
        <c:manualLayout>
          <c:xMode val="edge"/>
          <c:yMode val="edge"/>
          <c:x val="0.67878063956699153"/>
          <c:y val="0.23537899527898087"/>
          <c:w val="0.26009186388855116"/>
          <c:h val="0.6217853691122545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2829181105725013"/>
          <c:y val="9.0637543697595732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7890392624688731"/>
          <c:y val="0.29582192783841932"/>
          <c:w val="0.47124681163733456"/>
          <c:h val="0.61530085237041221"/>
        </c:manualLayout>
      </c:layout>
      <c:pie3DChart>
        <c:varyColors val="1"/>
        <c:ser>
          <c:idx val="0"/>
          <c:order val="0"/>
          <c:explosion val="25"/>
          <c:dPt>
            <c:idx val="0"/>
            <c:bubble3D val="0"/>
            <c:explosion val="0"/>
            <c:extLst>
              <c:ext xmlns:c16="http://schemas.microsoft.com/office/drawing/2014/chart" uri="{C3380CC4-5D6E-409C-BE32-E72D297353CC}">
                <c16:uniqueId val="{00000001-9C81-4AF9-9E13-BC1A06A28E2C}"/>
              </c:ext>
            </c:extLst>
          </c:dPt>
          <c:dPt>
            <c:idx val="1"/>
            <c:bubble3D val="0"/>
            <c:explosion val="8"/>
            <c:extLst>
              <c:ext xmlns:c16="http://schemas.microsoft.com/office/drawing/2014/chart" uri="{C3380CC4-5D6E-409C-BE32-E72D297353CC}">
                <c16:uniqueId val="{00000003-9C81-4AF9-9E13-BC1A06A28E2C}"/>
              </c:ext>
            </c:extLst>
          </c:dPt>
          <c:dLbls>
            <c:dLbl>
              <c:idx val="0"/>
              <c:layout>
                <c:manualLayout>
                  <c:x val="-0.1214555579655682"/>
                  <c:y val="3.9939592804355599E-2"/>
                </c:manualLayout>
              </c:layout>
              <c:numFmt formatCode="0.00%" sourceLinked="0"/>
              <c:spPr>
                <a:noFill/>
                <a:ln>
                  <a:noFill/>
                </a:ln>
                <a:effectLst/>
              </c:spPr>
              <c:txPr>
                <a:bodyPr wrap="square" lIns="38100" tIns="19050" rIns="38100" bIns="19050" anchor="ctr">
                  <a:noAutofit/>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15:layout>
                    <c:manualLayout>
                      <c:w val="9.3796627439507285E-2"/>
                      <c:h val="7.1121524555974286E-2"/>
                    </c:manualLayout>
                  </c15:layout>
                </c:ext>
                <c:ext xmlns:c16="http://schemas.microsoft.com/office/drawing/2014/chart" uri="{C3380CC4-5D6E-409C-BE32-E72D297353CC}">
                  <c16:uniqueId val="{00000001-9C81-4AF9-9E13-BC1A06A28E2C}"/>
                </c:ext>
              </c:extLst>
            </c:dLbl>
            <c:dLbl>
              <c:idx val="1"/>
              <c:layout>
                <c:manualLayout>
                  <c:x val="0.1612533859276559"/>
                  <c:y val="-0.115499733040282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81-4AF9-9E13-BC1A06A28E2C}"/>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Hárok1!$A$1:$A$2</c:f>
              <c:strCache>
                <c:ptCount val="2"/>
                <c:pt idx="0">
                  <c:v>0-3 mesiacov</c:v>
                </c:pt>
                <c:pt idx="1">
                  <c:v>7-12 mesiacov</c:v>
                </c:pt>
              </c:strCache>
            </c:strRef>
          </c:cat>
          <c:val>
            <c:numRef>
              <c:f>Hárok1!$B$1:$B$2</c:f>
              <c:numCache>
                <c:formatCode>General</c:formatCode>
                <c:ptCount val="2"/>
                <c:pt idx="0">
                  <c:v>1</c:v>
                </c:pt>
                <c:pt idx="1">
                  <c:v>2</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9C81-4AF9-9E13-BC1A06A28E2C}"/>
            </c:ext>
          </c:extLst>
        </c:ser>
        <c:dLbls>
          <c:showLegendKey val="0"/>
          <c:showVal val="1"/>
          <c:showCatName val="0"/>
          <c:showSerName val="0"/>
          <c:showPercent val="0"/>
          <c:showBubbleSize val="0"/>
          <c:showLeaderLines val="1"/>
        </c:dLbls>
      </c:pie3DChart>
    </c:plotArea>
    <c:legend>
      <c:legendPos val="r"/>
      <c:layout>
        <c:manualLayout>
          <c:xMode val="edge"/>
          <c:yMode val="edge"/>
          <c:x val="0.68754146763044743"/>
          <c:y val="0.25964238375782428"/>
          <c:w val="0.27649448655111553"/>
          <c:h val="0.634323159291630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t>Štr</a:t>
            </a:r>
            <a:r>
              <a:rPr lang="sk-SK" sz="1050"/>
              <a:t>uktúra ZUoZ, ktorým boli v roku 2023 poskytnuté</a:t>
            </a:r>
            <a:r>
              <a:rPr lang="sk-SK" sz="1050" baseline="0"/>
              <a:t> OPS v rámci opatrenia č. 1 NP Aktivácia pre ZUoZ</a:t>
            </a:r>
            <a:endParaRPr lang="en-US" sz="105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view3D>
      <c:rotX val="0"/>
      <c:rotY val="0"/>
      <c:depthPercent val="60"/>
      <c:rAngAx val="0"/>
      <c:perspective val="120"/>
    </c:view3D>
    <c:floor>
      <c:thickness val="0"/>
      <c:spPr>
        <a:solidFill>
          <a:schemeClr val="lt1">
            <a:lumMod val="95000"/>
          </a:schemeClr>
        </a:solidFill>
        <a:ln>
          <a:noFill/>
        </a:ln>
        <a:effectLst/>
        <a:sp3d/>
      </c:spPr>
    </c:floor>
    <c:sideWall>
      <c:thickness val="0"/>
      <c:spPr>
        <a:noFill/>
        <a:ln>
          <a:noFill/>
        </a:ln>
        <a:effectLst>
          <a:outerShdw blurRad="50800" dist="38100" dir="5400000" algn="t" rotWithShape="0">
            <a:prstClr val="black">
              <a:alpha val="40000"/>
            </a:prstClr>
          </a:outerShdw>
        </a:effectLst>
        <a:sp3d/>
      </c:spPr>
    </c:sideWall>
    <c:backWall>
      <c:thickness val="0"/>
      <c:spPr>
        <a:noFill/>
        <a:ln>
          <a:noFill/>
        </a:ln>
        <a:effectLst>
          <a:outerShdw blurRad="50800" dist="38100" dir="5400000" algn="t" rotWithShape="0">
            <a:prstClr val="black">
              <a:alpha val="40000"/>
            </a:prstClr>
          </a:outerShdw>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Hárok1!$B$5:$B$13</c:f>
              <c:strCache>
                <c:ptCount val="9"/>
                <c:pt idx="0">
                  <c:v>štátni príslušníci tretej krajiny, ktorým bol udelený azyl</c:v>
                </c:pt>
                <c:pt idx="1">
                  <c:v>občania, ktorí žijú v domácnosti s osobami odkázanými na starostlivosť</c:v>
                </c:pt>
                <c:pt idx="2">
                  <c:v>občania, ktorí ukončili poberanie materského alebo rodičovského príspevku</c:v>
                </c:pt>
                <c:pt idx="3">
                  <c:v>absolventi škôl</c:v>
                </c:pt>
                <c:pt idx="4">
                  <c:v>občania so zdravotným postihnutím</c:v>
                </c:pt>
                <c:pt idx="5">
                  <c:v>občania starší ako 50 rokov </c:v>
                </c:pt>
                <c:pt idx="6">
                  <c:v>občania s nižším vzdelaním ako stredné odborné</c:v>
                </c:pt>
                <c:pt idx="7">
                  <c:v>občania, ktorí nemali pravidelne platené zamestnanie</c:v>
                </c:pt>
                <c:pt idx="8">
                  <c:v>dlhodobo nezamestnaní občania </c:v>
                </c:pt>
              </c:strCache>
            </c:strRef>
          </c:cat>
          <c:val>
            <c:numRef>
              <c:f>Hárok1!$C$5:$C$13</c:f>
              <c:numCache>
                <c:formatCode>0.00%</c:formatCode>
                <c:ptCount val="9"/>
                <c:pt idx="0" formatCode="0%">
                  <c:v>0</c:v>
                </c:pt>
                <c:pt idx="1">
                  <c:v>1.1438136420700237E-2</c:v>
                </c:pt>
                <c:pt idx="2">
                  <c:v>1.5204352071418608E-2</c:v>
                </c:pt>
                <c:pt idx="3">
                  <c:v>2.622402008648347E-2</c:v>
                </c:pt>
                <c:pt idx="4">
                  <c:v>5.2448040172966941E-2</c:v>
                </c:pt>
                <c:pt idx="5">
                  <c:v>0.39433672757706795</c:v>
                </c:pt>
                <c:pt idx="6">
                  <c:v>0.47035848793416096</c:v>
                </c:pt>
                <c:pt idx="7">
                  <c:v>0.65964569674989537</c:v>
                </c:pt>
                <c:pt idx="8">
                  <c:v>0.665922722834426</c:v>
                </c:pt>
              </c:numCache>
            </c:numRef>
          </c:val>
          <c:extLst>
            <c:ext xmlns:c16="http://schemas.microsoft.com/office/drawing/2014/chart" uri="{C3380CC4-5D6E-409C-BE32-E72D297353CC}">
              <c16:uniqueId val="{00000000-D2F4-4006-AA38-007DF7289EDF}"/>
            </c:ext>
          </c:extLst>
        </c:ser>
        <c:dLbls>
          <c:showLegendKey val="0"/>
          <c:showVal val="1"/>
          <c:showCatName val="0"/>
          <c:showSerName val="0"/>
          <c:showPercent val="0"/>
          <c:showBubbleSize val="0"/>
        </c:dLbls>
        <c:gapWidth val="65"/>
        <c:shape val="box"/>
        <c:axId val="510252064"/>
        <c:axId val="510252392"/>
        <c:axId val="0"/>
      </c:bar3DChart>
      <c:catAx>
        <c:axId val="5102520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sk-SK"/>
          </a:p>
        </c:txPr>
        <c:crossAx val="510252392"/>
        <c:crossesAt val="0"/>
        <c:auto val="1"/>
        <c:lblAlgn val="ctr"/>
        <c:lblOffset val="100"/>
        <c:noMultiLvlLbl val="0"/>
      </c:catAx>
      <c:valAx>
        <c:axId val="51025239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510252064"/>
        <c:crosses val="autoZero"/>
        <c:crossBetween val="between"/>
      </c:valAx>
      <c:spPr>
        <a:noFill/>
        <a:ln>
          <a:noFill/>
        </a:ln>
        <a:effectLst/>
      </c:spPr>
    </c:plotArea>
    <c:plotVisOnly val="1"/>
    <c:dispBlanksAs val="gap"/>
    <c:showDLblsOverMax val="0"/>
  </c:chart>
  <c:spPr>
    <a:solidFill>
      <a:schemeClr val="accent1">
        <a:lumMod val="60000"/>
        <a:lumOff val="40000"/>
      </a:schemeClr>
    </a:soli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a:t>Štruktúra zaradených ZUoZ podľa veku</a:t>
            </a:r>
          </a:p>
        </c:rich>
      </c:tx>
      <c:layout>
        <c:manualLayout>
          <c:xMode val="edge"/>
          <c:yMode val="edge"/>
          <c:x val="0.23629407267591276"/>
          <c:y val="5.3264391951006122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677147479153074"/>
          <c:y val="0.2874540682414698"/>
          <c:w val="0.46704690322800557"/>
          <c:h val="0.53234330772664795"/>
        </c:manualLayout>
      </c:layout>
      <c:pie3DChart>
        <c:varyColors val="1"/>
        <c:ser>
          <c:idx val="0"/>
          <c:order val="0"/>
          <c:explosion val="4"/>
          <c:dPt>
            <c:idx val="0"/>
            <c:bubble3D val="0"/>
            <c:extLst>
              <c:ext xmlns:c16="http://schemas.microsoft.com/office/drawing/2014/chart" uri="{C3380CC4-5D6E-409C-BE32-E72D297353CC}">
                <c16:uniqueId val="{00000000-E800-4FF8-BF9C-CD8BB9EDDAFB}"/>
              </c:ext>
            </c:extLst>
          </c:dPt>
          <c:dPt>
            <c:idx val="1"/>
            <c:bubble3D val="0"/>
            <c:extLst>
              <c:ext xmlns:c16="http://schemas.microsoft.com/office/drawing/2014/chart" uri="{C3380CC4-5D6E-409C-BE32-E72D297353CC}">
                <c16:uniqueId val="{00000001-E800-4FF8-BF9C-CD8BB9EDDAFB}"/>
              </c:ext>
            </c:extLst>
          </c:dPt>
          <c:dPt>
            <c:idx val="2"/>
            <c:bubble3D val="0"/>
            <c:extLst>
              <c:ext xmlns:c16="http://schemas.microsoft.com/office/drawing/2014/chart" uri="{C3380CC4-5D6E-409C-BE32-E72D297353CC}">
                <c16:uniqueId val="{00000002-E800-4FF8-BF9C-CD8BB9EDDAFB}"/>
              </c:ext>
            </c:extLst>
          </c:dPt>
          <c:dPt>
            <c:idx val="3"/>
            <c:bubble3D val="0"/>
            <c:extLst>
              <c:ext xmlns:c16="http://schemas.microsoft.com/office/drawing/2014/chart" uri="{C3380CC4-5D6E-409C-BE32-E72D297353CC}">
                <c16:uniqueId val="{00000003-E800-4FF8-BF9C-CD8BB9EDDAFB}"/>
              </c:ext>
            </c:extLst>
          </c:dPt>
          <c:dLbls>
            <c:dLbl>
              <c:idx val="0"/>
              <c:layout>
                <c:manualLayout>
                  <c:x val="-0.11081842042471964"/>
                  <c:y val="-3.36309523809523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800-4FF8-BF9C-CD8BB9EDDAFB}"/>
                </c:ext>
              </c:extLst>
            </c:dLbl>
            <c:dLbl>
              <c:idx val="1"/>
              <c:layout>
                <c:manualLayout>
                  <c:x val="2.5643896785629068E-2"/>
                  <c:y val="-5.79540999764787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00-4FF8-BF9C-CD8BB9EDDAFB}"/>
                </c:ext>
              </c:extLst>
            </c:dLbl>
            <c:dLbl>
              <c:idx val="2"/>
              <c:layout>
                <c:manualLayout>
                  <c:x val="-0.17613624681994289"/>
                  <c:y val="-0.142019597550306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800-4FF8-BF9C-CD8BB9EDDAFB}"/>
                </c:ext>
              </c:extLst>
            </c:dLbl>
            <c:dLbl>
              <c:idx val="3"/>
              <c:layout>
                <c:manualLayout>
                  <c:x val="0.13197855949824452"/>
                  <c:y val="1.25581030678419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00-4FF8-BF9C-CD8BB9EDDAFB}"/>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rokov</c:v>
                </c:pt>
                <c:pt idx="1">
                  <c:v>25 - 29 rokov</c:v>
                </c:pt>
                <c:pt idx="2">
                  <c:v>30 - 49 rokov</c:v>
                </c:pt>
                <c:pt idx="3">
                  <c:v>50 a viac rokov</c:v>
                </c:pt>
              </c:strCache>
            </c:strRef>
          </c:cat>
          <c:val>
            <c:numRef>
              <c:f>Hárok1!$B$1:$B$4</c:f>
              <c:numCache>
                <c:formatCode>General</c:formatCode>
                <c:ptCount val="4"/>
                <c:pt idx="0" formatCode="#,##0">
                  <c:v>303</c:v>
                </c:pt>
                <c:pt idx="1">
                  <c:v>273</c:v>
                </c:pt>
                <c:pt idx="2">
                  <c:v>2175</c:v>
                </c:pt>
                <c:pt idx="3">
                  <c:v>1956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E800-4FF8-BF9C-CD8BB9EDDAFB}"/>
            </c:ext>
          </c:extLst>
        </c:ser>
        <c:dLbls>
          <c:showLegendKey val="0"/>
          <c:showVal val="1"/>
          <c:showCatName val="0"/>
          <c:showSerName val="0"/>
          <c:showPercent val="0"/>
          <c:showBubbleSize val="0"/>
          <c:showLeaderLines val="1"/>
        </c:dLbls>
      </c:pie3DChart>
    </c:plotArea>
    <c:legend>
      <c:legendPos val="r"/>
      <c:layout>
        <c:manualLayout>
          <c:xMode val="edge"/>
          <c:yMode val="edge"/>
          <c:x val="0.72527237693255853"/>
          <c:y val="0.18822131576643458"/>
          <c:w val="0.18744213791457887"/>
          <c:h val="0.6930398846502253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1000"/>
      </a:pPr>
      <a:endParaRPr lang="sk-SK"/>
    </a:p>
  </c:txPr>
  <c:externalData r:id="rId2">
    <c:autoUpdate val="0"/>
  </c:externalData>
  <c:extLst/>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u="none" strike="noStrike" kern="1200" baseline="0">
                <a:solidFill>
                  <a:sysClr val="windowText" lastClr="000000"/>
                </a:solidFill>
                <a:effectLst/>
                <a:latin typeface="+mn-lt"/>
                <a:ea typeface="+mn-ea"/>
                <a:cs typeface="+mn-cs"/>
              </a:rPr>
              <a:t>Štruktúra</a:t>
            </a:r>
            <a:r>
              <a:rPr lang="sk-SK" sz="1200"/>
              <a:t> </a:t>
            </a:r>
            <a:r>
              <a:rPr lang="sk-SK" sz="1200" b="1" i="0" u="none" strike="noStrike" kern="1200" baseline="0">
                <a:solidFill>
                  <a:sysClr val="windowText" lastClr="000000"/>
                </a:solidFill>
                <a:effectLst/>
                <a:latin typeface="+mn-lt"/>
                <a:ea typeface="+mn-ea"/>
                <a:cs typeface="+mn-cs"/>
              </a:rPr>
              <a:t>zaradených ZUoZ</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podľa</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dosiahnutého</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stupňa</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vzdelania</a:t>
            </a:r>
          </a:p>
        </c:rich>
      </c:tx>
      <c:layout>
        <c:manualLayout>
          <c:xMode val="edge"/>
          <c:yMode val="edge"/>
          <c:x val="0.13799644156700946"/>
          <c:y val="4.4588569112282123E-2"/>
        </c:manualLayout>
      </c:layout>
      <c:overlay val="0"/>
    </c:title>
    <c:autoTitleDeleted val="0"/>
    <c:view3D>
      <c:rotX val="20"/>
      <c:rotY val="10"/>
      <c:depthPercent val="100"/>
      <c:rAngAx val="0"/>
      <c:perspective val="0"/>
    </c:view3D>
    <c:floor>
      <c:thickness val="0"/>
    </c:floor>
    <c:sideWall>
      <c:thickness val="0"/>
    </c:sideWall>
    <c:backWall>
      <c:thickness val="0"/>
    </c:backWall>
    <c:plotArea>
      <c:layout>
        <c:manualLayout>
          <c:layoutTarget val="inner"/>
          <c:xMode val="edge"/>
          <c:yMode val="edge"/>
          <c:x val="9.7680523817743961E-2"/>
          <c:y val="0.13515602807452068"/>
          <c:w val="0.43027659039906752"/>
          <c:h val="0.82836241537906663"/>
        </c:manualLayout>
      </c:layout>
      <c:pie3DChart>
        <c:varyColors val="1"/>
        <c:ser>
          <c:idx val="0"/>
          <c:order val="0"/>
          <c:explosion val="6"/>
          <c:dLbls>
            <c:dLbl>
              <c:idx val="1"/>
              <c:layout>
                <c:manualLayout>
                  <c:x val="-0.13267152518676645"/>
                  <c:y val="-0.105918438346807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BCC-45B7-B105-0888E9FA0019}"/>
                </c:ext>
              </c:extLst>
            </c:dLbl>
            <c:dLbl>
              <c:idx val="2"/>
              <c:layout>
                <c:manualLayout>
                  <c:x val="-1.3838920232648367E-3"/>
                  <c:y val="5.73702000261722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77F-4621-8068-A8DB6C364EA1}"/>
                </c:ext>
              </c:extLst>
            </c:dLbl>
            <c:dLbl>
              <c:idx val="3"/>
              <c:layout>
                <c:manualLayout>
                  <c:x val="0.12994296594193361"/>
                  <c:y val="-9.34119351822003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CC-45B7-B105-0888E9FA0019}"/>
                </c:ext>
              </c:extLst>
            </c:dLbl>
            <c:dLbl>
              <c:idx val="5"/>
              <c:layout>
                <c:manualLayout>
                  <c:x val="-5.9240389069013411E-2"/>
                  <c:y val="-2.0957585003941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77F-4621-8068-A8DB6C364EA1}"/>
                </c:ext>
              </c:extLst>
            </c:dLbl>
            <c:dLbl>
              <c:idx val="6"/>
              <c:layout>
                <c:manualLayout>
                  <c:x val="-6.7439654479916733E-2"/>
                  <c:y val="-8.68270621016312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7F-4621-8068-A8DB6C364EA1}"/>
                </c:ext>
              </c:extLst>
            </c:dLbl>
            <c:dLbl>
              <c:idx val="8"/>
              <c:layout>
                <c:manualLayout>
                  <c:x val="8.4464373833379822E-3"/>
                  <c:y val="-0.123256677350427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CA4-42FD-8763-5126E87CC627}"/>
                </c:ext>
              </c:extLst>
            </c:dLbl>
            <c:dLbl>
              <c:idx val="9"/>
              <c:layout>
                <c:manualLayout>
                  <c:x val="2.6040893389688687E-2"/>
                  <c:y val="-6.95838675213675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A4-42FD-8763-5126E87CC627}"/>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Vzdelanie!$B$2:$K$2</c:f>
              <c:strCache>
                <c:ptCount val="10"/>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Vzdelanie!$B$3:$K$3</c:f>
              <c:numCache>
                <c:formatCode>General</c:formatCode>
                <c:ptCount val="10"/>
                <c:pt idx="0">
                  <c:v>420</c:v>
                </c:pt>
                <c:pt idx="1">
                  <c:v>1952</c:v>
                </c:pt>
                <c:pt idx="2">
                  <c:v>90</c:v>
                </c:pt>
                <c:pt idx="3">
                  <c:v>1368</c:v>
                </c:pt>
                <c:pt idx="4">
                  <c:v>626</c:v>
                </c:pt>
                <c:pt idx="5">
                  <c:v>92</c:v>
                </c:pt>
                <c:pt idx="6">
                  <c:v>13</c:v>
                </c:pt>
                <c:pt idx="7">
                  <c:v>33</c:v>
                </c:pt>
                <c:pt idx="8">
                  <c:v>109</c:v>
                </c:pt>
                <c:pt idx="9">
                  <c:v>4</c:v>
                </c:pt>
              </c:numCache>
            </c:numRef>
          </c:val>
          <c:extLst>
            <c:ext xmlns:c16="http://schemas.microsoft.com/office/drawing/2014/chart" uri="{C3380CC4-5D6E-409C-BE32-E72D297353CC}">
              <c16:uniqueId val="{00000002-9CA4-42FD-8763-5126E87CC627}"/>
            </c:ext>
          </c:extLst>
        </c:ser>
        <c:dLbls>
          <c:showLegendKey val="0"/>
          <c:showVal val="0"/>
          <c:showCatName val="0"/>
          <c:showSerName val="0"/>
          <c:showPercent val="0"/>
          <c:showBubbleSize val="0"/>
          <c:showLeaderLines val="1"/>
        </c:dLbls>
      </c:pie3DChart>
    </c:plotArea>
    <c:legend>
      <c:legendPos val="r"/>
      <c:layout>
        <c:manualLayout>
          <c:xMode val="edge"/>
          <c:yMode val="edge"/>
          <c:x val="0.63484820258114572"/>
          <c:y val="0.13919740575597894"/>
          <c:w val="0.35212813777049301"/>
          <c:h val="0.8593229048638884"/>
        </c:manualLayout>
      </c:layout>
      <c:overlay val="0"/>
      <c:txPr>
        <a:bodyPr/>
        <a:lstStyle/>
        <a:p>
          <a:pPr rtl="0">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ZUoZ podľa dĺžky evidencie </a:t>
            </a:r>
            <a:endParaRPr lang="sk-SK" sz="1200">
              <a:effectLst/>
            </a:endParaRPr>
          </a:p>
        </c:rich>
      </c:tx>
      <c:layout>
        <c:manualLayout>
          <c:xMode val="edge"/>
          <c:yMode val="edge"/>
          <c:x val="0.23950236630666447"/>
          <c:y val="6.478546643533965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785793272476496"/>
          <c:y val="0.25387254711554291"/>
          <c:w val="0.4399872498030214"/>
          <c:h val="0.57579240624582939"/>
        </c:manualLayout>
      </c:layout>
      <c:pie3DChart>
        <c:varyColors val="1"/>
        <c:ser>
          <c:idx val="0"/>
          <c:order val="0"/>
          <c:explosion val="8"/>
          <c:dLbls>
            <c:dLbl>
              <c:idx val="0"/>
              <c:layout>
                <c:manualLayout>
                  <c:x val="-5.7182582478904918E-2"/>
                  <c:y val="-2.54691044975310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257-4C7A-B3C5-D3A4A7C2CCCB}"/>
                </c:ext>
              </c:extLst>
            </c:dLbl>
            <c:dLbl>
              <c:idx val="1"/>
              <c:layout>
                <c:manualLayout>
                  <c:x val="1.3399841733479865E-2"/>
                  <c:y val="-4.69675030028026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EB-413D-970C-3428CB8AF13E}"/>
                </c:ext>
              </c:extLst>
            </c:dLbl>
            <c:dLbl>
              <c:idx val="3"/>
              <c:layout>
                <c:manualLayout>
                  <c:x val="-0.10417876596551978"/>
                  <c:y val="-0.150229547577739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50E-480C-A333-43F0DE4EDE24}"/>
                </c:ext>
              </c:extLst>
            </c:dLbl>
            <c:dLbl>
              <c:idx val="4"/>
              <c:layout>
                <c:manualLayout>
                  <c:x val="0.15669949358131841"/>
                  <c:y val="-4.76768317095956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1EB-413D-970C-3428CB8AF13E}"/>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'Dĺžka evidencie '!$C$2:$G$2</c:f>
              <c:strCache>
                <c:ptCount val="5"/>
                <c:pt idx="0">
                  <c:v>0-3 mesiacov</c:v>
                </c:pt>
                <c:pt idx="1">
                  <c:v>4-6 mesiacov</c:v>
                </c:pt>
                <c:pt idx="2">
                  <c:v>7-12 mesiacov</c:v>
                </c:pt>
                <c:pt idx="3">
                  <c:v>13-24 mesiacov</c:v>
                </c:pt>
                <c:pt idx="4">
                  <c:v>nad 24 mesiacov</c:v>
                </c:pt>
              </c:strCache>
            </c:strRef>
          </c:cat>
          <c:val>
            <c:numRef>
              <c:f>'Dĺžka evidencie '!$C$3:$G$3</c:f>
              <c:numCache>
                <c:formatCode>#,##0</c:formatCode>
                <c:ptCount val="5"/>
                <c:pt idx="0">
                  <c:v>418</c:v>
                </c:pt>
                <c:pt idx="1">
                  <c:v>380</c:v>
                </c:pt>
                <c:pt idx="2">
                  <c:v>530</c:v>
                </c:pt>
                <c:pt idx="3">
                  <c:v>834</c:v>
                </c:pt>
                <c:pt idx="4">
                  <c:v>2545</c:v>
                </c:pt>
              </c:numCache>
            </c:numRef>
          </c:val>
          <c:extLst>
            <c:ext xmlns:c16="http://schemas.microsoft.com/office/drawing/2014/chart" uri="{C3380CC4-5D6E-409C-BE32-E72D297353CC}">
              <c16:uniqueId val="{00000001-0257-4C7A-B3C5-D3A4A7C2CCCB}"/>
            </c:ext>
          </c:extLst>
        </c:ser>
        <c:dLbls>
          <c:showLegendKey val="0"/>
          <c:showVal val="1"/>
          <c:showCatName val="0"/>
          <c:showSerName val="0"/>
          <c:showPercent val="0"/>
          <c:showBubbleSize val="0"/>
          <c:showLeaderLines val="1"/>
        </c:dLbls>
      </c:pie3DChart>
    </c:plotArea>
    <c:legend>
      <c:legendPos val="r"/>
      <c:layout>
        <c:manualLayout>
          <c:xMode val="edge"/>
          <c:yMode val="edge"/>
          <c:x val="0.73196781774827147"/>
          <c:y val="0.22634616217527259"/>
          <c:w val="0.16781431732798108"/>
          <c:h val="0.56845022020552527"/>
        </c:manualLayout>
      </c:layout>
      <c:overlay val="0"/>
      <c:txPr>
        <a:bodyPr/>
        <a:lstStyle/>
        <a:p>
          <a:pPr rtl="0">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ZUoZ zaradených na aktiváciu </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podľa znevýhodnenia</a:t>
            </a:r>
            <a:endParaRPr lang="en-US" sz="1200" b="1" i="0" u="none" strike="noStrike" kern="1200" baseline="0">
              <a:solidFill>
                <a:srgbClr val="002060"/>
              </a:solidFill>
              <a:latin typeface="+mn-lt"/>
              <a:ea typeface="+mn-ea"/>
              <a:cs typeface="+mn-cs"/>
            </a:endParaRPr>
          </a:p>
        </c:rich>
      </c:tx>
      <c:overlay val="0"/>
    </c:title>
    <c:autoTitleDeleted val="0"/>
    <c:plotArea>
      <c:layout>
        <c:manualLayout>
          <c:layoutTarget val="inner"/>
          <c:xMode val="edge"/>
          <c:yMode val="edge"/>
          <c:x val="0.10162868612011734"/>
          <c:y val="0.20475704785606463"/>
          <c:w val="0.87928852492537046"/>
          <c:h val="0.59308939323761001"/>
        </c:manualLayout>
      </c:layout>
      <c:barChart>
        <c:barDir val="col"/>
        <c:grouping val="clustered"/>
        <c:varyColors val="0"/>
        <c:ser>
          <c:idx val="0"/>
          <c:order val="0"/>
          <c:tx>
            <c:v>Počet ZUoZ</c:v>
          </c:tx>
          <c:invertIfNegative val="0"/>
          <c:cat>
            <c:strRef>
              <c:f>'Typ znevýhodnenia'!$L$11:$R$11</c:f>
              <c:strCache>
                <c:ptCount val="7"/>
                <c:pt idx="0">
                  <c:v>absolvent školy</c:v>
                </c:pt>
                <c:pt idx="1">
                  <c:v>starší ako 50 rokov</c:v>
                </c:pt>
                <c:pt idx="2">
                  <c:v>dlhodobo nezamestnaný</c:v>
                </c:pt>
                <c:pt idx="3">
                  <c:v>s nižším vzdelaním ako stredné odborné</c:v>
                </c:pt>
                <c:pt idx="4">
                  <c:v>nemal 12 mesiacov pred zaradením do evidencie pravidelne platené zamestnanie</c:v>
                </c:pt>
                <c:pt idx="5">
                  <c:v>osamelá osoba / rodič</c:v>
                </c:pt>
                <c:pt idx="6">
                  <c:v>so zdravotným postihnutím</c:v>
                </c:pt>
              </c:strCache>
            </c:strRef>
          </c:cat>
          <c:val>
            <c:numRef>
              <c:f>'Typ znevýhodnenia'!$L$12:$R$12</c:f>
              <c:numCache>
                <c:formatCode>#,##0</c:formatCode>
                <c:ptCount val="7"/>
                <c:pt idx="0">
                  <c:v>46</c:v>
                </c:pt>
                <c:pt idx="1">
                  <c:v>1970</c:v>
                </c:pt>
                <c:pt idx="2">
                  <c:v>3618</c:v>
                </c:pt>
                <c:pt idx="3">
                  <c:v>2460</c:v>
                </c:pt>
                <c:pt idx="4">
                  <c:v>3298</c:v>
                </c:pt>
                <c:pt idx="5">
                  <c:v>57</c:v>
                </c:pt>
                <c:pt idx="6">
                  <c:v>308</c:v>
                </c:pt>
              </c:numCache>
            </c:numRef>
          </c:val>
          <c:extLst>
            <c:ext xmlns:c16="http://schemas.microsoft.com/office/drawing/2014/chart" uri="{C3380CC4-5D6E-409C-BE32-E72D297353CC}">
              <c16:uniqueId val="{00000000-E6FC-441D-AA7B-79D5094ECD03}"/>
            </c:ext>
          </c:extLst>
        </c:ser>
        <c:dLbls>
          <c:showLegendKey val="0"/>
          <c:showVal val="0"/>
          <c:showCatName val="0"/>
          <c:showSerName val="0"/>
          <c:showPercent val="0"/>
          <c:showBubbleSize val="0"/>
        </c:dLbls>
        <c:gapWidth val="150"/>
        <c:axId val="443783720"/>
        <c:axId val="443781760"/>
      </c:barChart>
      <c:catAx>
        <c:axId val="443783720"/>
        <c:scaling>
          <c:orientation val="minMax"/>
        </c:scaling>
        <c:delete val="0"/>
        <c:axPos val="b"/>
        <c:numFmt formatCode="General" sourceLinked="1"/>
        <c:majorTickMark val="none"/>
        <c:minorTickMark val="none"/>
        <c:tickLblPos val="nextTo"/>
        <c:txPr>
          <a:bodyPr/>
          <a:lstStyle/>
          <a:p>
            <a:pPr>
              <a:defRPr lang="sk-SK"/>
            </a:pPr>
            <a:endParaRPr lang="sk-SK"/>
          </a:p>
        </c:txPr>
        <c:crossAx val="443781760"/>
        <c:crosses val="autoZero"/>
        <c:auto val="1"/>
        <c:lblAlgn val="ctr"/>
        <c:lblOffset val="100"/>
        <c:noMultiLvlLbl val="0"/>
      </c:catAx>
      <c:valAx>
        <c:axId val="443781760"/>
        <c:scaling>
          <c:orientation val="minMax"/>
        </c:scaling>
        <c:delete val="0"/>
        <c:axPos val="l"/>
        <c:numFmt formatCode="#,##0" sourceLinked="1"/>
        <c:majorTickMark val="none"/>
        <c:minorTickMark val="none"/>
        <c:tickLblPos val="nextTo"/>
        <c:txPr>
          <a:bodyPr/>
          <a:lstStyle/>
          <a:p>
            <a:pPr>
              <a:defRPr lang="sk-SK" sz="800"/>
            </a:pPr>
            <a:endParaRPr lang="sk-SK"/>
          </a:p>
        </c:txPr>
        <c:crossAx val="443783720"/>
        <c:crosses val="autoZero"/>
        <c:crossBetween val="between"/>
      </c:valAx>
      <c:dTable>
        <c:showHorzBorder val="1"/>
        <c:showVertBorder val="1"/>
        <c:showOutline val="1"/>
        <c:showKeys val="0"/>
        <c:txPr>
          <a:bodyPr/>
          <a:lstStyle/>
          <a:p>
            <a:pPr rtl="0">
              <a:defRPr lang="sk-SK" sz="600"/>
            </a:pPr>
            <a:endParaRPr lang="sk-SK"/>
          </a:p>
        </c:txPr>
      </c:dTable>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sz="1600"/>
              <a:t>Právna forma zamestnávateľov</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89-4CA9-BE1B-57FD88E013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89-4CA9-BE1B-57FD88E0131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489-4CA9-BE1B-57FD88E0131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489-4CA9-BE1B-57FD88E0131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489-4CA9-BE1B-57FD88E0131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489-4CA9-BE1B-57FD88E0131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489-4CA9-BE1B-57FD88E0131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489-4CA9-BE1B-57FD88E0131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C489-4CA9-BE1B-57FD88E01316}"/>
              </c:ext>
            </c:extLst>
          </c:dPt>
          <c:dLbls>
            <c:dLbl>
              <c:idx val="0"/>
              <c:layout>
                <c:manualLayout>
                  <c:x val="-0.10556073482289234"/>
                  <c:y val="-0.1481326034384755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89-4CA9-BE1B-57FD88E01316}"/>
                </c:ext>
              </c:extLst>
            </c:dLbl>
            <c:dLbl>
              <c:idx val="1"/>
              <c:layout>
                <c:manualLayout>
                  <c:x val="1.9166027559739635E-2"/>
                  <c:y val="-0.145548773719941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89-4CA9-BE1B-57FD88E01316}"/>
                </c:ext>
              </c:extLst>
            </c:dLbl>
            <c:dLbl>
              <c:idx val="2"/>
              <c:layout>
                <c:manualLayout>
                  <c:x val="0.13788616473862983"/>
                  <c:y val="-6.51465798045603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89-4CA9-BE1B-57FD88E01316}"/>
                </c:ext>
              </c:extLst>
            </c:dLbl>
            <c:dLbl>
              <c:idx val="4"/>
              <c:layout>
                <c:manualLayout>
                  <c:x val="0.11027346414191623"/>
                  <c:y val="-1.72156149108971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489-4CA9-BE1B-57FD88E01316}"/>
                </c:ext>
              </c:extLst>
            </c:dLbl>
            <c:dLbl>
              <c:idx val="5"/>
              <c:layout>
                <c:manualLayout>
                  <c:x val="0.12889871226890229"/>
                  <c:y val="4.36616026298871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489-4CA9-BE1B-57FD88E01316}"/>
                </c:ext>
              </c:extLst>
            </c:dLbl>
            <c:dLbl>
              <c:idx val="6"/>
              <c:layout>
                <c:manualLayout>
                  <c:x val="0.1140575736688281"/>
                  <c:y val="0.1483294830723745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489-4CA9-BE1B-57FD88E01316}"/>
                </c:ext>
              </c:extLst>
            </c:dLbl>
            <c:dLbl>
              <c:idx val="8"/>
              <c:layout>
                <c:manualLayout>
                  <c:x val="-0.14424111948331539"/>
                  <c:y val="-4.92838441398429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489-4CA9-BE1B-57FD88E01316}"/>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'Právna forma zamestn'!$F$54:$Q$54</c:f>
              <c:strCache>
                <c:ptCount val="9"/>
                <c:pt idx="0">
                  <c:v>spol. s r.o.</c:v>
                </c:pt>
                <c:pt idx="1">
                  <c:v>mimovládne org.</c:v>
                </c:pt>
                <c:pt idx="2">
                  <c:v>prísp. org.</c:v>
                </c:pt>
                <c:pt idx="3">
                  <c:v>rozp. org.</c:v>
                </c:pt>
                <c:pt idx="4">
                  <c:v>združenie</c:v>
                </c:pt>
                <c:pt idx="5">
                  <c:v>cirk. org.</c:v>
                </c:pt>
                <c:pt idx="6">
                  <c:v>záujmové zdr.</c:v>
                </c:pt>
                <c:pt idx="7">
                  <c:v>obec, mesto</c:v>
                </c:pt>
                <c:pt idx="8">
                  <c:v>iné</c:v>
                </c:pt>
              </c:strCache>
              <c:extLst/>
            </c:strRef>
          </c:cat>
          <c:val>
            <c:numRef>
              <c:f>'Právna forma zamestn'!$F$55:$Q$55</c:f>
              <c:numCache>
                <c:formatCode>General</c:formatCode>
                <c:ptCount val="9"/>
                <c:pt idx="0">
                  <c:v>7</c:v>
                </c:pt>
                <c:pt idx="1">
                  <c:v>29</c:v>
                </c:pt>
                <c:pt idx="2">
                  <c:v>45</c:v>
                </c:pt>
                <c:pt idx="3">
                  <c:v>216</c:v>
                </c:pt>
                <c:pt idx="4">
                  <c:v>54</c:v>
                </c:pt>
                <c:pt idx="5">
                  <c:v>22</c:v>
                </c:pt>
                <c:pt idx="6">
                  <c:v>4</c:v>
                </c:pt>
                <c:pt idx="7">
                  <c:v>1057</c:v>
                </c:pt>
                <c:pt idx="8">
                  <c:v>38</c:v>
                </c:pt>
              </c:numCache>
              <c:extLst/>
            </c:numRef>
          </c:val>
          <c:extLst>
            <c:ext xmlns:c16="http://schemas.microsoft.com/office/drawing/2014/chart" uri="{C3380CC4-5D6E-409C-BE32-E72D297353CC}">
              <c16:uniqueId val="{00000012-C489-4CA9-BE1B-57FD88E0131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80210519084953347"/>
          <c:y val="0.31312674476559177"/>
          <c:w val="0.18402998836469012"/>
          <c:h val="0.455770443013314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solidFill>
      <a:schemeClr val="tx2">
        <a:lumMod val="40000"/>
        <a:lumOff val="60000"/>
      </a:schemeClr>
    </a:solidFill>
    <a:ln w="9525" cap="flat" cmpd="sng" algn="ctr">
      <a:solidFill>
        <a:schemeClr val="tx2">
          <a:lumMod val="20000"/>
          <a:lumOff val="80000"/>
        </a:schemeClr>
      </a:solidFill>
      <a:round/>
    </a:ln>
    <a:effectLst/>
  </c:spPr>
  <c:txPr>
    <a:bodyPr/>
    <a:lstStyle/>
    <a:p>
      <a:pPr>
        <a:defRPr/>
      </a:pPr>
      <a:endParaRPr lang="sk-SK"/>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0827500808039631"/>
          <c:y val="9.809471564567598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9223923772227489"/>
          <c:y val="0.2504096436764302"/>
          <c:w val="0.41891264729134031"/>
          <c:h val="0.54384666483618682"/>
        </c:manualLayout>
      </c:layout>
      <c:pie3DChart>
        <c:varyColors val="1"/>
        <c:ser>
          <c:idx val="0"/>
          <c:order val="0"/>
          <c:dPt>
            <c:idx val="0"/>
            <c:bubble3D val="0"/>
            <c:explosion val="9"/>
            <c:extLst>
              <c:ext xmlns:c16="http://schemas.microsoft.com/office/drawing/2014/chart" uri="{C3380CC4-5D6E-409C-BE32-E72D297353CC}">
                <c16:uniqueId val="{00000001-BB84-4A94-AB66-F4B32AD563D4}"/>
              </c:ext>
            </c:extLst>
          </c:dPt>
          <c:dPt>
            <c:idx val="1"/>
            <c:bubble3D val="0"/>
            <c:explosion val="6"/>
            <c:extLst>
              <c:ext xmlns:c16="http://schemas.microsoft.com/office/drawing/2014/chart" uri="{C3380CC4-5D6E-409C-BE32-E72D297353CC}">
                <c16:uniqueId val="{00000003-BB84-4A94-AB66-F4B32AD563D4}"/>
              </c:ext>
            </c:extLst>
          </c:dPt>
          <c:dPt>
            <c:idx val="2"/>
            <c:bubble3D val="0"/>
            <c:explosion val="9"/>
            <c:extLst>
              <c:ext xmlns:c16="http://schemas.microsoft.com/office/drawing/2014/chart" uri="{C3380CC4-5D6E-409C-BE32-E72D297353CC}">
                <c16:uniqueId val="{00000005-BB84-4A94-AB66-F4B32AD563D4}"/>
              </c:ext>
            </c:extLst>
          </c:dPt>
          <c:dPt>
            <c:idx val="3"/>
            <c:bubble3D val="0"/>
            <c:explosion val="3"/>
            <c:extLst>
              <c:ext xmlns:c16="http://schemas.microsoft.com/office/drawing/2014/chart" uri="{C3380CC4-5D6E-409C-BE32-E72D297353CC}">
                <c16:uniqueId val="{00000007-BB84-4A94-AB66-F4B32AD563D4}"/>
              </c:ext>
            </c:extLst>
          </c:dPt>
          <c:dLbls>
            <c:dLbl>
              <c:idx val="1"/>
              <c:layout>
                <c:manualLayout>
                  <c:x val="-4.5164767595862493E-2"/>
                  <c:y val="4.8069923579994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84-4A94-AB66-F4B32AD563D4}"/>
                </c:ext>
              </c:extLst>
            </c:dLbl>
            <c:dLbl>
              <c:idx val="2"/>
              <c:layout>
                <c:manualLayout>
                  <c:x val="-0.12578367052109396"/>
                  <c:y val="-0.1293125824741520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84-4A94-AB66-F4B32AD563D4}"/>
                </c:ext>
              </c:extLst>
            </c:dLbl>
            <c:dLbl>
              <c:idx val="3"/>
              <c:layout>
                <c:manualLayout>
                  <c:x val="0.15426214255439449"/>
                  <c:y val="2.20893904829440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84-4A94-AB66-F4B32AD563D4}"/>
                </c:ext>
              </c:extLst>
            </c:dLbl>
            <c:numFmt formatCode="0.00%" sourceLinked="0"/>
            <c:spPr>
              <a:noFill/>
              <a:ln>
                <a:noFill/>
              </a:ln>
              <a:effectLst/>
            </c:spPr>
            <c:txPr>
              <a:bodyPr wrap="square" lIns="38100" tIns="19050" rIns="38100" bIns="19050" anchor="ctr">
                <a:spAutoFit/>
              </a:bodyPr>
              <a:lstStyle/>
              <a:p>
                <a:pPr>
                  <a:defRPr sz="1000" b="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75</c:v>
                </c:pt>
                <c:pt idx="1">
                  <c:v>66</c:v>
                </c:pt>
                <c:pt idx="2">
                  <c:v>401</c:v>
                </c:pt>
                <c:pt idx="3">
                  <c:v>517</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BB84-4A94-AB66-F4B32AD563D4}"/>
            </c:ext>
          </c:extLst>
        </c:ser>
        <c:dLbls>
          <c:showLegendKey val="0"/>
          <c:showVal val="1"/>
          <c:showCatName val="0"/>
          <c:showSerName val="0"/>
          <c:showPercent val="0"/>
          <c:showBubbleSize val="0"/>
          <c:showLeaderLines val="1"/>
        </c:dLbls>
      </c:pie3DChart>
    </c:plotArea>
    <c:legend>
      <c:legendPos val="r"/>
      <c:layout>
        <c:manualLayout>
          <c:xMode val="edge"/>
          <c:yMode val="edge"/>
          <c:x val="0.75207860200189136"/>
          <c:y val="0.15165039905270972"/>
          <c:w val="0.15085822763435841"/>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412142852878796"/>
          <c:y val="4.280284011122068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2508879907828052"/>
          <c:y val="0.26617663279232057"/>
          <c:w val="0.46440165411469131"/>
          <c:h val="0.59917785348464681"/>
        </c:manualLayout>
      </c:layout>
      <c:pie3DChart>
        <c:varyColors val="1"/>
        <c:ser>
          <c:idx val="0"/>
          <c:order val="0"/>
          <c:explosion val="21"/>
          <c:dPt>
            <c:idx val="1"/>
            <c:bubble3D val="0"/>
            <c:explosion val="10"/>
            <c:extLst>
              <c:ext xmlns:c16="http://schemas.microsoft.com/office/drawing/2014/chart" uri="{C3380CC4-5D6E-409C-BE32-E72D297353CC}">
                <c16:uniqueId val="{00000001-B10F-4BB1-ABCB-6B6F9014FD65}"/>
              </c:ext>
            </c:extLst>
          </c:dPt>
          <c:dPt>
            <c:idx val="2"/>
            <c:bubble3D val="0"/>
            <c:explosion val="3"/>
            <c:extLst>
              <c:ext xmlns:c16="http://schemas.microsoft.com/office/drawing/2014/chart" uri="{C3380CC4-5D6E-409C-BE32-E72D297353CC}">
                <c16:uniqueId val="{00000003-B10F-4BB1-ABCB-6B6F9014FD65}"/>
              </c:ext>
            </c:extLst>
          </c:dPt>
          <c:dPt>
            <c:idx val="3"/>
            <c:bubble3D val="0"/>
            <c:extLst>
              <c:ext xmlns:c16="http://schemas.microsoft.com/office/drawing/2014/chart" uri="{C3380CC4-5D6E-409C-BE32-E72D297353CC}">
                <c16:uniqueId val="{00000004-B10F-4BB1-ABCB-6B6F9014FD65}"/>
              </c:ext>
            </c:extLst>
          </c:dPt>
          <c:dPt>
            <c:idx val="4"/>
            <c:bubble3D val="0"/>
            <c:explosion val="15"/>
            <c:extLst>
              <c:ext xmlns:c16="http://schemas.microsoft.com/office/drawing/2014/chart" uri="{C3380CC4-5D6E-409C-BE32-E72D297353CC}">
                <c16:uniqueId val="{00000006-B10F-4BB1-ABCB-6B6F9014FD65}"/>
              </c:ext>
            </c:extLst>
          </c:dPt>
          <c:dLbls>
            <c:dLbl>
              <c:idx val="0"/>
              <c:layout>
                <c:manualLayout>
                  <c:x val="5.4713536092294755E-2"/>
                  <c:y val="-2.8769412419436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0F-4BB1-ABCB-6B6F9014FD65}"/>
                </c:ext>
              </c:extLst>
            </c:dLbl>
            <c:dLbl>
              <c:idx val="1"/>
              <c:layout>
                <c:manualLayout>
                  <c:x val="-0.1374155182838688"/>
                  <c:y val="2.7656671855846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0F-4BB1-ABCB-6B6F9014FD65}"/>
                </c:ext>
              </c:extLst>
            </c:dLbl>
            <c:dLbl>
              <c:idx val="2"/>
              <c:layout>
                <c:manualLayout>
                  <c:x val="3.3585453069313229E-3"/>
                  <c:y val="4.162379556203735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0F-4BB1-ABCB-6B6F9014FD65}"/>
                </c:ext>
              </c:extLst>
            </c:dLbl>
            <c:dLbl>
              <c:idx val="3"/>
              <c:layout>
                <c:manualLayout>
                  <c:x val="9.3046765666801132E-2"/>
                  <c:y val="-0.191542088757529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10F-4BB1-ABCB-6B6F9014FD65}"/>
                </c:ext>
              </c:extLst>
            </c:dLbl>
            <c:dLbl>
              <c:idx val="4"/>
              <c:layout>
                <c:manualLayout>
                  <c:x val="0.10752871205731576"/>
                  <c:y val="2.34740428220110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10F-4BB1-ABCB-6B6F9014FD65}"/>
                </c:ext>
              </c:extLst>
            </c:dLbl>
            <c:dLbl>
              <c:idx val="5"/>
              <c:layout>
                <c:manualLayout>
                  <c:x val="-8.2568261226634007E-2"/>
                  <c:y val="-6.17049086629214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10F-4BB1-ABCB-6B6F9014FD65}"/>
                </c:ext>
              </c:extLst>
            </c:dLbl>
            <c:dLbl>
              <c:idx val="6"/>
              <c:layout>
                <c:manualLayout>
                  <c:x val="3.1586461093424732E-3"/>
                  <c:y val="-4.67137453090570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10F-4BB1-ABCB-6B6F9014FD65}"/>
                </c:ext>
              </c:extLst>
            </c:dLbl>
            <c:dLbl>
              <c:idx val="7"/>
              <c:layout>
                <c:manualLayout>
                  <c:x val="3.9313281442549024E-2"/>
                  <c:y val="-3.16022958092137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10F-4BB1-ABCB-6B6F9014FD65}"/>
                </c:ext>
              </c:extLst>
            </c:dLbl>
            <c:dLbl>
              <c:idx val="8"/>
              <c:layout>
                <c:manualLayout>
                  <c:x val="5.0886114595796832E-2"/>
                  <c:y val="-3.24592950236521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10F-4BB1-ABCB-6B6F9014FD65}"/>
                </c:ext>
              </c:extLst>
            </c:dLbl>
            <c:dLbl>
              <c:idx val="9"/>
              <c:delete val="1"/>
              <c:extLst>
                <c:ext xmlns:c15="http://schemas.microsoft.com/office/drawing/2012/chart" uri="{CE6537A1-D6FC-4f65-9D91-7224C49458BB}"/>
                <c:ext xmlns:c16="http://schemas.microsoft.com/office/drawing/2014/chart" uri="{C3380CC4-5D6E-409C-BE32-E72D297353CC}">
                  <c16:uniqueId val="{0000000C-B10F-4BB1-ABCB-6B6F9014FD65}"/>
                </c:ext>
              </c:extLst>
            </c:dLbl>
            <c:numFmt formatCode="0.00%" sourceLinked="0"/>
            <c:spPr>
              <a:noFill/>
              <a:ln>
                <a:noFill/>
              </a:ln>
              <a:effectLst/>
            </c:spPr>
            <c:txPr>
              <a:bodyPr wrap="square" lIns="38100" tIns="19050" rIns="38100" bIns="19050" anchor="ctr">
                <a:spAutoFit/>
              </a:bodyPr>
              <a:lstStyle/>
              <a:p>
                <a:pPr>
                  <a:defRPr sz="10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Vysokoškolské vzdelanie prvého stupňa</c:v>
                </c:pt>
                <c:pt idx="7">
                  <c:v>Vysokoškolské vzdelanie druhého stupňa</c:v>
                </c:pt>
                <c:pt idx="8">
                  <c:v>Vyššie odborné vzdelanie</c:v>
                </c:pt>
                <c:pt idx="9">
                  <c:v>n/a</c:v>
                </c:pt>
              </c:strCache>
            </c:strRef>
          </c:cat>
          <c:val>
            <c:numRef>
              <c:f>Hárok1!$B$1:$B$10</c:f>
              <c:numCache>
                <c:formatCode>General</c:formatCode>
                <c:ptCount val="10"/>
                <c:pt idx="0">
                  <c:v>66</c:v>
                </c:pt>
                <c:pt idx="1">
                  <c:v>320</c:v>
                </c:pt>
                <c:pt idx="2">
                  <c:v>23</c:v>
                </c:pt>
                <c:pt idx="3">
                  <c:v>360</c:v>
                </c:pt>
                <c:pt idx="4">
                  <c:v>186</c:v>
                </c:pt>
                <c:pt idx="5">
                  <c:v>20</c:v>
                </c:pt>
                <c:pt idx="6">
                  <c:v>16</c:v>
                </c:pt>
                <c:pt idx="7">
                  <c:v>62</c:v>
                </c:pt>
                <c:pt idx="8">
                  <c:v>5</c:v>
                </c:pt>
                <c:pt idx="9">
                  <c:v>1</c:v>
                </c:pt>
              </c:numCache>
            </c:numRef>
          </c:val>
          <c:extLst>
            <c:ext xmlns:c16="http://schemas.microsoft.com/office/drawing/2014/chart" uri="{C3380CC4-5D6E-409C-BE32-E72D297353CC}">
              <c16:uniqueId val="{0000000D-B10F-4BB1-ABCB-6B6F9014FD65}"/>
            </c:ext>
          </c:extLst>
        </c:ser>
        <c:dLbls>
          <c:showLegendKey val="0"/>
          <c:showVal val="1"/>
          <c:showCatName val="0"/>
          <c:showSerName val="0"/>
          <c:showPercent val="0"/>
          <c:showBubbleSize val="0"/>
          <c:showLeaderLines val="1"/>
        </c:dLbls>
      </c:pie3DChart>
    </c:plotArea>
    <c:legend>
      <c:legendPos val="r"/>
      <c:legendEntry>
        <c:idx val="9"/>
        <c:delete val="1"/>
      </c:legendEntry>
      <c:layout>
        <c:manualLayout>
          <c:xMode val="edge"/>
          <c:yMode val="edge"/>
          <c:x val="0.67208481047526381"/>
          <c:y val="0.13570061339017708"/>
          <c:w val="0.30408761452202859"/>
          <c:h val="0.8529081654848392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1450248188631971"/>
          <c:y val="0.11671397716184985"/>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2039909908911126"/>
          <c:y val="0.30870802787582585"/>
          <c:w val="0.41024807456308293"/>
          <c:h val="0.53020750054161414"/>
        </c:manualLayout>
      </c:layout>
      <c:pie3DChart>
        <c:varyColors val="1"/>
        <c:ser>
          <c:idx val="0"/>
          <c:order val="0"/>
          <c:explosion val="25"/>
          <c:dPt>
            <c:idx val="0"/>
            <c:bubble3D val="0"/>
            <c:explosion val="12"/>
            <c:extLst>
              <c:ext xmlns:c16="http://schemas.microsoft.com/office/drawing/2014/chart" uri="{C3380CC4-5D6E-409C-BE32-E72D297353CC}">
                <c16:uniqueId val="{00000001-9FE5-4C03-9F65-EBED3960AE4E}"/>
              </c:ext>
            </c:extLst>
          </c:dPt>
          <c:dPt>
            <c:idx val="1"/>
            <c:bubble3D val="0"/>
            <c:explosion val="16"/>
            <c:extLst>
              <c:ext xmlns:c16="http://schemas.microsoft.com/office/drawing/2014/chart" uri="{C3380CC4-5D6E-409C-BE32-E72D297353CC}">
                <c16:uniqueId val="{00000003-9FE5-4C03-9F65-EBED3960AE4E}"/>
              </c:ext>
            </c:extLst>
          </c:dPt>
          <c:dPt>
            <c:idx val="2"/>
            <c:bubble3D val="0"/>
            <c:explosion val="5"/>
            <c:extLst>
              <c:ext xmlns:c16="http://schemas.microsoft.com/office/drawing/2014/chart" uri="{C3380CC4-5D6E-409C-BE32-E72D297353CC}">
                <c16:uniqueId val="{00000004-9FE5-4C03-9F65-EBED3960AE4E}"/>
              </c:ext>
            </c:extLst>
          </c:dPt>
          <c:dLbls>
            <c:dLbl>
              <c:idx val="0"/>
              <c:layout>
                <c:manualLayout>
                  <c:x val="-8.6716290042749583E-2"/>
                  <c:y val="1.06646894015268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E5-4C03-9F65-EBED3960AE4E}"/>
                </c:ext>
              </c:extLst>
            </c:dLbl>
            <c:dLbl>
              <c:idx val="1"/>
              <c:layout>
                <c:manualLayout>
                  <c:x val="-6.3106573391745288E-2"/>
                  <c:y val="5.83185597976972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E5-4C03-9F65-EBED3960AE4E}"/>
                </c:ext>
              </c:extLst>
            </c:dLbl>
            <c:dLbl>
              <c:idx val="2"/>
              <c:layout>
                <c:manualLayout>
                  <c:x val="0.11849338952915194"/>
                  <c:y val="-0.20454697203608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FE5-4C03-9F65-EBED3960AE4E}"/>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Hárok1!$A$1:$A$3</c:f>
              <c:strCache>
                <c:ptCount val="3"/>
                <c:pt idx="0">
                  <c:v>7-12 mesiacov</c:v>
                </c:pt>
                <c:pt idx="1">
                  <c:v>13-24 mesiacov</c:v>
                </c:pt>
                <c:pt idx="2">
                  <c:v>nad 24 mesiacov</c:v>
                </c:pt>
              </c:strCache>
            </c:strRef>
          </c:cat>
          <c:val>
            <c:numRef>
              <c:f>Hárok1!$B$1:$B$3</c:f>
              <c:numCache>
                <c:formatCode>General</c:formatCode>
                <c:ptCount val="3"/>
                <c:pt idx="0">
                  <c:v>1</c:v>
                </c:pt>
                <c:pt idx="1">
                  <c:v>9</c:v>
                </c:pt>
                <c:pt idx="2">
                  <c:v>46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5-9FE5-4C03-9F65-EBED3960AE4E}"/>
            </c:ext>
          </c:extLst>
        </c:ser>
        <c:dLbls>
          <c:showLegendKey val="0"/>
          <c:showVal val="1"/>
          <c:showCatName val="0"/>
          <c:showSerName val="0"/>
          <c:showPercent val="0"/>
          <c:showBubbleSize val="0"/>
          <c:showLeaderLines val="1"/>
        </c:dLbls>
      </c:pie3DChart>
    </c:plotArea>
    <c:legend>
      <c:legendPos val="r"/>
      <c:legendEntry>
        <c:idx val="0"/>
        <c:txPr>
          <a:bodyPr/>
          <a:lstStyle/>
          <a:p>
            <a:pPr>
              <a:defRPr sz="1000"/>
            </a:pPr>
            <a:endParaRPr lang="sk-SK"/>
          </a:p>
        </c:txPr>
      </c:legendEntry>
      <c:layout>
        <c:manualLayout>
          <c:xMode val="edge"/>
          <c:yMode val="edge"/>
          <c:x val="0.71525416790679786"/>
          <c:y val="0.26910575184676055"/>
          <c:w val="0.22234095264248147"/>
          <c:h val="0.4898882117220479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znevýhodnenia</a:t>
            </a:r>
            <a:endParaRPr lang="sk-SK" sz="1200">
              <a:effectLst/>
            </a:endParaRPr>
          </a:p>
        </c:rich>
      </c:tx>
      <c:layout>
        <c:manualLayout>
          <c:xMode val="edge"/>
          <c:yMode val="edge"/>
          <c:x val="0.12811907231266803"/>
          <c:y val="5.883956175514453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892107561511486"/>
          <c:y val="0.24129220778073596"/>
          <c:w val="0.48172430027702345"/>
          <c:h val="0.62604520183238255"/>
        </c:manualLayout>
      </c:layout>
      <c:pie3DChart>
        <c:varyColors val="1"/>
        <c:ser>
          <c:idx val="0"/>
          <c:order val="0"/>
          <c:explosion val="20"/>
          <c:dPt>
            <c:idx val="0"/>
            <c:bubble3D val="0"/>
            <c:extLst>
              <c:ext xmlns:c16="http://schemas.microsoft.com/office/drawing/2014/chart" uri="{C3380CC4-5D6E-409C-BE32-E72D297353CC}">
                <c16:uniqueId val="{00000000-981D-4695-BD7C-260A34D043B7}"/>
              </c:ext>
            </c:extLst>
          </c:dPt>
          <c:dPt>
            <c:idx val="1"/>
            <c:bubble3D val="0"/>
            <c:explosion val="7"/>
            <c:extLst>
              <c:ext xmlns:c16="http://schemas.microsoft.com/office/drawing/2014/chart" uri="{C3380CC4-5D6E-409C-BE32-E72D297353CC}">
                <c16:uniqueId val="{00000002-981D-4695-BD7C-260A34D043B7}"/>
              </c:ext>
            </c:extLst>
          </c:dPt>
          <c:dPt>
            <c:idx val="2"/>
            <c:bubble3D val="0"/>
            <c:explosion val="7"/>
            <c:extLst>
              <c:ext xmlns:c16="http://schemas.microsoft.com/office/drawing/2014/chart" uri="{C3380CC4-5D6E-409C-BE32-E72D297353CC}">
                <c16:uniqueId val="{00000004-981D-4695-BD7C-260A34D043B7}"/>
              </c:ext>
            </c:extLst>
          </c:dPt>
          <c:dPt>
            <c:idx val="3"/>
            <c:bubble3D val="0"/>
            <c:explosion val="3"/>
            <c:extLst>
              <c:ext xmlns:c16="http://schemas.microsoft.com/office/drawing/2014/chart" uri="{C3380CC4-5D6E-409C-BE32-E72D297353CC}">
                <c16:uniqueId val="{00000006-981D-4695-BD7C-260A34D043B7}"/>
              </c:ext>
            </c:extLst>
          </c:dPt>
          <c:dPt>
            <c:idx val="4"/>
            <c:bubble3D val="0"/>
            <c:explosion val="7"/>
            <c:extLst>
              <c:ext xmlns:c16="http://schemas.microsoft.com/office/drawing/2014/chart" uri="{C3380CC4-5D6E-409C-BE32-E72D297353CC}">
                <c16:uniqueId val="{00000008-981D-4695-BD7C-260A34D043B7}"/>
              </c:ext>
            </c:extLst>
          </c:dPt>
          <c:dLbls>
            <c:dLbl>
              <c:idx val="0"/>
              <c:layout>
                <c:manualLayout>
                  <c:x val="9.4033249634956809E-2"/>
                  <c:y val="-4.261190483341253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81D-4695-BD7C-260A34D043B7}"/>
                </c:ext>
              </c:extLst>
            </c:dLbl>
            <c:dLbl>
              <c:idx val="1"/>
              <c:layout>
                <c:manualLayout>
                  <c:x val="-9.9107691152990701E-2"/>
                  <c:y val="5.46639523085550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81D-4695-BD7C-260A34D043B7}"/>
                </c:ext>
              </c:extLst>
            </c:dLbl>
            <c:dLbl>
              <c:idx val="2"/>
              <c:layout>
                <c:manualLayout>
                  <c:x val="-0.10341366557949762"/>
                  <c:y val="-0.163067981055682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81D-4695-BD7C-260A34D043B7}"/>
                </c:ext>
              </c:extLst>
            </c:dLbl>
            <c:dLbl>
              <c:idx val="3"/>
              <c:layout>
                <c:manualLayout>
                  <c:x val="9.3720745370433553E-2"/>
                  <c:y val="-0.141796144358035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81D-4695-BD7C-260A34D043B7}"/>
                </c:ext>
              </c:extLst>
            </c:dLbl>
            <c:dLbl>
              <c:idx val="4"/>
              <c:layout>
                <c:manualLayout>
                  <c:x val="0.10855582772690671"/>
                  <c:y val="3.96141764700161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81D-4695-BD7C-260A34D043B7}"/>
                </c:ext>
              </c:extLst>
            </c:dLbl>
            <c:dLbl>
              <c:idx val="5"/>
              <c:layout>
                <c:manualLayout>
                  <c:x val="-7.9482866851348991E-2"/>
                  <c:y val="-8.535100938274571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1D-4695-BD7C-260A34D043B7}"/>
                </c:ext>
              </c:extLst>
            </c:dLbl>
            <c:dLbl>
              <c:idx val="6"/>
              <c:layout>
                <c:manualLayout>
                  <c:x val="1.8096930907899943E-2"/>
                  <c:y val="-2.81072505604737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81D-4695-BD7C-260A34D043B7}"/>
                </c:ext>
              </c:extLst>
            </c:dLbl>
            <c:dLbl>
              <c:idx val="7"/>
              <c:delete val="1"/>
              <c:extLst>
                <c:ext xmlns:c15="http://schemas.microsoft.com/office/drawing/2012/chart" uri="{CE6537A1-D6FC-4f65-9D91-7224C49458BB}"/>
                <c:ext xmlns:c16="http://schemas.microsoft.com/office/drawing/2014/chart" uri="{C3380CC4-5D6E-409C-BE32-E72D297353CC}">
                  <c16:uniqueId val="{0000000B-981D-4695-BD7C-260A34D043B7}"/>
                </c:ext>
              </c:extLst>
            </c:dLbl>
            <c:numFmt formatCode="0.00%" sourceLinked="0"/>
            <c:spPr>
              <a:noFill/>
              <a:ln>
                <a:noFill/>
              </a:ln>
              <a:effectLst/>
            </c:spPr>
            <c:txPr>
              <a:bodyPr wrap="square" lIns="38100" tIns="19050" rIns="38100" bIns="19050" anchor="ctr">
                <a:spAutoFit/>
              </a:bodyPr>
              <a:lstStyle/>
              <a:p>
                <a:pPr>
                  <a:defRPr sz="10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rokov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28</c:v>
                </c:pt>
                <c:pt idx="1">
                  <c:v>516</c:v>
                </c:pt>
                <c:pt idx="2">
                  <c:v>469</c:v>
                </c:pt>
                <c:pt idx="3">
                  <c:v>408</c:v>
                </c:pt>
                <c:pt idx="4">
                  <c:v>470</c:v>
                </c:pt>
                <c:pt idx="5">
                  <c:v>15</c:v>
                </c:pt>
                <c:pt idx="6">
                  <c:v>59</c:v>
                </c:pt>
                <c:pt idx="7">
                  <c:v>4</c:v>
                </c:pt>
              </c:numCache>
            </c:numRef>
          </c:val>
          <c:extLst>
            <c:ext xmlns:c16="http://schemas.microsoft.com/office/drawing/2014/chart" uri="{C3380CC4-5D6E-409C-BE32-E72D297353CC}">
              <c16:uniqueId val="{0000000C-981D-4695-BD7C-260A34D043B7}"/>
            </c:ext>
          </c:extLst>
        </c:ser>
        <c:dLbls>
          <c:showLegendKey val="0"/>
          <c:showVal val="1"/>
          <c:showCatName val="0"/>
          <c:showSerName val="0"/>
          <c:showPercent val="0"/>
          <c:showBubbleSize val="0"/>
          <c:showLeaderLines val="1"/>
        </c:dLbls>
      </c:pie3DChart>
    </c:plotArea>
    <c:legend>
      <c:legendPos val="r"/>
      <c:layout>
        <c:manualLayout>
          <c:xMode val="edge"/>
          <c:yMode val="edge"/>
          <c:x val="0.70674340534123015"/>
          <c:y val="0.12496590423224445"/>
          <c:w val="0.26293089406280623"/>
          <c:h val="0.8451992846910781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3643486944723266"/>
          <c:y val="6.62457765983671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458408771685952"/>
          <c:y val="0.24506115635769465"/>
          <c:w val="0.49256151548152766"/>
          <c:h val="0.63592776829743758"/>
        </c:manualLayout>
      </c:layout>
      <c:pie3DChart>
        <c:varyColors val="1"/>
        <c:ser>
          <c:idx val="0"/>
          <c:order val="0"/>
          <c:explosion val="25"/>
          <c:dPt>
            <c:idx val="0"/>
            <c:bubble3D val="0"/>
            <c:explosion val="14"/>
            <c:extLst>
              <c:ext xmlns:c16="http://schemas.microsoft.com/office/drawing/2014/chart" uri="{C3380CC4-5D6E-409C-BE32-E72D297353CC}">
                <c16:uniqueId val="{00000001-35E3-4B91-A4C4-08463EEBEC75}"/>
              </c:ext>
            </c:extLst>
          </c:dPt>
          <c:dPt>
            <c:idx val="1"/>
            <c:bubble3D val="0"/>
            <c:explosion val="7"/>
            <c:extLst>
              <c:ext xmlns:c16="http://schemas.microsoft.com/office/drawing/2014/chart" uri="{C3380CC4-5D6E-409C-BE32-E72D297353CC}">
                <c16:uniqueId val="{00000003-35E3-4B91-A4C4-08463EEBEC75}"/>
              </c:ext>
            </c:extLst>
          </c:dPt>
          <c:dPt>
            <c:idx val="2"/>
            <c:bubble3D val="0"/>
            <c:explosion val="12"/>
            <c:extLst>
              <c:ext xmlns:c16="http://schemas.microsoft.com/office/drawing/2014/chart" uri="{C3380CC4-5D6E-409C-BE32-E72D297353CC}">
                <c16:uniqueId val="{00000005-35E3-4B91-A4C4-08463EEBEC75}"/>
              </c:ext>
            </c:extLst>
          </c:dPt>
          <c:dPt>
            <c:idx val="3"/>
            <c:bubble3D val="0"/>
            <c:explosion val="16"/>
            <c:extLst>
              <c:ext xmlns:c16="http://schemas.microsoft.com/office/drawing/2014/chart" uri="{C3380CC4-5D6E-409C-BE32-E72D297353CC}">
                <c16:uniqueId val="{00000007-35E3-4B91-A4C4-08463EEBEC75}"/>
              </c:ext>
            </c:extLst>
          </c:dPt>
          <c:dLbls>
            <c:dLbl>
              <c:idx val="2"/>
              <c:layout>
                <c:manualLayout>
                  <c:x val="0.13622260447163584"/>
                  <c:y val="-0.217735024144081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E3-4B91-A4C4-08463EEBEC75}"/>
                </c:ext>
              </c:extLst>
            </c:dLbl>
            <c:numFmt formatCode="0.00%" sourceLinked="0"/>
            <c:spPr>
              <a:noFill/>
              <a:ln>
                <a:noFill/>
              </a:ln>
              <a:effectLst/>
            </c:spPr>
            <c:txPr>
              <a:bodyPr wrap="square" lIns="38100" tIns="19050" rIns="38100" bIns="19050" anchor="ctr">
                <a:spAutoFit/>
              </a:bodyPr>
              <a:lstStyle/>
              <a:p>
                <a:pPr>
                  <a:defRPr sz="10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do 24 r.</c:v>
                </c:pt>
                <c:pt idx="1">
                  <c:v>25 - 29 r.</c:v>
                </c:pt>
                <c:pt idx="2">
                  <c:v>30 - 49 r.</c:v>
                </c:pt>
                <c:pt idx="3">
                  <c:v>50 a viac r.</c:v>
                </c:pt>
              </c:strCache>
            </c:strRef>
          </c:cat>
          <c:val>
            <c:numRef>
              <c:f>Hárok1!$B$1:$B$4</c:f>
              <c:numCache>
                <c:formatCode>General</c:formatCode>
                <c:ptCount val="4"/>
                <c:pt idx="0">
                  <c:v>244</c:v>
                </c:pt>
                <c:pt idx="1">
                  <c:v>300</c:v>
                </c:pt>
                <c:pt idx="2">
                  <c:v>779</c:v>
                </c:pt>
                <c:pt idx="3">
                  <c:v>211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35E3-4B91-A4C4-08463EEBEC75}"/>
            </c:ext>
          </c:extLst>
        </c:ser>
        <c:dLbls>
          <c:showLegendKey val="0"/>
          <c:showVal val="1"/>
          <c:showCatName val="0"/>
          <c:showSerName val="0"/>
          <c:showPercent val="0"/>
          <c:showBubbleSize val="0"/>
          <c:showLeaderLines val="1"/>
        </c:dLbls>
      </c:pie3DChart>
    </c:plotArea>
    <c:legend>
      <c:legendPos val="r"/>
      <c:layout>
        <c:manualLayout>
          <c:xMode val="edge"/>
          <c:yMode val="edge"/>
          <c:x val="0.74774631563776284"/>
          <c:y val="0.18388077371299616"/>
          <c:w val="0.17251965945500178"/>
          <c:h val="0.69696980907926842"/>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84537148929166"/>
          <c:y val="3.690852968830912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859036953208749"/>
          <c:y val="0.25050734966663529"/>
          <c:w val="0.48173079957120601"/>
          <c:h val="0.62634451253090617"/>
        </c:manualLayout>
      </c:layout>
      <c:pie3DChart>
        <c:varyColors val="1"/>
        <c:ser>
          <c:idx val="0"/>
          <c:order val="0"/>
          <c:explosion val="25"/>
          <c:dPt>
            <c:idx val="0"/>
            <c:bubble3D val="0"/>
            <c:explosion val="14"/>
            <c:extLst>
              <c:ext xmlns:c16="http://schemas.microsoft.com/office/drawing/2014/chart" uri="{C3380CC4-5D6E-409C-BE32-E72D297353CC}">
                <c16:uniqueId val="{00000001-420B-4FE8-BB58-E310076CFF4D}"/>
              </c:ext>
            </c:extLst>
          </c:dPt>
          <c:dPt>
            <c:idx val="1"/>
            <c:bubble3D val="0"/>
            <c:explosion val="7"/>
            <c:extLst>
              <c:ext xmlns:c16="http://schemas.microsoft.com/office/drawing/2014/chart" uri="{C3380CC4-5D6E-409C-BE32-E72D297353CC}">
                <c16:uniqueId val="{00000003-420B-4FE8-BB58-E310076CFF4D}"/>
              </c:ext>
            </c:extLst>
          </c:dPt>
          <c:dPt>
            <c:idx val="2"/>
            <c:bubble3D val="0"/>
            <c:explosion val="12"/>
            <c:extLst>
              <c:ext xmlns:c16="http://schemas.microsoft.com/office/drawing/2014/chart" uri="{C3380CC4-5D6E-409C-BE32-E72D297353CC}">
                <c16:uniqueId val="{00000005-420B-4FE8-BB58-E310076CFF4D}"/>
              </c:ext>
            </c:extLst>
          </c:dPt>
          <c:dPt>
            <c:idx val="3"/>
            <c:bubble3D val="0"/>
            <c:explosion val="16"/>
            <c:extLst>
              <c:ext xmlns:c16="http://schemas.microsoft.com/office/drawing/2014/chart" uri="{C3380CC4-5D6E-409C-BE32-E72D297353CC}">
                <c16:uniqueId val="{00000007-420B-4FE8-BB58-E310076CFF4D}"/>
              </c:ext>
            </c:extLst>
          </c:dPt>
          <c:dPt>
            <c:idx val="5"/>
            <c:bubble3D val="0"/>
            <c:explosion val="16"/>
            <c:extLst>
              <c:ext xmlns:c16="http://schemas.microsoft.com/office/drawing/2014/chart" uri="{C3380CC4-5D6E-409C-BE32-E72D297353CC}">
                <c16:uniqueId val="{00000009-8FFC-40F0-A883-80CF4CCEB70D}"/>
              </c:ext>
            </c:extLst>
          </c:dPt>
          <c:dPt>
            <c:idx val="6"/>
            <c:bubble3D val="0"/>
            <c:explosion val="16"/>
            <c:extLst>
              <c:ext xmlns:c16="http://schemas.microsoft.com/office/drawing/2014/chart" uri="{C3380CC4-5D6E-409C-BE32-E72D297353CC}">
                <c16:uniqueId val="{0000000B-8FFC-40F0-A883-80CF4CCEB70D}"/>
              </c:ext>
            </c:extLst>
          </c:dPt>
          <c:dPt>
            <c:idx val="7"/>
            <c:bubble3D val="0"/>
            <c:explosion val="17"/>
            <c:extLst>
              <c:ext xmlns:c16="http://schemas.microsoft.com/office/drawing/2014/chart" uri="{C3380CC4-5D6E-409C-BE32-E72D297353CC}">
                <c16:uniqueId val="{0000000A-8FFC-40F0-A883-80CF4CCEB70D}"/>
              </c:ext>
            </c:extLst>
          </c:dPt>
          <c:dLbls>
            <c:dLbl>
              <c:idx val="1"/>
              <c:layout>
                <c:manualLayout>
                  <c:x val="3.1020790710486437E-2"/>
                  <c:y val="-5.98237459538698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0B-4FE8-BB58-E310076CFF4D}"/>
                </c:ext>
              </c:extLst>
            </c:dLbl>
            <c:dLbl>
              <c:idx val="2"/>
              <c:layout>
                <c:manualLayout>
                  <c:x val="7.6529838622332855E-2"/>
                  <c:y val="-1.03856280829986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0B-4FE8-BB58-E310076CFF4D}"/>
                </c:ext>
              </c:extLst>
            </c:dLbl>
            <c:dLbl>
              <c:idx val="4"/>
              <c:layout>
                <c:manualLayout>
                  <c:x val="-0.10232058748532097"/>
                  <c:y val="-0.1832779247517565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FFC-40F0-A883-80CF4CCEB70D}"/>
                </c:ext>
              </c:extLst>
            </c:dLbl>
            <c:dLbl>
              <c:idx val="5"/>
              <c:layout>
                <c:manualLayout>
                  <c:x val="-1.5066975612127342E-2"/>
                  <c:y val="2.183384935019350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FC-40F0-A883-80CF4CCEB70D}"/>
                </c:ext>
              </c:extLst>
            </c:dLbl>
            <c:dLbl>
              <c:idx val="6"/>
              <c:layout>
                <c:manualLayout>
                  <c:x val="-5.038414928990596E-3"/>
                  <c:y val="-5.14503489567281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FFC-40F0-A883-80CF4CCEB70D}"/>
                </c:ext>
              </c:extLst>
            </c:dLbl>
            <c:dLbl>
              <c:idx val="7"/>
              <c:layout>
                <c:manualLayout>
                  <c:x val="-1.1694358902635276E-2"/>
                  <c:y val="-8.3740227881806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FFC-40F0-A883-80CF4CCEB70D}"/>
                </c:ext>
              </c:extLst>
            </c:dLbl>
            <c:dLbl>
              <c:idx val="9"/>
              <c:layout>
                <c:manualLayout>
                  <c:x val="-0.10734109335650709"/>
                  <c:y val="-3.30899527684213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FFC-40F0-A883-80CF4CCEB70D}"/>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2</c:v>
                </c:pt>
                <c:pt idx="1">
                  <c:v>52</c:v>
                </c:pt>
                <c:pt idx="2">
                  <c:v>1</c:v>
                </c:pt>
                <c:pt idx="3">
                  <c:v>248</c:v>
                </c:pt>
                <c:pt idx="4">
                  <c:v>680</c:v>
                </c:pt>
                <c:pt idx="5">
                  <c:v>112</c:v>
                </c:pt>
                <c:pt idx="6">
                  <c:v>14</c:v>
                </c:pt>
                <c:pt idx="7">
                  <c:v>85</c:v>
                </c:pt>
                <c:pt idx="8">
                  <c:v>330</c:v>
                </c:pt>
                <c:pt idx="9">
                  <c:v>10</c:v>
                </c:pt>
              </c:numCache>
            </c:numRef>
          </c:val>
          <c:extLst>
            <c:ext xmlns:c16="http://schemas.microsoft.com/office/drawing/2014/chart" uri="{C3380CC4-5D6E-409C-BE32-E72D297353CC}">
              <c16:uniqueId val="{00000008-420B-4FE8-BB58-E310076CFF4D}"/>
            </c:ext>
          </c:extLst>
        </c:ser>
        <c:dLbls>
          <c:showLegendKey val="0"/>
          <c:showVal val="1"/>
          <c:showCatName val="0"/>
          <c:showSerName val="0"/>
          <c:showPercent val="0"/>
          <c:showBubbleSize val="0"/>
          <c:showLeaderLines val="1"/>
        </c:dLbls>
      </c:pie3DChart>
    </c:plotArea>
    <c:legend>
      <c:legendPos val="r"/>
      <c:layout>
        <c:manualLayout>
          <c:xMode val="edge"/>
          <c:yMode val="edge"/>
          <c:x val="0.66991866729319938"/>
          <c:y val="0.10655217129713876"/>
          <c:w val="0.30408761452202859"/>
          <c:h val="0.8934477909499098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18877971944181732"/>
          <c:y val="6.509962402096032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554147364298159"/>
          <c:y val="0.23353244091320208"/>
          <c:w val="0.49039537229946334"/>
          <c:h val="0.63438842926770556"/>
        </c:manualLayout>
      </c:layout>
      <c:pie3DChart>
        <c:varyColors val="1"/>
        <c:ser>
          <c:idx val="0"/>
          <c:order val="0"/>
          <c:explosion val="25"/>
          <c:dPt>
            <c:idx val="0"/>
            <c:bubble3D val="0"/>
            <c:explosion val="14"/>
            <c:extLst>
              <c:ext xmlns:c16="http://schemas.microsoft.com/office/drawing/2014/chart" uri="{C3380CC4-5D6E-409C-BE32-E72D297353CC}">
                <c16:uniqueId val="{00000001-FD4B-45C1-A0F8-62475A5BC1F1}"/>
              </c:ext>
            </c:extLst>
          </c:dPt>
          <c:dPt>
            <c:idx val="1"/>
            <c:bubble3D val="0"/>
            <c:explosion val="7"/>
            <c:extLst>
              <c:ext xmlns:c16="http://schemas.microsoft.com/office/drawing/2014/chart" uri="{C3380CC4-5D6E-409C-BE32-E72D297353CC}">
                <c16:uniqueId val="{00000003-FD4B-45C1-A0F8-62475A5BC1F1}"/>
              </c:ext>
            </c:extLst>
          </c:dPt>
          <c:dPt>
            <c:idx val="2"/>
            <c:bubble3D val="0"/>
            <c:explosion val="12"/>
            <c:extLst>
              <c:ext xmlns:c16="http://schemas.microsoft.com/office/drawing/2014/chart" uri="{C3380CC4-5D6E-409C-BE32-E72D297353CC}">
                <c16:uniqueId val="{00000005-FD4B-45C1-A0F8-62475A5BC1F1}"/>
              </c:ext>
            </c:extLst>
          </c:dPt>
          <c:dPt>
            <c:idx val="3"/>
            <c:bubble3D val="0"/>
            <c:explosion val="16"/>
            <c:extLst>
              <c:ext xmlns:c16="http://schemas.microsoft.com/office/drawing/2014/chart" uri="{C3380CC4-5D6E-409C-BE32-E72D297353CC}">
                <c16:uniqueId val="{00000007-FD4B-45C1-A0F8-62475A5BC1F1}"/>
              </c:ext>
            </c:extLst>
          </c:dPt>
          <c:dLbls>
            <c:dLbl>
              <c:idx val="2"/>
              <c:layout>
                <c:manualLayout>
                  <c:x val="-8.1622151287192204E-2"/>
                  <c:y val="-0.167880200985468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4B-45C1-A0F8-62475A5BC1F1}"/>
                </c:ext>
              </c:extLst>
            </c:dLbl>
            <c:dLbl>
              <c:idx val="3"/>
              <c:layout>
                <c:manualLayout>
                  <c:x val="0.11037369381139711"/>
                  <c:y val="-0.100341347821435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4B-45C1-A0F8-62475A5BC1F1}"/>
                </c:ext>
              </c:extLst>
            </c:dLbl>
            <c:numFmt formatCode="0.00%" sourceLinked="0"/>
            <c:spPr>
              <a:noFill/>
              <a:ln>
                <a:noFill/>
              </a:ln>
              <a:effectLst/>
            </c:spPr>
            <c:txPr>
              <a:bodyPr wrap="square" lIns="38100" tIns="19050" rIns="38100" bIns="19050" anchor="ctr">
                <a:spAutoFit/>
              </a:bodyPr>
              <a:lstStyle/>
              <a:p>
                <a:pPr>
                  <a:defRPr sz="1000"/>
                </a:pPr>
                <a:endParaRPr lang="sk-SK"/>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130</c:v>
                </c:pt>
                <c:pt idx="1">
                  <c:v>319</c:v>
                </c:pt>
                <c:pt idx="2">
                  <c:v>403</c:v>
                </c:pt>
                <c:pt idx="3">
                  <c:v>453</c:v>
                </c:pt>
                <c:pt idx="4">
                  <c:v>229</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FD4B-45C1-A0F8-62475A5BC1F1}"/>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znevýhodnenia</a:t>
            </a:r>
            <a:endParaRPr lang="sk-SK" sz="1200">
              <a:effectLst/>
            </a:endParaRPr>
          </a:p>
        </c:rich>
      </c:tx>
      <c:layout>
        <c:manualLayout>
          <c:xMode val="edge"/>
          <c:yMode val="edge"/>
          <c:x val="0.19522438161787689"/>
          <c:y val="4.34923749009488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169464746759837"/>
          <c:y val="0.24732245169690492"/>
          <c:w val="0.47712990199226729"/>
          <c:h val="0.62002498004247775"/>
        </c:manualLayout>
      </c:layout>
      <c:pie3DChart>
        <c:varyColors val="1"/>
        <c:ser>
          <c:idx val="0"/>
          <c:order val="0"/>
          <c:explosion val="25"/>
          <c:dPt>
            <c:idx val="0"/>
            <c:bubble3D val="0"/>
            <c:explosion val="14"/>
            <c:extLst>
              <c:ext xmlns:c16="http://schemas.microsoft.com/office/drawing/2014/chart" uri="{C3380CC4-5D6E-409C-BE32-E72D297353CC}">
                <c16:uniqueId val="{00000001-B051-45FC-921F-89D7D1BA240E}"/>
              </c:ext>
            </c:extLst>
          </c:dPt>
          <c:dPt>
            <c:idx val="1"/>
            <c:bubble3D val="0"/>
            <c:explosion val="7"/>
            <c:extLst>
              <c:ext xmlns:c16="http://schemas.microsoft.com/office/drawing/2014/chart" uri="{C3380CC4-5D6E-409C-BE32-E72D297353CC}">
                <c16:uniqueId val="{00000003-B051-45FC-921F-89D7D1BA240E}"/>
              </c:ext>
            </c:extLst>
          </c:dPt>
          <c:dPt>
            <c:idx val="2"/>
            <c:bubble3D val="0"/>
            <c:explosion val="4"/>
            <c:extLst>
              <c:ext xmlns:c16="http://schemas.microsoft.com/office/drawing/2014/chart" uri="{C3380CC4-5D6E-409C-BE32-E72D297353CC}">
                <c16:uniqueId val="{00000005-B051-45FC-921F-89D7D1BA240E}"/>
              </c:ext>
            </c:extLst>
          </c:dPt>
          <c:dPt>
            <c:idx val="3"/>
            <c:bubble3D val="0"/>
            <c:explosion val="7"/>
            <c:extLst>
              <c:ext xmlns:c16="http://schemas.microsoft.com/office/drawing/2014/chart" uri="{C3380CC4-5D6E-409C-BE32-E72D297353CC}">
                <c16:uniqueId val="{00000007-B051-45FC-921F-89D7D1BA240E}"/>
              </c:ext>
            </c:extLst>
          </c:dPt>
          <c:dPt>
            <c:idx val="4"/>
            <c:bubble3D val="0"/>
            <c:explosion val="10"/>
            <c:extLst>
              <c:ext xmlns:c16="http://schemas.microsoft.com/office/drawing/2014/chart" uri="{C3380CC4-5D6E-409C-BE32-E72D297353CC}">
                <c16:uniqueId val="{00000008-97D6-4DA1-9438-EB0DE065719F}"/>
              </c:ext>
            </c:extLst>
          </c:dPt>
          <c:dLbls>
            <c:dLbl>
              <c:idx val="2"/>
              <c:layout>
                <c:manualLayout>
                  <c:x val="-0.1139677931775657"/>
                  <c:y val="-0.11324148454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51-45FC-921F-89D7D1BA240E}"/>
                </c:ext>
              </c:extLst>
            </c:dLbl>
            <c:dLbl>
              <c:idx val="3"/>
              <c:layout>
                <c:manualLayout>
                  <c:x val="-2.5431315375953251E-2"/>
                  <c:y val="3.412957218731496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51-45FC-921F-89D7D1BA240E}"/>
                </c:ext>
              </c:extLst>
            </c:dLbl>
            <c:dLbl>
              <c:idx val="4"/>
              <c:layout>
                <c:manualLayout>
                  <c:x val="0.12020466446588141"/>
                  <c:y val="-5.58339298496778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7D6-4DA1-9438-EB0DE065719F}"/>
                </c:ext>
              </c:extLst>
            </c:dLbl>
            <c:dLbl>
              <c:idx val="5"/>
              <c:layout>
                <c:manualLayout>
                  <c:x val="-5.838143804618226E-2"/>
                  <c:y val="-3.66929723010212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7D6-4DA1-9438-EB0DE065719F}"/>
                </c:ext>
              </c:extLst>
            </c:dLbl>
            <c:dLbl>
              <c:idx val="6"/>
              <c:layout>
                <c:manualLayout>
                  <c:x val="1.0724503645853404E-2"/>
                  <c:y val="-2.06665665108359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7D6-4DA1-9438-EB0DE065719F}"/>
                </c:ext>
              </c:extLst>
            </c:dLbl>
            <c:dLbl>
              <c:idx val="7"/>
              <c:layout>
                <c:manualLayout>
                  <c:x val="7.874692254006585E-2"/>
                  <c:y val="-1.36194255179382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7D6-4DA1-9438-EB0DE065719F}"/>
                </c:ext>
              </c:extLst>
            </c:dLbl>
            <c:numFmt formatCode="0.00%" sourceLinked="0"/>
            <c:spPr>
              <a:noFill/>
              <a:ln>
                <a:noFill/>
              </a:ln>
              <a:effectLst/>
            </c:spPr>
            <c:txPr>
              <a:bodyPr wrap="square" lIns="38100" tIns="19050" rIns="38100" bIns="19050" anchor="ctr">
                <a:spAutoFit/>
              </a:bodyPr>
              <a:lstStyle/>
              <a:p>
                <a:pPr>
                  <a:defRPr sz="9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rokov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161</c:v>
                </c:pt>
                <c:pt idx="1">
                  <c:v>211</c:v>
                </c:pt>
                <c:pt idx="2">
                  <c:v>690</c:v>
                </c:pt>
                <c:pt idx="3">
                  <c:v>55</c:v>
                </c:pt>
                <c:pt idx="4">
                  <c:v>744</c:v>
                </c:pt>
                <c:pt idx="5">
                  <c:v>40</c:v>
                </c:pt>
                <c:pt idx="6">
                  <c:v>79</c:v>
                </c:pt>
                <c:pt idx="7">
                  <c:v>38</c:v>
                </c:pt>
              </c:numCache>
            </c:numRef>
          </c:val>
          <c:extLst>
            <c:ext xmlns:c16="http://schemas.microsoft.com/office/drawing/2014/chart" uri="{C3380CC4-5D6E-409C-BE32-E72D297353CC}">
              <c16:uniqueId val="{00000008-B051-45FC-921F-89D7D1BA240E}"/>
            </c:ext>
          </c:extLst>
        </c:ser>
        <c:dLbls>
          <c:showLegendKey val="0"/>
          <c:showVal val="1"/>
          <c:showCatName val="0"/>
          <c:showSerName val="0"/>
          <c:showPercent val="0"/>
          <c:showBubbleSize val="0"/>
          <c:showLeaderLines val="1"/>
        </c:dLbls>
      </c:pie3DChart>
    </c:plotArea>
    <c:legend>
      <c:legendPos val="tr"/>
      <c:layout>
        <c:manualLayout>
          <c:xMode val="edge"/>
          <c:yMode val="edge"/>
          <c:x val="0.65489494889810873"/>
          <c:y val="0.1455514580928382"/>
          <c:w val="0.31900390917693194"/>
          <c:h val="0.79934779972241066"/>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SK NACE</a:t>
            </a:r>
            <a:endParaRPr lang="sk-SK" sz="1200">
              <a:effectLst/>
            </a:endParaRPr>
          </a:p>
        </c:rich>
      </c:tx>
      <c:layout>
        <c:manualLayout>
          <c:xMode val="edge"/>
          <c:yMode val="edge"/>
          <c:x val="0.18959905292737284"/>
          <c:y val="3.103267470052299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6.8769076344607799E-2"/>
          <c:y val="0.32940152448994992"/>
          <c:w val="0.47956465638914175"/>
          <c:h val="0.61945664941053635"/>
        </c:manualLayout>
      </c:layout>
      <c:pie3DChart>
        <c:varyColors val="1"/>
        <c:ser>
          <c:idx val="0"/>
          <c:order val="0"/>
          <c:explosion val="25"/>
          <c:dPt>
            <c:idx val="0"/>
            <c:bubble3D val="0"/>
            <c:explosion val="14"/>
            <c:extLst>
              <c:ext xmlns:c16="http://schemas.microsoft.com/office/drawing/2014/chart" uri="{C3380CC4-5D6E-409C-BE32-E72D297353CC}">
                <c16:uniqueId val="{00000001-A00A-48BF-9C43-F2AB79DBD102}"/>
              </c:ext>
            </c:extLst>
          </c:dPt>
          <c:dPt>
            <c:idx val="1"/>
            <c:bubble3D val="0"/>
            <c:explosion val="7"/>
            <c:extLst>
              <c:ext xmlns:c16="http://schemas.microsoft.com/office/drawing/2014/chart" uri="{C3380CC4-5D6E-409C-BE32-E72D297353CC}">
                <c16:uniqueId val="{00000003-A00A-48BF-9C43-F2AB79DBD102}"/>
              </c:ext>
            </c:extLst>
          </c:dPt>
          <c:dPt>
            <c:idx val="2"/>
            <c:bubble3D val="0"/>
            <c:explosion val="12"/>
            <c:extLst>
              <c:ext xmlns:c16="http://schemas.microsoft.com/office/drawing/2014/chart" uri="{C3380CC4-5D6E-409C-BE32-E72D297353CC}">
                <c16:uniqueId val="{00000005-A00A-48BF-9C43-F2AB79DBD102}"/>
              </c:ext>
            </c:extLst>
          </c:dPt>
          <c:dPt>
            <c:idx val="3"/>
            <c:bubble3D val="0"/>
            <c:explosion val="16"/>
            <c:extLst>
              <c:ext xmlns:c16="http://schemas.microsoft.com/office/drawing/2014/chart" uri="{C3380CC4-5D6E-409C-BE32-E72D297353CC}">
                <c16:uniqueId val="{00000007-A00A-48BF-9C43-F2AB79DBD102}"/>
              </c:ext>
            </c:extLst>
          </c:dPt>
          <c:dPt>
            <c:idx val="4"/>
            <c:bubble3D val="0"/>
            <c:explosion val="18"/>
            <c:extLst>
              <c:ext xmlns:c16="http://schemas.microsoft.com/office/drawing/2014/chart" uri="{C3380CC4-5D6E-409C-BE32-E72D297353CC}">
                <c16:uniqueId val="{00000009-3108-4A24-A2CC-2483775D4003}"/>
              </c:ext>
            </c:extLst>
          </c:dPt>
          <c:dLbls>
            <c:dLbl>
              <c:idx val="7"/>
              <c:layout>
                <c:manualLayout>
                  <c:x val="-1.9782611443232519E-2"/>
                  <c:y val="-3.67510834054109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108-4A24-A2CC-2483775D4003}"/>
                </c:ext>
              </c:extLst>
            </c:dLbl>
            <c:dLbl>
              <c:idx val="8"/>
              <c:layout>
                <c:manualLayout>
                  <c:x val="-4.1417996907689908E-2"/>
                  <c:y val="-7.16363641795771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108-4A24-A2CC-2483775D4003}"/>
                </c:ext>
              </c:extLst>
            </c:dLbl>
            <c:dLbl>
              <c:idx val="9"/>
              <c:layout>
                <c:manualLayout>
                  <c:x val="-8.3033665735603279E-2"/>
                  <c:y val="-0.139807922416072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95-458B-AC6F-AA9E1B1E21A4}"/>
                </c:ext>
              </c:extLst>
            </c:dLbl>
            <c:dLbl>
              <c:idx val="12"/>
              <c:layout>
                <c:manualLayout>
                  <c:x val="7.5348727476481168E-3"/>
                  <c:y val="-0.159713004001989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3108-4A24-A2CC-2483775D4003}"/>
                </c:ext>
              </c:extLst>
            </c:dLbl>
            <c:dLbl>
              <c:idx val="13"/>
              <c:layout>
                <c:manualLayout>
                  <c:x val="8.0619557386787319E-2"/>
                  <c:y val="-0.16919887006156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108-4A24-A2CC-2483775D4003}"/>
                </c:ext>
              </c:extLst>
            </c:dLbl>
            <c:dLbl>
              <c:idx val="14"/>
              <c:layout>
                <c:manualLayout>
                  <c:x val="8.1399965453756482E-2"/>
                  <c:y val="-6.29571701943631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108-4A24-A2CC-2483775D4003}"/>
                </c:ext>
              </c:extLst>
            </c:dLbl>
            <c:dLbl>
              <c:idx val="15"/>
              <c:layout>
                <c:manualLayout>
                  <c:x val="7.6412836035944939E-2"/>
                  <c:y val="-3.196214019064350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108-4A24-A2CC-2483775D4003}"/>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Hárok1!$A$1:$A$16</c:f>
              <c:strCache>
                <c:ptCount val="16"/>
                <c:pt idx="0">
                  <c:v>Stavebníctvo</c:v>
                </c:pt>
                <c:pt idx="1">
                  <c:v>Ostatné činnosti</c:v>
                </c:pt>
                <c:pt idx="2">
                  <c:v>Vedecké, odborné a technické činnosti</c:v>
                </c:pt>
                <c:pt idx="3">
                  <c:v>Priemyselná výroba</c:v>
                </c:pt>
                <c:pt idx="4">
                  <c:v>Veľkoobchod a maloobchod</c:v>
                </c:pt>
                <c:pt idx="5">
                  <c:v>Administratívne služby</c:v>
                </c:pt>
                <c:pt idx="6">
                  <c:v>Ďalšie činn. v ubytovacích a stravovac. sl.</c:v>
                </c:pt>
                <c:pt idx="7">
                  <c:v>Informácie a komunikácia</c:v>
                </c:pt>
                <c:pt idx="8">
                  <c:v>Pôdohospodárstvo</c:v>
                </c:pt>
                <c:pt idx="9">
                  <c:v>Vzdelávanie, umenie a zábava</c:v>
                </c:pt>
                <c:pt idx="10">
                  <c:v>Rekreácia</c:v>
                </c:pt>
                <c:pt idx="11">
                  <c:v>Nehnuteľnosti</c:v>
                </c:pt>
                <c:pt idx="12">
                  <c:v>Doprava a skladovanie</c:v>
                </c:pt>
                <c:pt idx="13">
                  <c:v>Verej.správa, sociál.zab.</c:v>
                </c:pt>
                <c:pt idx="14">
                  <c:v>Finančné a poisťovacie služby</c:v>
                </c:pt>
                <c:pt idx="15">
                  <c:v>Zdravotníctvo a soc.pom.</c:v>
                </c:pt>
              </c:strCache>
            </c:strRef>
          </c:cat>
          <c:val>
            <c:numRef>
              <c:f>Hárok1!$B$1:$B$16</c:f>
              <c:numCache>
                <c:formatCode>General</c:formatCode>
                <c:ptCount val="16"/>
                <c:pt idx="0">
                  <c:v>340</c:v>
                </c:pt>
                <c:pt idx="1">
                  <c:v>291</c:v>
                </c:pt>
                <c:pt idx="2">
                  <c:v>226</c:v>
                </c:pt>
                <c:pt idx="3">
                  <c:v>203</c:v>
                </c:pt>
                <c:pt idx="4">
                  <c:v>138</c:v>
                </c:pt>
                <c:pt idx="5">
                  <c:v>79</c:v>
                </c:pt>
                <c:pt idx="6">
                  <c:v>59</c:v>
                </c:pt>
                <c:pt idx="7">
                  <c:v>55</c:v>
                </c:pt>
                <c:pt idx="8">
                  <c:v>47</c:v>
                </c:pt>
                <c:pt idx="9">
                  <c:v>35</c:v>
                </c:pt>
                <c:pt idx="10">
                  <c:v>24</c:v>
                </c:pt>
                <c:pt idx="11">
                  <c:v>7</c:v>
                </c:pt>
                <c:pt idx="12">
                  <c:v>5</c:v>
                </c:pt>
                <c:pt idx="13">
                  <c:v>4</c:v>
                </c:pt>
                <c:pt idx="14">
                  <c:v>3</c:v>
                </c:pt>
                <c:pt idx="15">
                  <c:v>2</c:v>
                </c:pt>
              </c:numCache>
            </c:numRef>
          </c:val>
          <c:extLst>
            <c:ext xmlns:c16="http://schemas.microsoft.com/office/drawing/2014/chart" uri="{C3380CC4-5D6E-409C-BE32-E72D297353CC}">
              <c16:uniqueId val="{00000008-A00A-48BF-9C43-F2AB79DBD102}"/>
            </c:ext>
          </c:extLst>
        </c:ser>
        <c:dLbls>
          <c:showLegendKey val="0"/>
          <c:showVal val="1"/>
          <c:showCatName val="0"/>
          <c:showSerName val="0"/>
          <c:showPercent val="0"/>
          <c:showBubbleSize val="0"/>
          <c:showLeaderLines val="1"/>
        </c:dLbls>
      </c:pie3DChart>
    </c:plotArea>
    <c:legend>
      <c:legendPos val="r"/>
      <c:layout>
        <c:manualLayout>
          <c:xMode val="edge"/>
          <c:yMode val="edge"/>
          <c:x val="0.57649119702733786"/>
          <c:y val="0.10018807410029922"/>
          <c:w val="0.41296155266414292"/>
          <c:h val="0.8808401937805583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Veková štruktúra UoZ pred zaradením do projektu</a:t>
            </a:r>
          </a:p>
        </c:rich>
      </c:tx>
      <c:layout>
        <c:manualLayout>
          <c:xMode val="edge"/>
          <c:yMode val="edge"/>
          <c:x val="0.18502028155571462"/>
          <c:y val="7.781257377319741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536726659167604"/>
          <c:y val="0.27472188157430177"/>
          <c:w val="0.50516566111054295"/>
          <c:h val="0.56887538832121975"/>
        </c:manualLayout>
      </c:layout>
      <c:pie3DChart>
        <c:varyColors val="1"/>
        <c:ser>
          <c:idx val="0"/>
          <c:order val="0"/>
          <c:dPt>
            <c:idx val="0"/>
            <c:bubble3D val="0"/>
            <c:explosion val="7"/>
            <c:extLst>
              <c:ext xmlns:c16="http://schemas.microsoft.com/office/drawing/2014/chart" uri="{C3380CC4-5D6E-409C-BE32-E72D297353CC}">
                <c16:uniqueId val="{00000001-9EC5-49AD-8B2D-6811709243B9}"/>
              </c:ext>
            </c:extLst>
          </c:dPt>
          <c:dPt>
            <c:idx val="1"/>
            <c:bubble3D val="0"/>
            <c:explosion val="4"/>
            <c:extLst>
              <c:ext xmlns:c16="http://schemas.microsoft.com/office/drawing/2014/chart" uri="{C3380CC4-5D6E-409C-BE32-E72D297353CC}">
                <c16:uniqueId val="{00000003-9EC5-49AD-8B2D-6811709243B9}"/>
              </c:ext>
            </c:extLst>
          </c:dPt>
          <c:dPt>
            <c:idx val="2"/>
            <c:bubble3D val="0"/>
            <c:explosion val="9"/>
            <c:extLst>
              <c:ext xmlns:c16="http://schemas.microsoft.com/office/drawing/2014/chart" uri="{C3380CC4-5D6E-409C-BE32-E72D297353CC}">
                <c16:uniqueId val="{00000005-9EC5-49AD-8B2D-6811709243B9}"/>
              </c:ext>
            </c:extLst>
          </c:dPt>
          <c:dPt>
            <c:idx val="3"/>
            <c:bubble3D val="0"/>
            <c:explosion val="11"/>
            <c:extLst>
              <c:ext xmlns:c16="http://schemas.microsoft.com/office/drawing/2014/chart" uri="{C3380CC4-5D6E-409C-BE32-E72D297353CC}">
                <c16:uniqueId val="{00000007-9EC5-49AD-8B2D-6811709243B9}"/>
              </c:ext>
            </c:extLst>
          </c:dPt>
          <c:dLbls>
            <c:dLbl>
              <c:idx val="0"/>
              <c:layout>
                <c:manualLayout>
                  <c:x val="-0.11834901319153288"/>
                  <c:y val="6.33021562142885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C5-49AD-8B2D-6811709243B9}"/>
                </c:ext>
              </c:extLst>
            </c:dLbl>
            <c:dLbl>
              <c:idx val="1"/>
              <c:layout>
                <c:manualLayout>
                  <c:x val="-8.6675529195214235E-2"/>
                  <c:y val="-0.154937816376030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C5-49AD-8B2D-6811709243B9}"/>
                </c:ext>
              </c:extLst>
            </c:dLbl>
            <c:dLbl>
              <c:idx val="2"/>
              <c:layout>
                <c:manualLayout>
                  <c:x val="0.11897296928792984"/>
                  <c:y val="-0.165529819518116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C5-49AD-8B2D-6811709243B9}"/>
                </c:ext>
              </c:extLst>
            </c:dLbl>
            <c:dLbl>
              <c:idx val="3"/>
              <c:layout>
                <c:manualLayout>
                  <c:x val="8.6694508014084445E-2"/>
                  <c:y val="0.11053321756833623"/>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C5-49AD-8B2D-6811709243B9}"/>
                </c:ext>
              </c:extLst>
            </c:dLbl>
            <c:numFmt formatCode="0.00%" sourceLinked="0"/>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Hárok1!$A$6:$A$9</c:f>
              <c:strCache>
                <c:ptCount val="4"/>
                <c:pt idx="0">
                  <c:v>UoZ do 24 rokov</c:v>
                </c:pt>
                <c:pt idx="1">
                  <c:v>UoZ od 25 do 29 rokov</c:v>
                </c:pt>
                <c:pt idx="2">
                  <c:v>UoZ od 30 do 49 rokov</c:v>
                </c:pt>
                <c:pt idx="3">
                  <c:v>UoZ 50 a viac rokov</c:v>
                </c:pt>
              </c:strCache>
            </c:strRef>
          </c:cat>
          <c:val>
            <c:numRef>
              <c:f>Hárok1!$B$6:$B$9</c:f>
              <c:numCache>
                <c:formatCode>#,##0</c:formatCode>
                <c:ptCount val="4"/>
                <c:pt idx="0">
                  <c:v>226</c:v>
                </c:pt>
                <c:pt idx="1">
                  <c:v>122</c:v>
                </c:pt>
                <c:pt idx="2">
                  <c:v>251</c:v>
                </c:pt>
                <c:pt idx="3">
                  <c:v>171</c:v>
                </c:pt>
              </c:numCache>
            </c:numRef>
          </c:val>
          <c:extLst>
            <c:ext xmlns:c16="http://schemas.microsoft.com/office/drawing/2014/chart" uri="{C3380CC4-5D6E-409C-BE32-E72D297353CC}">
              <c16:uniqueId val="{00000008-9EC5-49AD-8B2D-6811709243B9}"/>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7104990285305246"/>
          <c:y val="0.23261626655914494"/>
          <c:w val="0.22916703120443271"/>
          <c:h val="0.6286885622186960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4957750072907552"/>
          <c:y val="3.301897607626633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3368800490847735"/>
          <c:y val="0.24979716024340767"/>
          <c:w val="0.53037938439513244"/>
          <c:h val="0.60621815655396016"/>
        </c:manualLayout>
      </c:layout>
      <c:pie3DChart>
        <c:varyColors val="1"/>
        <c:ser>
          <c:idx val="0"/>
          <c:order val="0"/>
          <c:explosion val="25"/>
          <c:dPt>
            <c:idx val="0"/>
            <c:bubble3D val="0"/>
            <c:explosion val="6"/>
            <c:extLst>
              <c:ext xmlns:c16="http://schemas.microsoft.com/office/drawing/2014/chart" uri="{C3380CC4-5D6E-409C-BE32-E72D297353CC}">
                <c16:uniqueId val="{00000001-936C-472F-B7E3-089C274C330B}"/>
              </c:ext>
            </c:extLst>
          </c:dPt>
          <c:dPt>
            <c:idx val="1"/>
            <c:bubble3D val="0"/>
            <c:explosion val="3"/>
            <c:extLst>
              <c:ext xmlns:c16="http://schemas.microsoft.com/office/drawing/2014/chart" uri="{C3380CC4-5D6E-409C-BE32-E72D297353CC}">
                <c16:uniqueId val="{00000003-936C-472F-B7E3-089C274C330B}"/>
              </c:ext>
            </c:extLst>
          </c:dPt>
          <c:dPt>
            <c:idx val="2"/>
            <c:bubble3D val="0"/>
            <c:explosion val="10"/>
            <c:extLst>
              <c:ext xmlns:c16="http://schemas.microsoft.com/office/drawing/2014/chart" uri="{C3380CC4-5D6E-409C-BE32-E72D297353CC}">
                <c16:uniqueId val="{00000005-936C-472F-B7E3-089C274C330B}"/>
              </c:ext>
            </c:extLst>
          </c:dPt>
          <c:dPt>
            <c:idx val="3"/>
            <c:bubble3D val="0"/>
            <c:explosion val="8"/>
            <c:extLst>
              <c:ext xmlns:c16="http://schemas.microsoft.com/office/drawing/2014/chart" uri="{C3380CC4-5D6E-409C-BE32-E72D297353CC}">
                <c16:uniqueId val="{00000007-936C-472F-B7E3-089C274C330B}"/>
              </c:ext>
            </c:extLst>
          </c:dPt>
          <c:dPt>
            <c:idx val="4"/>
            <c:bubble3D val="0"/>
            <c:explosion val="5"/>
            <c:extLst>
              <c:ext xmlns:c16="http://schemas.microsoft.com/office/drawing/2014/chart" uri="{C3380CC4-5D6E-409C-BE32-E72D297353CC}">
                <c16:uniqueId val="{00000009-936C-472F-B7E3-089C274C330B}"/>
              </c:ext>
            </c:extLst>
          </c:dPt>
          <c:dLbls>
            <c:dLbl>
              <c:idx val="0"/>
              <c:tx>
                <c:rich>
                  <a:bodyPr wrap="square" lIns="38100" tIns="19050" rIns="38100" bIns="19050" anchor="ctr">
                    <a:spAutoFit/>
                  </a:bodyPr>
                  <a:lstStyle/>
                  <a:p>
                    <a:pPr>
                      <a:defRPr/>
                    </a:pPr>
                    <a:r>
                      <a:rPr lang="en-US"/>
                      <a:t>21,01 %</a:t>
                    </a:r>
                  </a:p>
                </c:rich>
              </c:tx>
              <c:numFmt formatCode="0.00%" sourceLinked="0"/>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C-472F-B7E3-089C274C330B}"/>
                </c:ext>
              </c:extLst>
            </c:dLbl>
            <c:dLbl>
              <c:idx val="2"/>
              <c:layout>
                <c:manualLayout>
                  <c:x val="7.4000409039779114E-2"/>
                  <c:y val="-0.2077466419638721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6C-472F-B7E3-089C274C330B}"/>
                </c:ext>
              </c:extLst>
            </c:dLbl>
            <c:dLbl>
              <c:idx val="3"/>
              <c:layout>
                <c:manualLayout>
                  <c:x val="0.10146143190434527"/>
                  <c:y val="2.037107430536700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6C-472F-B7E3-089C274C330B}"/>
                </c:ext>
              </c:extLst>
            </c:dLbl>
            <c:dLbl>
              <c:idx val="4"/>
              <c:layout>
                <c:manualLayout>
                  <c:x val="6.2447871099445926E-2"/>
                  <c:y val="0.10120694683279528"/>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6C-472F-B7E3-089C274C330B}"/>
                </c:ext>
              </c:extLst>
            </c:dLbl>
            <c:numFmt formatCode="0.00%" sourceLinked="0"/>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143</c:v>
                </c:pt>
                <c:pt idx="1">
                  <c:v>175</c:v>
                </c:pt>
                <c:pt idx="2">
                  <c:v>195</c:v>
                </c:pt>
                <c:pt idx="3">
                  <c:v>138</c:v>
                </c:pt>
                <c:pt idx="4">
                  <c:v>119</c:v>
                </c:pt>
              </c:numCache>
            </c:numRef>
          </c:val>
          <c:extLst>
            <c:ext xmlns:c16="http://schemas.microsoft.com/office/drawing/2014/chart" uri="{C3380CC4-5D6E-409C-BE32-E72D297353CC}">
              <c16:uniqueId val="{0000000A-936C-472F-B7E3-089C274C330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277887139107604"/>
          <c:y val="0.20126335627924805"/>
          <c:w val="0.30787091717701953"/>
          <c:h val="0.7022404210122822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7.2872994819861939E-2"/>
          <c:y val="3.815014165750325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420697903065018E-2"/>
          <c:y val="0.2551290346977706"/>
          <c:w val="0.58583312028249679"/>
          <c:h val="0.48160852892321215"/>
        </c:manualLayout>
      </c:layout>
      <c:pie3DChart>
        <c:varyColors val="1"/>
        <c:ser>
          <c:idx val="0"/>
          <c:order val="0"/>
          <c:explosion val="17"/>
          <c:dPt>
            <c:idx val="0"/>
            <c:bubble3D val="0"/>
            <c:extLst>
              <c:ext xmlns:c16="http://schemas.microsoft.com/office/drawing/2014/chart" uri="{C3380CC4-5D6E-409C-BE32-E72D297353CC}">
                <c16:uniqueId val="{00000000-4739-439A-8C36-59C5303C1C06}"/>
              </c:ext>
            </c:extLst>
          </c:dPt>
          <c:dPt>
            <c:idx val="1"/>
            <c:bubble3D val="0"/>
            <c:extLst>
              <c:ext xmlns:c16="http://schemas.microsoft.com/office/drawing/2014/chart" uri="{C3380CC4-5D6E-409C-BE32-E72D297353CC}">
                <c16:uniqueId val="{00000001-4739-439A-8C36-59C5303C1C06}"/>
              </c:ext>
            </c:extLst>
          </c:dPt>
          <c:dPt>
            <c:idx val="2"/>
            <c:bubble3D val="0"/>
            <c:extLst>
              <c:ext xmlns:c16="http://schemas.microsoft.com/office/drawing/2014/chart" uri="{C3380CC4-5D6E-409C-BE32-E72D297353CC}">
                <c16:uniqueId val="{00000002-4739-439A-8C36-59C5303C1C06}"/>
              </c:ext>
            </c:extLst>
          </c:dPt>
          <c:dPt>
            <c:idx val="3"/>
            <c:bubble3D val="0"/>
            <c:extLst>
              <c:ext xmlns:c16="http://schemas.microsoft.com/office/drawing/2014/chart" uri="{C3380CC4-5D6E-409C-BE32-E72D297353CC}">
                <c16:uniqueId val="{00000003-4739-439A-8C36-59C5303C1C06}"/>
              </c:ext>
            </c:extLst>
          </c:dPt>
          <c:dPt>
            <c:idx val="4"/>
            <c:bubble3D val="0"/>
            <c:extLst>
              <c:ext xmlns:c16="http://schemas.microsoft.com/office/drawing/2014/chart" uri="{C3380CC4-5D6E-409C-BE32-E72D297353CC}">
                <c16:uniqueId val="{00000004-4739-439A-8C36-59C5303C1C06}"/>
              </c:ext>
            </c:extLst>
          </c:dPt>
          <c:dPt>
            <c:idx val="5"/>
            <c:bubble3D val="0"/>
            <c:extLst>
              <c:ext xmlns:c16="http://schemas.microsoft.com/office/drawing/2014/chart" uri="{C3380CC4-5D6E-409C-BE32-E72D297353CC}">
                <c16:uniqueId val="{00000005-4739-439A-8C36-59C5303C1C06}"/>
              </c:ext>
            </c:extLst>
          </c:dPt>
          <c:dPt>
            <c:idx val="6"/>
            <c:bubble3D val="0"/>
            <c:extLst>
              <c:ext xmlns:c16="http://schemas.microsoft.com/office/drawing/2014/chart" uri="{C3380CC4-5D6E-409C-BE32-E72D297353CC}">
                <c16:uniqueId val="{00000006-4739-439A-8C36-59C5303C1C06}"/>
              </c:ext>
            </c:extLst>
          </c:dPt>
          <c:dPt>
            <c:idx val="7"/>
            <c:bubble3D val="0"/>
            <c:extLst>
              <c:ext xmlns:c16="http://schemas.microsoft.com/office/drawing/2014/chart" uri="{C3380CC4-5D6E-409C-BE32-E72D297353CC}">
                <c16:uniqueId val="{00000007-4739-439A-8C36-59C5303C1C06}"/>
              </c:ext>
            </c:extLst>
          </c:dPt>
          <c:dPt>
            <c:idx val="8"/>
            <c:bubble3D val="0"/>
            <c:extLst>
              <c:ext xmlns:c16="http://schemas.microsoft.com/office/drawing/2014/chart" uri="{C3380CC4-5D6E-409C-BE32-E72D297353CC}">
                <c16:uniqueId val="{00000008-4739-439A-8C36-59C5303C1C06}"/>
              </c:ext>
            </c:extLst>
          </c:dPt>
          <c:dLbls>
            <c:dLbl>
              <c:idx val="0"/>
              <c:layout>
                <c:manualLayout>
                  <c:x val="3.9151651587243028E-2"/>
                  <c:y val="7.7589901952953011E-2"/>
                </c:manualLayout>
              </c:layout>
              <c:tx>
                <c:rich>
                  <a:bodyPr/>
                  <a:lstStyle/>
                  <a:p>
                    <a:pPr>
                      <a:defRPr/>
                    </a:pPr>
                    <a:r>
                      <a:rPr lang="en-US"/>
                      <a:t>10,01%</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39-439A-8C36-59C5303C1C06}"/>
                </c:ext>
              </c:extLst>
            </c:dLbl>
            <c:dLbl>
              <c:idx val="1"/>
              <c:layout>
                <c:manualLayout>
                  <c:x val="-8.6952366408546242E-2"/>
                  <c:y val="-3.6302390757166577E-3"/>
                </c:manualLayout>
              </c:layout>
              <c:tx>
                <c:rich>
                  <a:bodyPr/>
                  <a:lstStyle/>
                  <a:p>
                    <a:pPr>
                      <a:defRPr/>
                    </a:pPr>
                    <a:r>
                      <a:rPr lang="en-US"/>
                      <a:t>0,71%</a:t>
                    </a:r>
                  </a:p>
                </c:rich>
              </c:tx>
              <c:numFmt formatCode="0.00%" sourceLinked="0"/>
              <c:spPr/>
              <c:dLblPos val="bestFit"/>
              <c:showLegendKey val="0"/>
              <c:showVal val="0"/>
              <c:showCatName val="0"/>
              <c:showSerName val="0"/>
              <c:showPercent val="1"/>
              <c:showBubbleSize val="0"/>
              <c:extLst>
                <c:ext xmlns:c15="http://schemas.microsoft.com/office/drawing/2012/chart" uri="{CE6537A1-D6FC-4f65-9D91-7224C49458BB}">
                  <c15:layout>
                    <c:manualLayout>
                      <c:w val="7.073855351414407E-2"/>
                      <c:h val="8.2071621450776844E-2"/>
                    </c:manualLayout>
                  </c15:layout>
                </c:ext>
                <c:ext xmlns:c16="http://schemas.microsoft.com/office/drawing/2014/chart" uri="{C3380CC4-5D6E-409C-BE32-E72D297353CC}">
                  <c16:uniqueId val="{00000001-4739-439A-8C36-59C5303C1C06}"/>
                </c:ext>
              </c:extLst>
            </c:dLbl>
            <c:dLbl>
              <c:idx val="2"/>
              <c:layout>
                <c:manualLayout>
                  <c:x val="-6.5410095692712555E-2"/>
                  <c:y val="6.9002075150707526E-2"/>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739-439A-8C36-59C5303C1C06}"/>
                </c:ext>
              </c:extLst>
            </c:dLbl>
            <c:dLbl>
              <c:idx val="3"/>
              <c:layout>
                <c:manualLayout>
                  <c:x val="-0.11334293063007576"/>
                  <c:y val="-3.4786392042026474E-3"/>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39-439A-8C36-59C5303C1C06}"/>
                </c:ext>
              </c:extLst>
            </c:dLbl>
            <c:dLbl>
              <c:idx val="4"/>
              <c:layout>
                <c:manualLayout>
                  <c:x val="-4.080006451579693E-2"/>
                  <c:y val="-0.16936304786874967"/>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739-439A-8C36-59C5303C1C06}"/>
                </c:ext>
              </c:extLst>
            </c:dLbl>
            <c:dLbl>
              <c:idx val="5"/>
              <c:layout>
                <c:manualLayout>
                  <c:x val="9.1061645187138513E-3"/>
                  <c:y val="7.8631386272053783E-3"/>
                </c:manualLayout>
              </c:layout>
              <c:tx>
                <c:rich>
                  <a:bodyPr/>
                  <a:lstStyle/>
                  <a:p>
                    <a:pPr>
                      <a:defRPr/>
                    </a:pPr>
                    <a:r>
                      <a:rPr lang="en-US"/>
                      <a:t>0,82%</a:t>
                    </a:r>
                  </a:p>
                </c:rich>
              </c:tx>
              <c:numFmt formatCode="0.00%" sourceLinked="0"/>
              <c:sp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39-439A-8C36-59C5303C1C06}"/>
                </c:ext>
              </c:extLst>
            </c:dLbl>
            <c:dLbl>
              <c:idx val="6"/>
              <c:layout>
                <c:manualLayout>
                  <c:x val="8.8034378683706158E-2"/>
                  <c:y val="-9.176211564803071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739-439A-8C36-59C5303C1C06}"/>
                </c:ext>
              </c:extLst>
            </c:dLbl>
            <c:dLbl>
              <c:idx val="7"/>
              <c:layout>
                <c:manualLayout>
                  <c:x val="-3.591264972898228E-3"/>
                  <c:y val="3.3498133044183205E-3"/>
                </c:manualLayout>
              </c:layout>
              <c:tx>
                <c:rich>
                  <a:bodyPr/>
                  <a:lstStyle/>
                  <a:p>
                    <a:pPr>
                      <a:defRPr/>
                    </a:pPr>
                    <a:r>
                      <a:rPr lang="en-US"/>
                      <a:t>1,60%</a:t>
                    </a:r>
                  </a:p>
                </c:rich>
              </c:tx>
              <c:numFmt formatCode="0.00%" sourceLinked="0"/>
              <c:sp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39-439A-8C36-59C5303C1C06}"/>
                </c:ext>
              </c:extLst>
            </c:dLbl>
            <c:dLbl>
              <c:idx val="8"/>
              <c:layout>
                <c:manualLayout>
                  <c:x val="9.4043441780498727E-2"/>
                  <c:y val="6.2545484210329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739-439A-8C36-59C5303C1C06}"/>
                </c:ext>
              </c:extLst>
            </c:dLbl>
            <c:numFmt formatCode="0.00%" sourceLinked="0"/>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Hárok1!$A$6:$A$14</c:f>
              <c:strCache>
                <c:ptCount val="9"/>
                <c:pt idx="0">
                  <c:v>zákonodarcovia a riadiaci pracovníci</c:v>
                </c:pt>
                <c:pt idx="1">
                  <c:v>špecialisti</c:v>
                </c:pt>
                <c:pt idx="2">
                  <c:v>technici a odborní pracovníci</c:v>
                </c:pt>
                <c:pt idx="3">
                  <c:v>administratívni pracovníci</c:v>
                </c:pt>
                <c:pt idx="4">
                  <c:v>pracovníci v službách a obchode</c:v>
                </c:pt>
                <c:pt idx="5">
                  <c:v>kvalifikovaní pracovníci v poľnohospodárstve</c:v>
                </c:pt>
                <c:pt idx="6">
                  <c:v>kvalifikovaní pracovníci a remeselníci</c:v>
                </c:pt>
                <c:pt idx="7">
                  <c:v>operátori a montéri strojov</c:v>
                </c:pt>
                <c:pt idx="8">
                  <c:v>pomocní a nekvalifikovaní pracovníci</c:v>
                </c:pt>
              </c:strCache>
            </c:strRef>
          </c:cat>
          <c:val>
            <c:numRef>
              <c:f>Hárok1!$B$6:$B$14</c:f>
              <c:numCache>
                <c:formatCode>#,##0</c:formatCode>
                <c:ptCount val="9"/>
                <c:pt idx="0">
                  <c:v>6</c:v>
                </c:pt>
                <c:pt idx="1">
                  <c:v>38</c:v>
                </c:pt>
                <c:pt idx="2">
                  <c:v>58</c:v>
                </c:pt>
                <c:pt idx="3">
                  <c:v>170</c:v>
                </c:pt>
                <c:pt idx="4">
                  <c:v>201</c:v>
                </c:pt>
                <c:pt idx="5">
                  <c:v>13</c:v>
                </c:pt>
                <c:pt idx="6">
                  <c:v>79</c:v>
                </c:pt>
                <c:pt idx="7">
                  <c:v>31</c:v>
                </c:pt>
                <c:pt idx="8">
                  <c:v>174</c:v>
                </c:pt>
              </c:numCache>
            </c:numRef>
          </c:val>
          <c:extLst>
            <c:ext xmlns:c16="http://schemas.microsoft.com/office/drawing/2014/chart" uri="{C3380CC4-5D6E-409C-BE32-E72D297353CC}">
              <c16:uniqueId val="{00000009-4739-439A-8C36-59C5303C1C06}"/>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71162416802933415"/>
          <c:y val="0.13188094017596785"/>
          <c:w val="0.2400212421693094"/>
          <c:h val="0.85422258450351118"/>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u="none" strike="noStrike" kern="1200" baseline="0">
                <a:solidFill>
                  <a:sysClr val="windowText" lastClr="000000"/>
                </a:solidFill>
                <a:effectLst/>
                <a:latin typeface="+mn-lt"/>
                <a:ea typeface="+mn-ea"/>
                <a:cs typeface="+mn-cs"/>
              </a:rPr>
              <a:t>Právna forma zamestnávateľov v rámci projektu </a:t>
            </a:r>
          </a:p>
        </c:rich>
      </c:tx>
      <c:layout>
        <c:manualLayout>
          <c:xMode val="edge"/>
          <c:yMode val="edge"/>
          <c:x val="0.19266641485312491"/>
          <c:y val="6.0706093169043268E-2"/>
        </c:manualLayout>
      </c:layout>
      <c:overlay val="0"/>
    </c:title>
    <c:autoTitleDeleted val="0"/>
    <c:view3D>
      <c:rotX val="20"/>
      <c:rotY val="0"/>
      <c:depthPercent val="100"/>
      <c:rAngAx val="0"/>
      <c:perspective val="0"/>
    </c:view3D>
    <c:floor>
      <c:thickness val="0"/>
    </c:floor>
    <c:sideWall>
      <c:thickness val="0"/>
    </c:sideWall>
    <c:backWall>
      <c:thickness val="0"/>
    </c:backWall>
    <c:plotArea>
      <c:layout>
        <c:manualLayout>
          <c:layoutTarget val="inner"/>
          <c:xMode val="edge"/>
          <c:yMode val="edge"/>
          <c:x val="0.17954789784118314"/>
          <c:y val="0.16236611546610788"/>
          <c:w val="0.43107698145068529"/>
          <c:h val="0.81296527611587466"/>
        </c:manualLayout>
      </c:layout>
      <c:pie3DChart>
        <c:varyColors val="1"/>
        <c:ser>
          <c:idx val="0"/>
          <c:order val="0"/>
          <c:dLbls>
            <c:dLbl>
              <c:idx val="0"/>
              <c:layout>
                <c:manualLayout>
                  <c:x val="-3.2089224541755168E-2"/>
                  <c:y val="-6.35387286324786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79-4C04-ADA8-D9E1053DE71E}"/>
                </c:ext>
              </c:extLst>
            </c:dLbl>
            <c:dLbl>
              <c:idx val="2"/>
              <c:layout>
                <c:manualLayout>
                  <c:x val="-1.1047794774971996E-2"/>
                  <c:y val="-1.41225961538461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79-4C04-ADA8-D9E1053DE71E}"/>
                </c:ext>
              </c:extLst>
            </c:dLbl>
            <c:dLbl>
              <c:idx val="3"/>
              <c:layout>
                <c:manualLayout>
                  <c:x val="1.8560363878220944E-2"/>
                  <c:y val="-5.51837606837606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79-4C04-ADA8-D9E1053DE71E}"/>
                </c:ext>
              </c:extLst>
            </c:dLbl>
            <c:dLbl>
              <c:idx val="5"/>
              <c:layout>
                <c:manualLayout>
                  <c:x val="2.4310040264040499E-2"/>
                  <c:y val="-1.65152243589744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79-4C04-ADA8-D9E1053DE71E}"/>
                </c:ext>
              </c:extLst>
            </c:dLbl>
            <c:dLbl>
              <c:idx val="7"/>
              <c:layout>
                <c:manualLayout>
                  <c:x val="3.4337717322119474E-2"/>
                  <c:y val="-7.2975961538461503E-2"/>
                </c:manualLayout>
              </c:layout>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5079-4C04-ADA8-D9E1053DE71E}"/>
                </c:ext>
              </c:extLst>
            </c:dLbl>
            <c:dLbl>
              <c:idx val="10"/>
              <c:layout>
                <c:manualLayout>
                  <c:x val="-4.2594777832607435E-2"/>
                  <c:y val="-1.31343482905982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79-4C04-ADA8-D9E1053DE71E}"/>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forma'!$F$5:$P$5</c:f>
            </c:numRef>
          </c:val>
          <c:extLst>
            <c:ext xmlns:c16="http://schemas.microsoft.com/office/drawing/2014/chart" uri="{C3380CC4-5D6E-409C-BE32-E72D297353CC}">
              <c16:uniqueId val="{00000006-5079-4C04-ADA8-D9E1053DE71E}"/>
            </c:ext>
          </c:extLst>
        </c:ser>
        <c:ser>
          <c:idx val="1"/>
          <c:order val="1"/>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forma'!$F$6:$P$6</c:f>
            </c:numRef>
          </c:val>
          <c:extLst>
            <c:ext xmlns:c16="http://schemas.microsoft.com/office/drawing/2014/chart" uri="{C3380CC4-5D6E-409C-BE32-E72D297353CC}">
              <c16:uniqueId val="{00000007-5079-4C04-ADA8-D9E1053DE71E}"/>
            </c:ext>
          </c:extLst>
        </c:ser>
        <c:ser>
          <c:idx val="2"/>
          <c:order val="2"/>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forma'!$F$7:$P$7</c:f>
            </c:numRef>
          </c:val>
          <c:extLst>
            <c:ext xmlns:c16="http://schemas.microsoft.com/office/drawing/2014/chart" uri="{C3380CC4-5D6E-409C-BE32-E72D297353CC}">
              <c16:uniqueId val="{00000008-5079-4C04-ADA8-D9E1053DE71E}"/>
            </c:ext>
          </c:extLst>
        </c:ser>
        <c:ser>
          <c:idx val="3"/>
          <c:order val="3"/>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forma'!$F$8:$P$8</c:f>
            </c:numRef>
          </c:val>
          <c:extLst>
            <c:ext xmlns:c16="http://schemas.microsoft.com/office/drawing/2014/chart" uri="{C3380CC4-5D6E-409C-BE32-E72D297353CC}">
              <c16:uniqueId val="{00000009-5079-4C04-ADA8-D9E1053DE71E}"/>
            </c:ext>
          </c:extLst>
        </c:ser>
        <c:ser>
          <c:idx val="4"/>
          <c:order val="4"/>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forma'!$F$9:$P$9</c:f>
            </c:numRef>
          </c:val>
          <c:extLst>
            <c:ext xmlns:c16="http://schemas.microsoft.com/office/drawing/2014/chart" uri="{C3380CC4-5D6E-409C-BE32-E72D297353CC}">
              <c16:uniqueId val="{0000000A-5079-4C04-ADA8-D9E1053DE71E}"/>
            </c:ext>
          </c:extLst>
        </c:ser>
        <c:ser>
          <c:idx val="5"/>
          <c:order val="5"/>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forma'!$F$10:$P$10</c:f>
            </c:numRef>
          </c:val>
          <c:extLst>
            <c:ext xmlns:c16="http://schemas.microsoft.com/office/drawing/2014/chart" uri="{C3380CC4-5D6E-409C-BE32-E72D297353CC}">
              <c16:uniqueId val="{0000000B-5079-4C04-ADA8-D9E1053DE71E}"/>
            </c:ext>
          </c:extLst>
        </c:ser>
        <c:ser>
          <c:idx val="6"/>
          <c:order val="6"/>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forma'!$F$11:$P$11</c:f>
            </c:numRef>
          </c:val>
          <c:extLst>
            <c:ext xmlns:c16="http://schemas.microsoft.com/office/drawing/2014/chart" uri="{C3380CC4-5D6E-409C-BE32-E72D297353CC}">
              <c16:uniqueId val="{0000000C-5079-4C04-ADA8-D9E1053DE71E}"/>
            </c:ext>
          </c:extLst>
        </c:ser>
        <c:ser>
          <c:idx val="7"/>
          <c:order val="7"/>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forma'!$F$12:$P$12</c:f>
            </c:numRef>
          </c:val>
          <c:extLst>
            <c:ext xmlns:c16="http://schemas.microsoft.com/office/drawing/2014/chart" uri="{C3380CC4-5D6E-409C-BE32-E72D297353CC}">
              <c16:uniqueId val="{0000000D-5079-4C04-ADA8-D9E1053DE71E}"/>
            </c:ext>
          </c:extLst>
        </c:ser>
        <c:ser>
          <c:idx val="8"/>
          <c:order val="8"/>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forma'!$F$13:$P$13</c:f>
            </c:numRef>
          </c:val>
          <c:extLst>
            <c:ext xmlns:c16="http://schemas.microsoft.com/office/drawing/2014/chart" uri="{C3380CC4-5D6E-409C-BE32-E72D297353CC}">
              <c16:uniqueId val="{0000000E-5079-4C04-ADA8-D9E1053DE71E}"/>
            </c:ext>
          </c:extLst>
        </c:ser>
        <c:ser>
          <c:idx val="9"/>
          <c:order val="9"/>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forma'!$F$14:$P$14</c:f>
            </c:numRef>
          </c:val>
          <c:extLst>
            <c:ext xmlns:c16="http://schemas.microsoft.com/office/drawing/2014/chart" uri="{C3380CC4-5D6E-409C-BE32-E72D297353CC}">
              <c16:uniqueId val="{0000000F-5079-4C04-ADA8-D9E1053DE71E}"/>
            </c:ext>
          </c:extLst>
        </c:ser>
        <c:ser>
          <c:idx val="10"/>
          <c:order val="10"/>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forma'!$F$15:$P$15</c:f>
            </c:numRef>
          </c:val>
          <c:extLst>
            <c:ext xmlns:c16="http://schemas.microsoft.com/office/drawing/2014/chart" uri="{C3380CC4-5D6E-409C-BE32-E72D297353CC}">
              <c16:uniqueId val="{00000010-5079-4C04-ADA8-D9E1053DE71E}"/>
            </c:ext>
          </c:extLst>
        </c:ser>
        <c:ser>
          <c:idx val="11"/>
          <c:order val="11"/>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forma'!$F$16:$P$16</c:f>
            </c:numRef>
          </c:val>
          <c:extLst>
            <c:ext xmlns:c16="http://schemas.microsoft.com/office/drawing/2014/chart" uri="{C3380CC4-5D6E-409C-BE32-E72D297353CC}">
              <c16:uniqueId val="{00000011-5079-4C04-ADA8-D9E1053DE71E}"/>
            </c:ext>
          </c:extLst>
        </c:ser>
        <c:ser>
          <c:idx val="12"/>
          <c:order val="12"/>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forma'!$F$17:$P$17</c:f>
            </c:numRef>
          </c:val>
          <c:extLst>
            <c:ext xmlns:c16="http://schemas.microsoft.com/office/drawing/2014/chart" uri="{C3380CC4-5D6E-409C-BE32-E72D297353CC}">
              <c16:uniqueId val="{00000012-5079-4C04-ADA8-D9E1053DE71E}"/>
            </c:ext>
          </c:extLst>
        </c:ser>
        <c:ser>
          <c:idx val="13"/>
          <c:order val="13"/>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forma'!$F$18:$P$18</c:f>
            </c:numRef>
          </c:val>
          <c:extLst>
            <c:ext xmlns:c16="http://schemas.microsoft.com/office/drawing/2014/chart" uri="{C3380CC4-5D6E-409C-BE32-E72D297353CC}">
              <c16:uniqueId val="{00000013-5079-4C04-ADA8-D9E1053DE71E}"/>
            </c:ext>
          </c:extLst>
        </c:ser>
        <c:ser>
          <c:idx val="14"/>
          <c:order val="14"/>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forma'!$F$19:$P$19</c:f>
            </c:numRef>
          </c:val>
          <c:extLst>
            <c:ext xmlns:c16="http://schemas.microsoft.com/office/drawing/2014/chart" uri="{C3380CC4-5D6E-409C-BE32-E72D297353CC}">
              <c16:uniqueId val="{00000014-5079-4C04-ADA8-D9E1053DE71E}"/>
            </c:ext>
          </c:extLst>
        </c:ser>
        <c:ser>
          <c:idx val="15"/>
          <c:order val="15"/>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forma'!$F$20:$P$20</c:f>
            </c:numRef>
          </c:val>
          <c:extLst>
            <c:ext xmlns:c16="http://schemas.microsoft.com/office/drawing/2014/chart" uri="{C3380CC4-5D6E-409C-BE32-E72D297353CC}">
              <c16:uniqueId val="{00000015-5079-4C04-ADA8-D9E1053DE71E}"/>
            </c:ext>
          </c:extLst>
        </c:ser>
        <c:ser>
          <c:idx val="16"/>
          <c:order val="16"/>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forma'!$F$21:$P$21</c:f>
            </c:numRef>
          </c:val>
          <c:extLst>
            <c:ext xmlns:c16="http://schemas.microsoft.com/office/drawing/2014/chart" uri="{C3380CC4-5D6E-409C-BE32-E72D297353CC}">
              <c16:uniqueId val="{00000016-5079-4C04-ADA8-D9E1053DE71E}"/>
            </c:ext>
          </c:extLst>
        </c:ser>
        <c:ser>
          <c:idx val="17"/>
          <c:order val="17"/>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forma'!$F$22:$P$22</c:f>
            </c:numRef>
          </c:val>
          <c:extLst>
            <c:ext xmlns:c16="http://schemas.microsoft.com/office/drawing/2014/chart" uri="{C3380CC4-5D6E-409C-BE32-E72D297353CC}">
              <c16:uniqueId val="{00000017-5079-4C04-ADA8-D9E1053DE71E}"/>
            </c:ext>
          </c:extLst>
        </c:ser>
        <c:ser>
          <c:idx val="18"/>
          <c:order val="18"/>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forma'!$F$23:$P$23</c:f>
            </c:numRef>
          </c:val>
          <c:extLst>
            <c:ext xmlns:c16="http://schemas.microsoft.com/office/drawing/2014/chart" uri="{C3380CC4-5D6E-409C-BE32-E72D297353CC}">
              <c16:uniqueId val="{00000018-5079-4C04-ADA8-D9E1053DE71E}"/>
            </c:ext>
          </c:extLst>
        </c:ser>
        <c:ser>
          <c:idx val="19"/>
          <c:order val="19"/>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forma'!$F$24:$P$24</c:f>
            </c:numRef>
          </c:val>
          <c:extLst>
            <c:ext xmlns:c16="http://schemas.microsoft.com/office/drawing/2014/chart" uri="{C3380CC4-5D6E-409C-BE32-E72D297353CC}">
              <c16:uniqueId val="{00000019-5079-4C04-ADA8-D9E1053DE71E}"/>
            </c:ext>
          </c:extLst>
        </c:ser>
        <c:ser>
          <c:idx val="20"/>
          <c:order val="20"/>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forma'!$F$25:$P$25</c:f>
            </c:numRef>
          </c:val>
          <c:extLst>
            <c:ext xmlns:c16="http://schemas.microsoft.com/office/drawing/2014/chart" uri="{C3380CC4-5D6E-409C-BE32-E72D297353CC}">
              <c16:uniqueId val="{0000001A-5079-4C04-ADA8-D9E1053DE71E}"/>
            </c:ext>
          </c:extLst>
        </c:ser>
        <c:ser>
          <c:idx val="21"/>
          <c:order val="21"/>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forma'!$F$26:$P$26</c:f>
            </c:numRef>
          </c:val>
          <c:extLst>
            <c:ext xmlns:c16="http://schemas.microsoft.com/office/drawing/2014/chart" uri="{C3380CC4-5D6E-409C-BE32-E72D297353CC}">
              <c16:uniqueId val="{0000001B-5079-4C04-ADA8-D9E1053DE71E}"/>
            </c:ext>
          </c:extLst>
        </c:ser>
        <c:ser>
          <c:idx val="22"/>
          <c:order val="22"/>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forma'!$F$27:$P$27</c:f>
            </c:numRef>
          </c:val>
          <c:extLst>
            <c:ext xmlns:c16="http://schemas.microsoft.com/office/drawing/2014/chart" uri="{C3380CC4-5D6E-409C-BE32-E72D297353CC}">
              <c16:uniqueId val="{0000001C-5079-4C04-ADA8-D9E1053DE71E}"/>
            </c:ext>
          </c:extLst>
        </c:ser>
        <c:ser>
          <c:idx val="23"/>
          <c:order val="23"/>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forma'!$F$28:$P$28</c:f>
            </c:numRef>
          </c:val>
          <c:extLst>
            <c:ext xmlns:c16="http://schemas.microsoft.com/office/drawing/2014/chart" uri="{C3380CC4-5D6E-409C-BE32-E72D297353CC}">
              <c16:uniqueId val="{0000001D-5079-4C04-ADA8-D9E1053DE71E}"/>
            </c:ext>
          </c:extLst>
        </c:ser>
        <c:ser>
          <c:idx val="24"/>
          <c:order val="24"/>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forma'!$F$29:$P$29</c:f>
            </c:numRef>
          </c:val>
          <c:extLst>
            <c:ext xmlns:c16="http://schemas.microsoft.com/office/drawing/2014/chart" uri="{C3380CC4-5D6E-409C-BE32-E72D297353CC}">
              <c16:uniqueId val="{0000001E-5079-4C04-ADA8-D9E1053DE71E}"/>
            </c:ext>
          </c:extLst>
        </c:ser>
        <c:ser>
          <c:idx val="25"/>
          <c:order val="25"/>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forma'!$F$30:$P$30</c:f>
            </c:numRef>
          </c:val>
          <c:extLst>
            <c:ext xmlns:c16="http://schemas.microsoft.com/office/drawing/2014/chart" uri="{C3380CC4-5D6E-409C-BE32-E72D297353CC}">
              <c16:uniqueId val="{0000001F-5079-4C04-ADA8-D9E1053DE71E}"/>
            </c:ext>
          </c:extLst>
        </c:ser>
        <c:ser>
          <c:idx val="26"/>
          <c:order val="26"/>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forma'!$F$31:$P$31</c:f>
            </c:numRef>
          </c:val>
          <c:extLst>
            <c:ext xmlns:c16="http://schemas.microsoft.com/office/drawing/2014/chart" uri="{C3380CC4-5D6E-409C-BE32-E72D297353CC}">
              <c16:uniqueId val="{00000020-5079-4C04-ADA8-D9E1053DE71E}"/>
            </c:ext>
          </c:extLst>
        </c:ser>
        <c:ser>
          <c:idx val="27"/>
          <c:order val="27"/>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forma'!$F$32:$P$32</c:f>
            </c:numRef>
          </c:val>
          <c:extLst>
            <c:ext xmlns:c16="http://schemas.microsoft.com/office/drawing/2014/chart" uri="{C3380CC4-5D6E-409C-BE32-E72D297353CC}">
              <c16:uniqueId val="{00000021-5079-4C04-ADA8-D9E1053DE71E}"/>
            </c:ext>
          </c:extLst>
        </c:ser>
        <c:ser>
          <c:idx val="28"/>
          <c:order val="28"/>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forma'!$F$33:$P$33</c:f>
            </c:numRef>
          </c:val>
          <c:extLst>
            <c:ext xmlns:c16="http://schemas.microsoft.com/office/drawing/2014/chart" uri="{C3380CC4-5D6E-409C-BE32-E72D297353CC}">
              <c16:uniqueId val="{00000022-5079-4C04-ADA8-D9E1053DE71E}"/>
            </c:ext>
          </c:extLst>
        </c:ser>
        <c:ser>
          <c:idx val="29"/>
          <c:order val="29"/>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forma'!$F$34:$P$34</c:f>
            </c:numRef>
          </c:val>
          <c:extLst>
            <c:ext xmlns:c16="http://schemas.microsoft.com/office/drawing/2014/chart" uri="{C3380CC4-5D6E-409C-BE32-E72D297353CC}">
              <c16:uniqueId val="{00000023-5079-4C04-ADA8-D9E1053DE71E}"/>
            </c:ext>
          </c:extLst>
        </c:ser>
        <c:ser>
          <c:idx val="30"/>
          <c:order val="30"/>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forma'!$F$35:$P$35</c:f>
            </c:numRef>
          </c:val>
          <c:extLst>
            <c:ext xmlns:c16="http://schemas.microsoft.com/office/drawing/2014/chart" uri="{C3380CC4-5D6E-409C-BE32-E72D297353CC}">
              <c16:uniqueId val="{00000024-5079-4C04-ADA8-D9E1053DE71E}"/>
            </c:ext>
          </c:extLst>
        </c:ser>
        <c:ser>
          <c:idx val="31"/>
          <c:order val="31"/>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forma'!$F$36:$P$36</c:f>
            </c:numRef>
          </c:val>
          <c:extLst>
            <c:ext xmlns:c16="http://schemas.microsoft.com/office/drawing/2014/chart" uri="{C3380CC4-5D6E-409C-BE32-E72D297353CC}">
              <c16:uniqueId val="{00000025-5079-4C04-ADA8-D9E1053DE71E}"/>
            </c:ext>
          </c:extLst>
        </c:ser>
        <c:ser>
          <c:idx val="32"/>
          <c:order val="32"/>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forma'!$F$37:$P$37</c:f>
            </c:numRef>
          </c:val>
          <c:extLst>
            <c:ext xmlns:c16="http://schemas.microsoft.com/office/drawing/2014/chart" uri="{C3380CC4-5D6E-409C-BE32-E72D297353CC}">
              <c16:uniqueId val="{00000026-5079-4C04-ADA8-D9E1053DE71E}"/>
            </c:ext>
          </c:extLst>
        </c:ser>
        <c:ser>
          <c:idx val="33"/>
          <c:order val="33"/>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forma'!$F$38:$P$38</c:f>
            </c:numRef>
          </c:val>
          <c:extLst>
            <c:ext xmlns:c16="http://schemas.microsoft.com/office/drawing/2014/chart" uri="{C3380CC4-5D6E-409C-BE32-E72D297353CC}">
              <c16:uniqueId val="{00000027-5079-4C04-ADA8-D9E1053DE71E}"/>
            </c:ext>
          </c:extLst>
        </c:ser>
        <c:ser>
          <c:idx val="34"/>
          <c:order val="34"/>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forma'!$F$39:$P$39</c:f>
            </c:numRef>
          </c:val>
          <c:extLst>
            <c:ext xmlns:c16="http://schemas.microsoft.com/office/drawing/2014/chart" uri="{C3380CC4-5D6E-409C-BE32-E72D297353CC}">
              <c16:uniqueId val="{00000028-5079-4C04-ADA8-D9E1053DE71E}"/>
            </c:ext>
          </c:extLst>
        </c:ser>
        <c:ser>
          <c:idx val="35"/>
          <c:order val="35"/>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forma'!$F$40:$P$40</c:f>
            </c:numRef>
          </c:val>
          <c:extLst>
            <c:ext xmlns:c16="http://schemas.microsoft.com/office/drawing/2014/chart" uri="{C3380CC4-5D6E-409C-BE32-E72D297353CC}">
              <c16:uniqueId val="{00000029-5079-4C04-ADA8-D9E1053DE71E}"/>
            </c:ext>
          </c:extLst>
        </c:ser>
        <c:ser>
          <c:idx val="36"/>
          <c:order val="36"/>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forma'!$F$41:$P$41</c:f>
            </c:numRef>
          </c:val>
          <c:extLst>
            <c:ext xmlns:c16="http://schemas.microsoft.com/office/drawing/2014/chart" uri="{C3380CC4-5D6E-409C-BE32-E72D297353CC}">
              <c16:uniqueId val="{0000002A-5079-4C04-ADA8-D9E1053DE71E}"/>
            </c:ext>
          </c:extLst>
        </c:ser>
        <c:ser>
          <c:idx val="37"/>
          <c:order val="37"/>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forma'!$F$42:$P$42</c:f>
            </c:numRef>
          </c:val>
          <c:extLst>
            <c:ext xmlns:c16="http://schemas.microsoft.com/office/drawing/2014/chart" uri="{C3380CC4-5D6E-409C-BE32-E72D297353CC}">
              <c16:uniqueId val="{0000002B-5079-4C04-ADA8-D9E1053DE71E}"/>
            </c:ext>
          </c:extLst>
        </c:ser>
        <c:ser>
          <c:idx val="38"/>
          <c:order val="38"/>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forma'!$F$43:$P$43</c:f>
            </c:numRef>
          </c:val>
          <c:extLst>
            <c:ext xmlns:c16="http://schemas.microsoft.com/office/drawing/2014/chart" uri="{C3380CC4-5D6E-409C-BE32-E72D297353CC}">
              <c16:uniqueId val="{0000002C-5079-4C04-ADA8-D9E1053DE71E}"/>
            </c:ext>
          </c:extLst>
        </c:ser>
        <c:ser>
          <c:idx val="39"/>
          <c:order val="39"/>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forma'!$F$44:$P$44</c:f>
            </c:numRef>
          </c:val>
          <c:extLst>
            <c:ext xmlns:c16="http://schemas.microsoft.com/office/drawing/2014/chart" uri="{C3380CC4-5D6E-409C-BE32-E72D297353CC}">
              <c16:uniqueId val="{0000002D-5079-4C04-ADA8-D9E1053DE71E}"/>
            </c:ext>
          </c:extLst>
        </c:ser>
        <c:ser>
          <c:idx val="40"/>
          <c:order val="40"/>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forma'!$F$45:$P$45</c:f>
            </c:numRef>
          </c:val>
          <c:extLst>
            <c:ext xmlns:c16="http://schemas.microsoft.com/office/drawing/2014/chart" uri="{C3380CC4-5D6E-409C-BE32-E72D297353CC}">
              <c16:uniqueId val="{0000002E-5079-4C04-ADA8-D9E1053DE71E}"/>
            </c:ext>
          </c:extLst>
        </c:ser>
        <c:ser>
          <c:idx val="41"/>
          <c:order val="41"/>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forma'!$F$46:$P$46</c:f>
            </c:numRef>
          </c:val>
          <c:extLst>
            <c:ext xmlns:c16="http://schemas.microsoft.com/office/drawing/2014/chart" uri="{C3380CC4-5D6E-409C-BE32-E72D297353CC}">
              <c16:uniqueId val="{0000002F-5079-4C04-ADA8-D9E1053DE71E}"/>
            </c:ext>
          </c:extLst>
        </c:ser>
        <c:ser>
          <c:idx val="42"/>
          <c:order val="42"/>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forma'!$F$47:$P$47</c:f>
            </c:numRef>
          </c:val>
          <c:extLst>
            <c:ext xmlns:c16="http://schemas.microsoft.com/office/drawing/2014/chart" uri="{C3380CC4-5D6E-409C-BE32-E72D297353CC}">
              <c16:uniqueId val="{00000030-5079-4C04-ADA8-D9E1053DE71E}"/>
            </c:ext>
          </c:extLst>
        </c:ser>
        <c:ser>
          <c:idx val="43"/>
          <c:order val="43"/>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forma'!$F$48:$P$48</c:f>
            </c:numRef>
          </c:val>
          <c:extLst>
            <c:ext xmlns:c16="http://schemas.microsoft.com/office/drawing/2014/chart" uri="{C3380CC4-5D6E-409C-BE32-E72D297353CC}">
              <c16:uniqueId val="{00000031-5079-4C04-ADA8-D9E1053DE71E}"/>
            </c:ext>
          </c:extLst>
        </c:ser>
        <c:ser>
          <c:idx val="44"/>
          <c:order val="44"/>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forma'!$F$49:$P$49</c:f>
            </c:numRef>
          </c:val>
          <c:extLst>
            <c:ext xmlns:c16="http://schemas.microsoft.com/office/drawing/2014/chart" uri="{C3380CC4-5D6E-409C-BE32-E72D297353CC}">
              <c16:uniqueId val="{00000032-5079-4C04-ADA8-D9E1053DE71E}"/>
            </c:ext>
          </c:extLst>
        </c:ser>
        <c:ser>
          <c:idx val="45"/>
          <c:order val="45"/>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forma'!$F$50:$P$50</c:f>
            </c:numRef>
          </c:val>
          <c:extLst>
            <c:ext xmlns:c16="http://schemas.microsoft.com/office/drawing/2014/chart" uri="{C3380CC4-5D6E-409C-BE32-E72D297353CC}">
              <c16:uniqueId val="{00000033-5079-4C04-ADA8-D9E1053DE71E}"/>
            </c:ext>
          </c:extLst>
        </c:ser>
        <c:ser>
          <c:idx val="46"/>
          <c:order val="46"/>
          <c:explosion val="6"/>
          <c:dLbls>
            <c:dLbl>
              <c:idx val="1"/>
              <c:layout>
                <c:manualLayout>
                  <c:x val="8.043648060380558E-2"/>
                  <c:y val="-0.166875142275117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4-5079-4C04-ADA8-D9E1053DE71E}"/>
                </c:ext>
              </c:extLst>
            </c:dLbl>
            <c:dLbl>
              <c:idx val="2"/>
              <c:layout>
                <c:manualLayout>
                  <c:x val="-5.9581106464144773E-2"/>
                  <c:y val="9.04969874717077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5-5079-4C04-ADA8-D9E1053DE71E}"/>
                </c:ext>
              </c:extLst>
            </c:dLbl>
            <c:dLbl>
              <c:idx val="3"/>
              <c:layout>
                <c:manualLayout>
                  <c:x val="-4.5794571424176506E-2"/>
                  <c:y val="-1.14528087568853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6-5079-4C04-ADA8-D9E1053DE71E}"/>
                </c:ext>
              </c:extLst>
            </c:dLbl>
            <c:dLbl>
              <c:idx val="8"/>
              <c:layout>
                <c:manualLayout>
                  <c:x val="8.778297588605001E-2"/>
                  <c:y val="-0.174824903643801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7-5079-4C04-ADA8-D9E1053DE71E}"/>
                </c:ext>
              </c:extLst>
            </c:dLbl>
            <c:dLbl>
              <c:idx val="9"/>
              <c:layout>
                <c:manualLayout>
                  <c:x val="6.8734927506755389E-2"/>
                  <c:y val="-4.61347189900857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8-5079-4C04-ADA8-D9E1053DE71E}"/>
                </c:ext>
              </c:extLst>
            </c:dLbl>
            <c:dLbl>
              <c:idx val="10"/>
              <c:layout>
                <c:manualLayout>
                  <c:x val="9.1094175416047821E-2"/>
                  <c:y val="-6.0330765707344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9-5079-4C04-ADA8-D9E1053DE71E}"/>
                </c:ext>
              </c:extLst>
            </c:dLbl>
            <c:numFmt formatCode="0.00%" sourceLinked="0"/>
            <c:spPr>
              <a:noFill/>
              <a:ln>
                <a:noFill/>
              </a:ln>
              <a:effectLst/>
            </c:spPr>
            <c:txPr>
              <a:bodyPr wrap="square" lIns="38100" tIns="19050" rIns="38100" bIns="19050" anchor="ctr">
                <a:spAutoFit/>
              </a:bodyPr>
              <a:lstStyle/>
              <a:p>
                <a:pPr>
                  <a:defRPr sz="9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forma'!$F$51:$P$51</c:f>
              <c:numCache>
                <c:formatCode>#,##0</c:formatCode>
                <c:ptCount val="11"/>
                <c:pt idx="0">
                  <c:v>118</c:v>
                </c:pt>
                <c:pt idx="1">
                  <c:v>359</c:v>
                </c:pt>
                <c:pt idx="2">
                  <c:v>4</c:v>
                </c:pt>
                <c:pt idx="3">
                  <c:v>5</c:v>
                </c:pt>
                <c:pt idx="4">
                  <c:v>3</c:v>
                </c:pt>
                <c:pt idx="5">
                  <c:v>5</c:v>
                </c:pt>
                <c:pt idx="6">
                  <c:v>9</c:v>
                </c:pt>
                <c:pt idx="7">
                  <c:v>1</c:v>
                </c:pt>
                <c:pt idx="8">
                  <c:v>1</c:v>
                </c:pt>
                <c:pt idx="9">
                  <c:v>35</c:v>
                </c:pt>
                <c:pt idx="10">
                  <c:v>23</c:v>
                </c:pt>
              </c:numCache>
            </c:numRef>
          </c:val>
          <c:extLst>
            <c:ext xmlns:c16="http://schemas.microsoft.com/office/drawing/2014/chart" uri="{C3380CC4-5D6E-409C-BE32-E72D297353CC}">
              <c16:uniqueId val="{0000003A-5079-4C04-ADA8-D9E1053DE71E}"/>
            </c:ext>
          </c:extLst>
        </c:ser>
        <c:ser>
          <c:idx val="47"/>
          <c:order val="47"/>
          <c:cat>
            <c:strRef>
              <c:f>'CHSŠ právna forma'!$F$4:$P$4</c:f>
              <c:strCache>
                <c:ptCount val="11"/>
                <c:pt idx="0">
                  <c:v>živnostník</c:v>
                </c:pt>
                <c:pt idx="1">
                  <c:v>spol. s r.o.</c:v>
                </c:pt>
                <c:pt idx="2">
                  <c:v>mimovládne org.</c:v>
                </c:pt>
                <c:pt idx="3">
                  <c:v>a.s.</c:v>
                </c:pt>
                <c:pt idx="4">
                  <c:v>prísp. org.</c:v>
                </c:pt>
                <c:pt idx="5">
                  <c:v>rozp. org.</c:v>
                </c:pt>
                <c:pt idx="6">
                  <c:v>združenie</c:v>
                </c:pt>
                <c:pt idx="7">
                  <c:v>cirk. org.</c:v>
                </c:pt>
                <c:pt idx="8">
                  <c:v>záujmové zdr.</c:v>
                </c:pt>
                <c:pt idx="9">
                  <c:v>obec, mesto</c:v>
                </c:pt>
                <c:pt idx="10">
                  <c:v>iné</c:v>
                </c:pt>
              </c:strCache>
            </c:strRef>
          </c:cat>
          <c:val>
            <c:numRef>
              <c:f>'CHSŠ právna forma'!$F$52:$P$52</c:f>
              <c:numCache>
                <c:formatCode>0.00%</c:formatCode>
                <c:ptCount val="11"/>
                <c:pt idx="0">
                  <c:v>0.20959147424511546</c:v>
                </c:pt>
                <c:pt idx="1">
                  <c:v>0.63765541740674958</c:v>
                </c:pt>
                <c:pt idx="2">
                  <c:v>7.104795737122558E-3</c:v>
                </c:pt>
                <c:pt idx="3">
                  <c:v>8.8809946714031966E-3</c:v>
                </c:pt>
                <c:pt idx="4">
                  <c:v>5.3285968028419185E-3</c:v>
                </c:pt>
                <c:pt idx="5">
                  <c:v>8.8809946714031966E-3</c:v>
                </c:pt>
                <c:pt idx="6">
                  <c:v>1.5985790408525755E-2</c:v>
                </c:pt>
                <c:pt idx="7">
                  <c:v>1.7761989342806395E-3</c:v>
                </c:pt>
                <c:pt idx="8">
                  <c:v>1.7761989342806395E-3</c:v>
                </c:pt>
                <c:pt idx="9">
                  <c:v>6.216696269982238E-2</c:v>
                </c:pt>
                <c:pt idx="10">
                  <c:v>4.0852575488454709E-2</c:v>
                </c:pt>
              </c:numCache>
            </c:numRef>
          </c:val>
          <c:extLst>
            <c:ext xmlns:c16="http://schemas.microsoft.com/office/drawing/2014/chart" uri="{C3380CC4-5D6E-409C-BE32-E72D297353CC}">
              <c16:uniqueId val="{0000003B-5079-4C04-ADA8-D9E1053DE71E}"/>
            </c:ext>
          </c:extLst>
        </c:ser>
        <c:dLbls>
          <c:showLegendKey val="0"/>
          <c:showVal val="0"/>
          <c:showCatName val="0"/>
          <c:showSerName val="0"/>
          <c:showPercent val="0"/>
          <c:showBubbleSize val="0"/>
          <c:showLeaderLines val="1"/>
        </c:dLbls>
      </c:pie3DChart>
    </c:plotArea>
    <c:legend>
      <c:legendPos val="r"/>
      <c:layout>
        <c:manualLayout>
          <c:xMode val="edge"/>
          <c:yMode val="edge"/>
          <c:x val="0.76518239105503605"/>
          <c:y val="8.0272934748982921E-2"/>
          <c:w val="0.16905103326160636"/>
          <c:h val="0.90597730602429327"/>
        </c:manualLayout>
      </c:layout>
      <c:overlay val="0"/>
      <c:txPr>
        <a:bodyPr/>
        <a:lstStyle/>
        <a:p>
          <a:pPr rtl="0">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pracovných miest podľa SK ISCO</a:t>
            </a:r>
            <a:endParaRPr lang="sk-SK" sz="1200">
              <a:effectLst/>
            </a:endParaRPr>
          </a:p>
        </c:rich>
      </c:tx>
      <c:layout>
        <c:manualLayout>
          <c:xMode val="edge"/>
          <c:yMode val="edge"/>
          <c:x val="0.20610886489833199"/>
          <c:y val="8.425290166531980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07937635543854"/>
          <c:y val="0.29157523240384237"/>
          <c:w val="0.43407564956579064"/>
          <c:h val="0.55783081037600801"/>
        </c:manualLayout>
      </c:layout>
      <c:pie3DChart>
        <c:varyColors val="1"/>
        <c:ser>
          <c:idx val="0"/>
          <c:order val="0"/>
          <c:explosion val="25"/>
          <c:dPt>
            <c:idx val="0"/>
            <c:bubble3D val="0"/>
            <c:explosion val="7"/>
            <c:extLst>
              <c:ext xmlns:c16="http://schemas.microsoft.com/office/drawing/2014/chart" uri="{C3380CC4-5D6E-409C-BE32-E72D297353CC}">
                <c16:uniqueId val="{00000001-4299-4BB3-A7C5-673F87BBFBE5}"/>
              </c:ext>
            </c:extLst>
          </c:dPt>
          <c:dPt>
            <c:idx val="1"/>
            <c:bubble3D val="0"/>
            <c:explosion val="12"/>
            <c:extLst>
              <c:ext xmlns:c16="http://schemas.microsoft.com/office/drawing/2014/chart" uri="{C3380CC4-5D6E-409C-BE32-E72D297353CC}">
                <c16:uniqueId val="{00000003-4299-4BB3-A7C5-673F87BBFBE5}"/>
              </c:ext>
            </c:extLst>
          </c:dPt>
          <c:dPt>
            <c:idx val="2"/>
            <c:bubble3D val="0"/>
            <c:explosion val="16"/>
            <c:extLst>
              <c:ext xmlns:c16="http://schemas.microsoft.com/office/drawing/2014/chart" uri="{C3380CC4-5D6E-409C-BE32-E72D297353CC}">
                <c16:uniqueId val="{00000005-4299-4BB3-A7C5-673F87BBFBE5}"/>
              </c:ext>
            </c:extLst>
          </c:dPt>
          <c:dLbls>
            <c:dLbl>
              <c:idx val="0"/>
              <c:layout>
                <c:manualLayout>
                  <c:x val="-8.7140443684114915E-2"/>
                  <c:y val="-6.163978321945480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99-4BB3-A7C5-673F87BBFBE5}"/>
                </c:ext>
              </c:extLst>
            </c:dLbl>
            <c:dLbl>
              <c:idx val="2"/>
              <c:layout>
                <c:manualLayout>
                  <c:x val="2.41501086056434E-2"/>
                  <c:y val="4.7031333692907175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99-4BB3-A7C5-673F87BBFBE5}"/>
                </c:ext>
              </c:extLst>
            </c:dLbl>
            <c:dLbl>
              <c:idx val="3"/>
              <c:layout>
                <c:manualLayout>
                  <c:x val="0.12536886262985134"/>
                  <c:y val="-0.200288906764113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8C1-4CE7-9E3A-03A1CD586FD0}"/>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Hárok1!$A$1:$A$4</c:f>
              <c:strCache>
                <c:ptCount val="4"/>
                <c:pt idx="0">
                  <c:v>Technici a odborní pracovníci</c:v>
                </c:pt>
                <c:pt idx="1">
                  <c:v>Administratívny pracovníci</c:v>
                </c:pt>
                <c:pt idx="2">
                  <c:v>Pracovníci v službách a obchode</c:v>
                </c:pt>
                <c:pt idx="3">
                  <c:v>Pomocní a nekvalifikovaní pracovníci</c:v>
                </c:pt>
              </c:strCache>
            </c:strRef>
          </c:cat>
          <c:val>
            <c:numRef>
              <c:f>Hárok1!$B$1:$B$4</c:f>
              <c:numCache>
                <c:formatCode>General</c:formatCode>
                <c:ptCount val="4"/>
                <c:pt idx="0">
                  <c:v>1</c:v>
                </c:pt>
                <c:pt idx="1">
                  <c:v>9</c:v>
                </c:pt>
                <c:pt idx="2">
                  <c:v>1</c:v>
                </c:pt>
                <c:pt idx="3">
                  <c:v>45</c:v>
                </c:pt>
              </c:numCache>
            </c:numRef>
          </c:val>
          <c:extLst>
            <c:ext xmlns:c16="http://schemas.microsoft.com/office/drawing/2014/chart" uri="{C3380CC4-5D6E-409C-BE32-E72D297353CC}">
              <c16:uniqueId val="{00000006-4299-4BB3-A7C5-673F87BBFBE5}"/>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20476302666891052"/>
          <c:w val="0.27649448655111553"/>
          <c:h val="0.6343231592916303"/>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0" b="1" i="0" u="none" strike="noStrike" kern="1200" baseline="0">
                <a:solidFill>
                  <a:sysClr val="windowText" lastClr="000000"/>
                </a:solidFill>
                <a:latin typeface="+mn-lt"/>
                <a:ea typeface="+mn-ea"/>
                <a:cs typeface="+mn-cs"/>
              </a:defRPr>
            </a:pPr>
            <a:r>
              <a:rPr lang="sk-SK" sz="1200" b="1" i="0" u="none" strike="noStrike" kern="1200" baseline="0">
                <a:solidFill>
                  <a:sysClr val="windowText" lastClr="000000"/>
                </a:solidFill>
                <a:effectLst/>
                <a:latin typeface="+mn-lt"/>
                <a:ea typeface="+mn-ea"/>
                <a:cs typeface="+mn-cs"/>
              </a:rPr>
              <a:t>Štruktúra</a:t>
            </a:r>
            <a:r>
              <a:rPr lang="sk-SK" sz="1200" b="1" i="0" baseline="0">
                <a:effectLst/>
              </a:rPr>
              <a:t> </a:t>
            </a:r>
            <a:r>
              <a:rPr lang="sk-SK" sz="1200" b="1" i="0" u="none" strike="noStrike" kern="1200" baseline="0">
                <a:solidFill>
                  <a:sysClr val="windowText" lastClr="000000"/>
                </a:solidFill>
                <a:effectLst/>
                <a:latin typeface="+mn-lt"/>
                <a:ea typeface="+mn-ea"/>
                <a:cs typeface="+mn-cs"/>
              </a:rPr>
              <a:t>zaradených ZUoZ podľa veku  </a:t>
            </a:r>
          </a:p>
        </c:rich>
      </c:tx>
      <c:layout>
        <c:manualLayout>
          <c:xMode val="edge"/>
          <c:yMode val="edge"/>
          <c:x val="0.23720129171151777"/>
          <c:y val="2.827521206409048E-2"/>
        </c:manualLayout>
      </c:layout>
      <c:overlay val="0"/>
    </c:title>
    <c:autoTitleDeleted val="0"/>
    <c:view3D>
      <c:rotX val="50"/>
      <c:rotY val="0"/>
      <c:rAngAx val="0"/>
      <c:perspective val="10"/>
    </c:view3D>
    <c:floor>
      <c:thickness val="0"/>
    </c:floor>
    <c:sideWall>
      <c:thickness val="0"/>
    </c:sideWall>
    <c:backWall>
      <c:thickness val="0"/>
    </c:backWall>
    <c:plotArea>
      <c:layout>
        <c:manualLayout>
          <c:layoutTarget val="inner"/>
          <c:xMode val="edge"/>
          <c:yMode val="edge"/>
          <c:x val="0.24482476288956884"/>
          <c:y val="0.17621839447260421"/>
          <c:w val="0.43603502199469413"/>
          <c:h val="0.71708423935226751"/>
        </c:manualLayout>
      </c:layout>
      <c:pie3DChart>
        <c:varyColors val="1"/>
        <c:ser>
          <c:idx val="0"/>
          <c:order val="0"/>
          <c:explosion val="5"/>
          <c:dPt>
            <c:idx val="2"/>
            <c:bubble3D val="0"/>
            <c:extLst>
              <c:ext xmlns:c16="http://schemas.microsoft.com/office/drawing/2014/chart" uri="{C3380CC4-5D6E-409C-BE32-E72D297353CC}">
                <c16:uniqueId val="{00000000-856F-45E6-90B2-FBF882B3BC35}"/>
              </c:ext>
            </c:extLst>
          </c:dPt>
          <c:dLbls>
            <c:dLbl>
              <c:idx val="0"/>
              <c:layout>
                <c:manualLayout>
                  <c:x val="-6.8574472380805093E-2"/>
                  <c:y val="0.1810696689229635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6F-45E6-90B2-FBF882B3BC35}"/>
                </c:ext>
              </c:extLst>
            </c:dLbl>
            <c:dLbl>
              <c:idx val="2"/>
              <c:layout>
                <c:manualLayout>
                  <c:x val="-7.2542323371608083E-2"/>
                  <c:y val="-0.2689653267025832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56F-45E6-90B2-FBF882B3BC35}"/>
                </c:ext>
              </c:extLst>
            </c:dLbl>
            <c:dLbl>
              <c:idx val="3"/>
              <c:layout>
                <c:manualLayout>
                  <c:x val="0.10865265409745221"/>
                  <c:y val="9.07427361053552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56F-45E6-90B2-FBF882B3BC35}"/>
                </c:ext>
              </c:extLst>
            </c:dLbl>
            <c:numFmt formatCode="0.00%" sourceLinked="0"/>
            <c:spPr>
              <a:noFill/>
              <a:ln>
                <a:noFill/>
              </a:ln>
              <a:effectLst/>
            </c:spPr>
            <c:txPr>
              <a:bodyPr wrap="square" lIns="38100" tIns="19050" rIns="38100" bIns="19050" anchor="ctr">
                <a:spAutoFit/>
              </a:bodyPr>
              <a:lstStyle/>
              <a:p>
                <a:pPr>
                  <a:defRPr sz="9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'CHSŠ vek pohl znevýhod'!$C$109:$F$109</c:f>
              <c:strCache>
                <c:ptCount val="4"/>
                <c:pt idx="0">
                  <c:v>do 24 r. </c:v>
                </c:pt>
                <c:pt idx="1">
                  <c:v> 25-29 r.</c:v>
                </c:pt>
                <c:pt idx="2">
                  <c:v>30-49 r.</c:v>
                </c:pt>
                <c:pt idx="3">
                  <c:v>50 rokov a viac</c:v>
                </c:pt>
              </c:strCache>
            </c:strRef>
          </c:cat>
          <c:val>
            <c:numRef>
              <c:f>'CHSŠ vek pohl znevýhod'!$C$110:$F$110</c:f>
            </c:numRef>
          </c:val>
          <c:extLst>
            <c:ext xmlns:c16="http://schemas.microsoft.com/office/drawing/2014/chart" uri="{C3380CC4-5D6E-409C-BE32-E72D297353CC}">
              <c16:uniqueId val="{00000003-856F-45E6-90B2-FBF882B3BC35}"/>
            </c:ext>
          </c:extLst>
        </c:ser>
        <c:ser>
          <c:idx val="1"/>
          <c:order val="1"/>
          <c:cat>
            <c:strRef>
              <c:f>'CHSŠ vek pohl znevýhod'!$C$109:$F$109</c:f>
              <c:strCache>
                <c:ptCount val="4"/>
                <c:pt idx="0">
                  <c:v>do 24 r. </c:v>
                </c:pt>
                <c:pt idx="1">
                  <c:v> 25-29 r.</c:v>
                </c:pt>
                <c:pt idx="2">
                  <c:v>30-49 r.</c:v>
                </c:pt>
                <c:pt idx="3">
                  <c:v>50 rokov a viac</c:v>
                </c:pt>
              </c:strCache>
            </c:strRef>
          </c:cat>
          <c:val>
            <c:numRef>
              <c:f>'CHSŠ vek pohl znevýhod'!$C$111:$F$111</c:f>
            </c:numRef>
          </c:val>
          <c:extLst>
            <c:ext xmlns:c16="http://schemas.microsoft.com/office/drawing/2014/chart" uri="{C3380CC4-5D6E-409C-BE32-E72D297353CC}">
              <c16:uniqueId val="{00000004-856F-45E6-90B2-FBF882B3BC35}"/>
            </c:ext>
          </c:extLst>
        </c:ser>
        <c:ser>
          <c:idx val="2"/>
          <c:order val="2"/>
          <c:cat>
            <c:strRef>
              <c:f>'CHSŠ vek pohl znevýhod'!$C$109:$F$109</c:f>
              <c:strCache>
                <c:ptCount val="4"/>
                <c:pt idx="0">
                  <c:v>do 24 r. </c:v>
                </c:pt>
                <c:pt idx="1">
                  <c:v> 25-29 r.</c:v>
                </c:pt>
                <c:pt idx="2">
                  <c:v>30-49 r.</c:v>
                </c:pt>
                <c:pt idx="3">
                  <c:v>50 rokov a viac</c:v>
                </c:pt>
              </c:strCache>
            </c:strRef>
          </c:cat>
          <c:val>
            <c:numRef>
              <c:f>'CHSŠ vek pohl znevýhod'!$C$112:$F$112</c:f>
            </c:numRef>
          </c:val>
          <c:extLst>
            <c:ext xmlns:c16="http://schemas.microsoft.com/office/drawing/2014/chart" uri="{C3380CC4-5D6E-409C-BE32-E72D297353CC}">
              <c16:uniqueId val="{00000005-856F-45E6-90B2-FBF882B3BC35}"/>
            </c:ext>
          </c:extLst>
        </c:ser>
        <c:ser>
          <c:idx val="3"/>
          <c:order val="3"/>
          <c:cat>
            <c:strRef>
              <c:f>'CHSŠ vek pohl znevýhod'!$C$109:$F$109</c:f>
              <c:strCache>
                <c:ptCount val="4"/>
                <c:pt idx="0">
                  <c:v>do 24 r. </c:v>
                </c:pt>
                <c:pt idx="1">
                  <c:v> 25-29 r.</c:v>
                </c:pt>
                <c:pt idx="2">
                  <c:v>30-49 r.</c:v>
                </c:pt>
                <c:pt idx="3">
                  <c:v>50 rokov a viac</c:v>
                </c:pt>
              </c:strCache>
            </c:strRef>
          </c:cat>
          <c:val>
            <c:numRef>
              <c:f>'CHSŠ vek pohl znevýhod'!$C$113:$F$113</c:f>
            </c:numRef>
          </c:val>
          <c:extLst>
            <c:ext xmlns:c16="http://schemas.microsoft.com/office/drawing/2014/chart" uri="{C3380CC4-5D6E-409C-BE32-E72D297353CC}">
              <c16:uniqueId val="{00000006-856F-45E6-90B2-FBF882B3BC35}"/>
            </c:ext>
          </c:extLst>
        </c:ser>
        <c:ser>
          <c:idx val="4"/>
          <c:order val="4"/>
          <c:cat>
            <c:strRef>
              <c:f>'CHSŠ vek pohl znevýhod'!$C$109:$F$109</c:f>
              <c:strCache>
                <c:ptCount val="4"/>
                <c:pt idx="0">
                  <c:v>do 24 r. </c:v>
                </c:pt>
                <c:pt idx="1">
                  <c:v> 25-29 r.</c:v>
                </c:pt>
                <c:pt idx="2">
                  <c:v>30-49 r.</c:v>
                </c:pt>
                <c:pt idx="3">
                  <c:v>50 rokov a viac</c:v>
                </c:pt>
              </c:strCache>
            </c:strRef>
          </c:cat>
          <c:val>
            <c:numRef>
              <c:f>'CHSŠ vek pohl znevýhod'!$C$114:$F$114</c:f>
            </c:numRef>
          </c:val>
          <c:extLst>
            <c:ext xmlns:c16="http://schemas.microsoft.com/office/drawing/2014/chart" uri="{C3380CC4-5D6E-409C-BE32-E72D297353CC}">
              <c16:uniqueId val="{00000007-856F-45E6-90B2-FBF882B3BC35}"/>
            </c:ext>
          </c:extLst>
        </c:ser>
        <c:ser>
          <c:idx val="5"/>
          <c:order val="5"/>
          <c:cat>
            <c:strRef>
              <c:f>'CHSŠ vek pohl znevýhod'!$C$109:$F$109</c:f>
              <c:strCache>
                <c:ptCount val="4"/>
                <c:pt idx="0">
                  <c:v>do 24 r. </c:v>
                </c:pt>
                <c:pt idx="1">
                  <c:v> 25-29 r.</c:v>
                </c:pt>
                <c:pt idx="2">
                  <c:v>30-49 r.</c:v>
                </c:pt>
                <c:pt idx="3">
                  <c:v>50 rokov a viac</c:v>
                </c:pt>
              </c:strCache>
            </c:strRef>
          </c:cat>
          <c:val>
            <c:numRef>
              <c:f>'CHSŠ vek pohl znevýhod'!$C$115:$F$115</c:f>
            </c:numRef>
          </c:val>
          <c:extLst>
            <c:ext xmlns:c16="http://schemas.microsoft.com/office/drawing/2014/chart" uri="{C3380CC4-5D6E-409C-BE32-E72D297353CC}">
              <c16:uniqueId val="{00000008-856F-45E6-90B2-FBF882B3BC35}"/>
            </c:ext>
          </c:extLst>
        </c:ser>
        <c:ser>
          <c:idx val="6"/>
          <c:order val="6"/>
          <c:cat>
            <c:strRef>
              <c:f>'CHSŠ vek pohl znevýhod'!$C$109:$F$109</c:f>
              <c:strCache>
                <c:ptCount val="4"/>
                <c:pt idx="0">
                  <c:v>do 24 r. </c:v>
                </c:pt>
                <c:pt idx="1">
                  <c:v> 25-29 r.</c:v>
                </c:pt>
                <c:pt idx="2">
                  <c:v>30-49 r.</c:v>
                </c:pt>
                <c:pt idx="3">
                  <c:v>50 rokov a viac</c:v>
                </c:pt>
              </c:strCache>
            </c:strRef>
          </c:cat>
          <c:val>
            <c:numRef>
              <c:f>'CHSŠ vek pohl znevýhod'!$C$116:$F$116</c:f>
            </c:numRef>
          </c:val>
          <c:extLst>
            <c:ext xmlns:c16="http://schemas.microsoft.com/office/drawing/2014/chart" uri="{C3380CC4-5D6E-409C-BE32-E72D297353CC}">
              <c16:uniqueId val="{00000009-856F-45E6-90B2-FBF882B3BC35}"/>
            </c:ext>
          </c:extLst>
        </c:ser>
        <c:ser>
          <c:idx val="7"/>
          <c:order val="7"/>
          <c:cat>
            <c:strRef>
              <c:f>'CHSŠ vek pohl znevýhod'!$C$109:$F$109</c:f>
              <c:strCache>
                <c:ptCount val="4"/>
                <c:pt idx="0">
                  <c:v>do 24 r. </c:v>
                </c:pt>
                <c:pt idx="1">
                  <c:v> 25-29 r.</c:v>
                </c:pt>
                <c:pt idx="2">
                  <c:v>30-49 r.</c:v>
                </c:pt>
                <c:pt idx="3">
                  <c:v>50 rokov a viac</c:v>
                </c:pt>
              </c:strCache>
            </c:strRef>
          </c:cat>
          <c:val>
            <c:numRef>
              <c:f>'CHSŠ vek pohl znevýhod'!$C$117:$F$117</c:f>
            </c:numRef>
          </c:val>
          <c:extLst>
            <c:ext xmlns:c16="http://schemas.microsoft.com/office/drawing/2014/chart" uri="{C3380CC4-5D6E-409C-BE32-E72D297353CC}">
              <c16:uniqueId val="{0000000A-856F-45E6-90B2-FBF882B3BC35}"/>
            </c:ext>
          </c:extLst>
        </c:ser>
        <c:ser>
          <c:idx val="8"/>
          <c:order val="8"/>
          <c:cat>
            <c:strRef>
              <c:f>'CHSŠ vek pohl znevýhod'!$C$109:$F$109</c:f>
              <c:strCache>
                <c:ptCount val="4"/>
                <c:pt idx="0">
                  <c:v>do 24 r. </c:v>
                </c:pt>
                <c:pt idx="1">
                  <c:v> 25-29 r.</c:v>
                </c:pt>
                <c:pt idx="2">
                  <c:v>30-49 r.</c:v>
                </c:pt>
                <c:pt idx="3">
                  <c:v>50 rokov a viac</c:v>
                </c:pt>
              </c:strCache>
            </c:strRef>
          </c:cat>
          <c:val>
            <c:numRef>
              <c:f>'CHSŠ vek pohl znevýhod'!$C$118:$F$118</c:f>
            </c:numRef>
          </c:val>
          <c:extLst>
            <c:ext xmlns:c16="http://schemas.microsoft.com/office/drawing/2014/chart" uri="{C3380CC4-5D6E-409C-BE32-E72D297353CC}">
              <c16:uniqueId val="{0000000B-856F-45E6-90B2-FBF882B3BC35}"/>
            </c:ext>
          </c:extLst>
        </c:ser>
        <c:ser>
          <c:idx val="9"/>
          <c:order val="9"/>
          <c:cat>
            <c:strRef>
              <c:f>'CHSŠ vek pohl znevýhod'!$C$109:$F$109</c:f>
              <c:strCache>
                <c:ptCount val="4"/>
                <c:pt idx="0">
                  <c:v>do 24 r. </c:v>
                </c:pt>
                <c:pt idx="1">
                  <c:v> 25-29 r.</c:v>
                </c:pt>
                <c:pt idx="2">
                  <c:v>30-49 r.</c:v>
                </c:pt>
                <c:pt idx="3">
                  <c:v>50 rokov a viac</c:v>
                </c:pt>
              </c:strCache>
            </c:strRef>
          </c:cat>
          <c:val>
            <c:numRef>
              <c:f>'CHSŠ vek pohl znevýhod'!$C$119:$F$119</c:f>
            </c:numRef>
          </c:val>
          <c:extLst>
            <c:ext xmlns:c16="http://schemas.microsoft.com/office/drawing/2014/chart" uri="{C3380CC4-5D6E-409C-BE32-E72D297353CC}">
              <c16:uniqueId val="{0000000C-856F-45E6-90B2-FBF882B3BC35}"/>
            </c:ext>
          </c:extLst>
        </c:ser>
        <c:ser>
          <c:idx val="10"/>
          <c:order val="10"/>
          <c:cat>
            <c:strRef>
              <c:f>'CHSŠ vek pohl znevýhod'!$C$109:$F$109</c:f>
              <c:strCache>
                <c:ptCount val="4"/>
                <c:pt idx="0">
                  <c:v>do 24 r. </c:v>
                </c:pt>
                <c:pt idx="1">
                  <c:v> 25-29 r.</c:v>
                </c:pt>
                <c:pt idx="2">
                  <c:v>30-49 r.</c:v>
                </c:pt>
                <c:pt idx="3">
                  <c:v>50 rokov a viac</c:v>
                </c:pt>
              </c:strCache>
            </c:strRef>
          </c:cat>
          <c:val>
            <c:numRef>
              <c:f>'CHSŠ vek pohl znevýhod'!$C$120:$F$120</c:f>
            </c:numRef>
          </c:val>
          <c:extLst>
            <c:ext xmlns:c16="http://schemas.microsoft.com/office/drawing/2014/chart" uri="{C3380CC4-5D6E-409C-BE32-E72D297353CC}">
              <c16:uniqueId val="{0000000D-856F-45E6-90B2-FBF882B3BC35}"/>
            </c:ext>
          </c:extLst>
        </c:ser>
        <c:ser>
          <c:idx val="11"/>
          <c:order val="11"/>
          <c:cat>
            <c:strRef>
              <c:f>'CHSŠ vek pohl znevýhod'!$C$109:$F$109</c:f>
              <c:strCache>
                <c:ptCount val="4"/>
                <c:pt idx="0">
                  <c:v>do 24 r. </c:v>
                </c:pt>
                <c:pt idx="1">
                  <c:v> 25-29 r.</c:v>
                </c:pt>
                <c:pt idx="2">
                  <c:v>30-49 r.</c:v>
                </c:pt>
                <c:pt idx="3">
                  <c:v>50 rokov a viac</c:v>
                </c:pt>
              </c:strCache>
            </c:strRef>
          </c:cat>
          <c:val>
            <c:numRef>
              <c:f>'CHSŠ vek pohl znevýhod'!$C$121:$F$121</c:f>
            </c:numRef>
          </c:val>
          <c:extLst>
            <c:ext xmlns:c16="http://schemas.microsoft.com/office/drawing/2014/chart" uri="{C3380CC4-5D6E-409C-BE32-E72D297353CC}">
              <c16:uniqueId val="{0000000E-856F-45E6-90B2-FBF882B3BC35}"/>
            </c:ext>
          </c:extLst>
        </c:ser>
        <c:ser>
          <c:idx val="12"/>
          <c:order val="12"/>
          <c:cat>
            <c:strRef>
              <c:f>'CHSŠ vek pohl znevýhod'!$C$109:$F$109</c:f>
              <c:strCache>
                <c:ptCount val="4"/>
                <c:pt idx="0">
                  <c:v>do 24 r. </c:v>
                </c:pt>
                <c:pt idx="1">
                  <c:v> 25-29 r.</c:v>
                </c:pt>
                <c:pt idx="2">
                  <c:v>30-49 r.</c:v>
                </c:pt>
                <c:pt idx="3">
                  <c:v>50 rokov a viac</c:v>
                </c:pt>
              </c:strCache>
            </c:strRef>
          </c:cat>
          <c:val>
            <c:numRef>
              <c:f>'CHSŠ vek pohl znevýhod'!$C$122:$F$122</c:f>
            </c:numRef>
          </c:val>
          <c:extLst>
            <c:ext xmlns:c16="http://schemas.microsoft.com/office/drawing/2014/chart" uri="{C3380CC4-5D6E-409C-BE32-E72D297353CC}">
              <c16:uniqueId val="{0000000F-856F-45E6-90B2-FBF882B3BC35}"/>
            </c:ext>
          </c:extLst>
        </c:ser>
        <c:ser>
          <c:idx val="13"/>
          <c:order val="13"/>
          <c:cat>
            <c:strRef>
              <c:f>'CHSŠ vek pohl znevýhod'!$C$109:$F$109</c:f>
              <c:strCache>
                <c:ptCount val="4"/>
                <c:pt idx="0">
                  <c:v>do 24 r. </c:v>
                </c:pt>
                <c:pt idx="1">
                  <c:v> 25-29 r.</c:v>
                </c:pt>
                <c:pt idx="2">
                  <c:v>30-49 r.</c:v>
                </c:pt>
                <c:pt idx="3">
                  <c:v>50 rokov a viac</c:v>
                </c:pt>
              </c:strCache>
            </c:strRef>
          </c:cat>
          <c:val>
            <c:numRef>
              <c:f>'CHSŠ vek pohl znevýhod'!$C$123:$F$123</c:f>
            </c:numRef>
          </c:val>
          <c:extLst>
            <c:ext xmlns:c16="http://schemas.microsoft.com/office/drawing/2014/chart" uri="{C3380CC4-5D6E-409C-BE32-E72D297353CC}">
              <c16:uniqueId val="{00000010-856F-45E6-90B2-FBF882B3BC35}"/>
            </c:ext>
          </c:extLst>
        </c:ser>
        <c:ser>
          <c:idx val="14"/>
          <c:order val="14"/>
          <c:cat>
            <c:strRef>
              <c:f>'CHSŠ vek pohl znevýhod'!$C$109:$F$109</c:f>
              <c:strCache>
                <c:ptCount val="4"/>
                <c:pt idx="0">
                  <c:v>do 24 r. </c:v>
                </c:pt>
                <c:pt idx="1">
                  <c:v> 25-29 r.</c:v>
                </c:pt>
                <c:pt idx="2">
                  <c:v>30-49 r.</c:v>
                </c:pt>
                <c:pt idx="3">
                  <c:v>50 rokov a viac</c:v>
                </c:pt>
              </c:strCache>
            </c:strRef>
          </c:cat>
          <c:val>
            <c:numRef>
              <c:f>'CHSŠ vek pohl znevýhod'!$C$124:$F$124</c:f>
            </c:numRef>
          </c:val>
          <c:extLst>
            <c:ext xmlns:c16="http://schemas.microsoft.com/office/drawing/2014/chart" uri="{C3380CC4-5D6E-409C-BE32-E72D297353CC}">
              <c16:uniqueId val="{00000011-856F-45E6-90B2-FBF882B3BC35}"/>
            </c:ext>
          </c:extLst>
        </c:ser>
        <c:ser>
          <c:idx val="15"/>
          <c:order val="15"/>
          <c:cat>
            <c:strRef>
              <c:f>'CHSŠ vek pohl znevýhod'!$C$109:$F$109</c:f>
              <c:strCache>
                <c:ptCount val="4"/>
                <c:pt idx="0">
                  <c:v>do 24 r. </c:v>
                </c:pt>
                <c:pt idx="1">
                  <c:v> 25-29 r.</c:v>
                </c:pt>
                <c:pt idx="2">
                  <c:v>30-49 r.</c:v>
                </c:pt>
                <c:pt idx="3">
                  <c:v>50 rokov a viac</c:v>
                </c:pt>
              </c:strCache>
            </c:strRef>
          </c:cat>
          <c:val>
            <c:numRef>
              <c:f>'CHSŠ vek pohl znevýhod'!$C$125:$F$125</c:f>
            </c:numRef>
          </c:val>
          <c:extLst>
            <c:ext xmlns:c16="http://schemas.microsoft.com/office/drawing/2014/chart" uri="{C3380CC4-5D6E-409C-BE32-E72D297353CC}">
              <c16:uniqueId val="{00000012-856F-45E6-90B2-FBF882B3BC35}"/>
            </c:ext>
          </c:extLst>
        </c:ser>
        <c:ser>
          <c:idx val="16"/>
          <c:order val="16"/>
          <c:cat>
            <c:strRef>
              <c:f>'CHSŠ vek pohl znevýhod'!$C$109:$F$109</c:f>
              <c:strCache>
                <c:ptCount val="4"/>
                <c:pt idx="0">
                  <c:v>do 24 r. </c:v>
                </c:pt>
                <c:pt idx="1">
                  <c:v> 25-29 r.</c:v>
                </c:pt>
                <c:pt idx="2">
                  <c:v>30-49 r.</c:v>
                </c:pt>
                <c:pt idx="3">
                  <c:v>50 rokov a viac</c:v>
                </c:pt>
              </c:strCache>
            </c:strRef>
          </c:cat>
          <c:val>
            <c:numRef>
              <c:f>'CHSŠ vek pohl znevýhod'!$C$126:$F$126</c:f>
            </c:numRef>
          </c:val>
          <c:extLst>
            <c:ext xmlns:c16="http://schemas.microsoft.com/office/drawing/2014/chart" uri="{C3380CC4-5D6E-409C-BE32-E72D297353CC}">
              <c16:uniqueId val="{00000013-856F-45E6-90B2-FBF882B3BC35}"/>
            </c:ext>
          </c:extLst>
        </c:ser>
        <c:ser>
          <c:idx val="17"/>
          <c:order val="17"/>
          <c:cat>
            <c:strRef>
              <c:f>'CHSŠ vek pohl znevýhod'!$C$109:$F$109</c:f>
              <c:strCache>
                <c:ptCount val="4"/>
                <c:pt idx="0">
                  <c:v>do 24 r. </c:v>
                </c:pt>
                <c:pt idx="1">
                  <c:v> 25-29 r.</c:v>
                </c:pt>
                <c:pt idx="2">
                  <c:v>30-49 r.</c:v>
                </c:pt>
                <c:pt idx="3">
                  <c:v>50 rokov a viac</c:v>
                </c:pt>
              </c:strCache>
            </c:strRef>
          </c:cat>
          <c:val>
            <c:numRef>
              <c:f>'CHSŠ vek pohl znevýhod'!$C$127:$F$127</c:f>
            </c:numRef>
          </c:val>
          <c:extLst>
            <c:ext xmlns:c16="http://schemas.microsoft.com/office/drawing/2014/chart" uri="{C3380CC4-5D6E-409C-BE32-E72D297353CC}">
              <c16:uniqueId val="{00000014-856F-45E6-90B2-FBF882B3BC35}"/>
            </c:ext>
          </c:extLst>
        </c:ser>
        <c:ser>
          <c:idx val="18"/>
          <c:order val="18"/>
          <c:cat>
            <c:strRef>
              <c:f>'CHSŠ vek pohl znevýhod'!$C$109:$F$109</c:f>
              <c:strCache>
                <c:ptCount val="4"/>
                <c:pt idx="0">
                  <c:v>do 24 r. </c:v>
                </c:pt>
                <c:pt idx="1">
                  <c:v> 25-29 r.</c:v>
                </c:pt>
                <c:pt idx="2">
                  <c:v>30-49 r.</c:v>
                </c:pt>
                <c:pt idx="3">
                  <c:v>50 rokov a viac</c:v>
                </c:pt>
              </c:strCache>
            </c:strRef>
          </c:cat>
          <c:val>
            <c:numRef>
              <c:f>'CHSŠ vek pohl znevýhod'!$C$128:$F$128</c:f>
            </c:numRef>
          </c:val>
          <c:extLst>
            <c:ext xmlns:c16="http://schemas.microsoft.com/office/drawing/2014/chart" uri="{C3380CC4-5D6E-409C-BE32-E72D297353CC}">
              <c16:uniqueId val="{00000015-856F-45E6-90B2-FBF882B3BC35}"/>
            </c:ext>
          </c:extLst>
        </c:ser>
        <c:ser>
          <c:idx val="19"/>
          <c:order val="19"/>
          <c:cat>
            <c:strRef>
              <c:f>'CHSŠ vek pohl znevýhod'!$C$109:$F$109</c:f>
              <c:strCache>
                <c:ptCount val="4"/>
                <c:pt idx="0">
                  <c:v>do 24 r. </c:v>
                </c:pt>
                <c:pt idx="1">
                  <c:v> 25-29 r.</c:v>
                </c:pt>
                <c:pt idx="2">
                  <c:v>30-49 r.</c:v>
                </c:pt>
                <c:pt idx="3">
                  <c:v>50 rokov a viac</c:v>
                </c:pt>
              </c:strCache>
            </c:strRef>
          </c:cat>
          <c:val>
            <c:numRef>
              <c:f>'CHSŠ vek pohl znevýhod'!$C$129:$F$129</c:f>
            </c:numRef>
          </c:val>
          <c:extLst>
            <c:ext xmlns:c16="http://schemas.microsoft.com/office/drawing/2014/chart" uri="{C3380CC4-5D6E-409C-BE32-E72D297353CC}">
              <c16:uniqueId val="{00000016-856F-45E6-90B2-FBF882B3BC35}"/>
            </c:ext>
          </c:extLst>
        </c:ser>
        <c:ser>
          <c:idx val="20"/>
          <c:order val="20"/>
          <c:cat>
            <c:strRef>
              <c:f>'CHSŠ vek pohl znevýhod'!$C$109:$F$109</c:f>
              <c:strCache>
                <c:ptCount val="4"/>
                <c:pt idx="0">
                  <c:v>do 24 r. </c:v>
                </c:pt>
                <c:pt idx="1">
                  <c:v> 25-29 r.</c:v>
                </c:pt>
                <c:pt idx="2">
                  <c:v>30-49 r.</c:v>
                </c:pt>
                <c:pt idx="3">
                  <c:v>50 rokov a viac</c:v>
                </c:pt>
              </c:strCache>
            </c:strRef>
          </c:cat>
          <c:val>
            <c:numRef>
              <c:f>'CHSŠ vek pohl znevýhod'!$C$130:$F$130</c:f>
            </c:numRef>
          </c:val>
          <c:extLst>
            <c:ext xmlns:c16="http://schemas.microsoft.com/office/drawing/2014/chart" uri="{C3380CC4-5D6E-409C-BE32-E72D297353CC}">
              <c16:uniqueId val="{00000017-856F-45E6-90B2-FBF882B3BC35}"/>
            </c:ext>
          </c:extLst>
        </c:ser>
        <c:ser>
          <c:idx val="21"/>
          <c:order val="21"/>
          <c:cat>
            <c:strRef>
              <c:f>'CHSŠ vek pohl znevýhod'!$C$109:$F$109</c:f>
              <c:strCache>
                <c:ptCount val="4"/>
                <c:pt idx="0">
                  <c:v>do 24 r. </c:v>
                </c:pt>
                <c:pt idx="1">
                  <c:v> 25-29 r.</c:v>
                </c:pt>
                <c:pt idx="2">
                  <c:v>30-49 r.</c:v>
                </c:pt>
                <c:pt idx="3">
                  <c:v>50 rokov a viac</c:v>
                </c:pt>
              </c:strCache>
            </c:strRef>
          </c:cat>
          <c:val>
            <c:numRef>
              <c:f>'CHSŠ vek pohl znevýhod'!$C$131:$F$131</c:f>
            </c:numRef>
          </c:val>
          <c:extLst>
            <c:ext xmlns:c16="http://schemas.microsoft.com/office/drawing/2014/chart" uri="{C3380CC4-5D6E-409C-BE32-E72D297353CC}">
              <c16:uniqueId val="{00000018-856F-45E6-90B2-FBF882B3BC35}"/>
            </c:ext>
          </c:extLst>
        </c:ser>
        <c:ser>
          <c:idx val="22"/>
          <c:order val="22"/>
          <c:cat>
            <c:strRef>
              <c:f>'CHSŠ vek pohl znevýhod'!$C$109:$F$109</c:f>
              <c:strCache>
                <c:ptCount val="4"/>
                <c:pt idx="0">
                  <c:v>do 24 r. </c:v>
                </c:pt>
                <c:pt idx="1">
                  <c:v> 25-29 r.</c:v>
                </c:pt>
                <c:pt idx="2">
                  <c:v>30-49 r.</c:v>
                </c:pt>
                <c:pt idx="3">
                  <c:v>50 rokov a viac</c:v>
                </c:pt>
              </c:strCache>
            </c:strRef>
          </c:cat>
          <c:val>
            <c:numRef>
              <c:f>'CHSŠ vek pohl znevýhod'!$C$132:$F$132</c:f>
            </c:numRef>
          </c:val>
          <c:extLst>
            <c:ext xmlns:c16="http://schemas.microsoft.com/office/drawing/2014/chart" uri="{C3380CC4-5D6E-409C-BE32-E72D297353CC}">
              <c16:uniqueId val="{00000019-856F-45E6-90B2-FBF882B3BC35}"/>
            </c:ext>
          </c:extLst>
        </c:ser>
        <c:ser>
          <c:idx val="23"/>
          <c:order val="23"/>
          <c:cat>
            <c:strRef>
              <c:f>'CHSŠ vek pohl znevýhod'!$C$109:$F$109</c:f>
              <c:strCache>
                <c:ptCount val="4"/>
                <c:pt idx="0">
                  <c:v>do 24 r. </c:v>
                </c:pt>
                <c:pt idx="1">
                  <c:v> 25-29 r.</c:v>
                </c:pt>
                <c:pt idx="2">
                  <c:v>30-49 r.</c:v>
                </c:pt>
                <c:pt idx="3">
                  <c:v>50 rokov a viac</c:v>
                </c:pt>
              </c:strCache>
            </c:strRef>
          </c:cat>
          <c:val>
            <c:numRef>
              <c:f>'CHSŠ vek pohl znevýhod'!$C$133:$F$133</c:f>
            </c:numRef>
          </c:val>
          <c:extLst>
            <c:ext xmlns:c16="http://schemas.microsoft.com/office/drawing/2014/chart" uri="{C3380CC4-5D6E-409C-BE32-E72D297353CC}">
              <c16:uniqueId val="{0000001A-856F-45E6-90B2-FBF882B3BC35}"/>
            </c:ext>
          </c:extLst>
        </c:ser>
        <c:ser>
          <c:idx val="24"/>
          <c:order val="24"/>
          <c:cat>
            <c:strRef>
              <c:f>'CHSŠ vek pohl znevýhod'!$C$109:$F$109</c:f>
              <c:strCache>
                <c:ptCount val="4"/>
                <c:pt idx="0">
                  <c:v>do 24 r. </c:v>
                </c:pt>
                <c:pt idx="1">
                  <c:v> 25-29 r.</c:v>
                </c:pt>
                <c:pt idx="2">
                  <c:v>30-49 r.</c:v>
                </c:pt>
                <c:pt idx="3">
                  <c:v>50 rokov a viac</c:v>
                </c:pt>
              </c:strCache>
            </c:strRef>
          </c:cat>
          <c:val>
            <c:numRef>
              <c:f>'CHSŠ vek pohl znevýhod'!$C$134:$F$134</c:f>
            </c:numRef>
          </c:val>
          <c:extLst>
            <c:ext xmlns:c16="http://schemas.microsoft.com/office/drawing/2014/chart" uri="{C3380CC4-5D6E-409C-BE32-E72D297353CC}">
              <c16:uniqueId val="{0000001B-856F-45E6-90B2-FBF882B3BC35}"/>
            </c:ext>
          </c:extLst>
        </c:ser>
        <c:ser>
          <c:idx val="25"/>
          <c:order val="25"/>
          <c:cat>
            <c:strRef>
              <c:f>'CHSŠ vek pohl znevýhod'!$C$109:$F$109</c:f>
              <c:strCache>
                <c:ptCount val="4"/>
                <c:pt idx="0">
                  <c:v>do 24 r. </c:v>
                </c:pt>
                <c:pt idx="1">
                  <c:v> 25-29 r.</c:v>
                </c:pt>
                <c:pt idx="2">
                  <c:v>30-49 r.</c:v>
                </c:pt>
                <c:pt idx="3">
                  <c:v>50 rokov a viac</c:v>
                </c:pt>
              </c:strCache>
            </c:strRef>
          </c:cat>
          <c:val>
            <c:numRef>
              <c:f>'CHSŠ vek pohl znevýhod'!$C$135:$F$135</c:f>
            </c:numRef>
          </c:val>
          <c:extLst>
            <c:ext xmlns:c16="http://schemas.microsoft.com/office/drawing/2014/chart" uri="{C3380CC4-5D6E-409C-BE32-E72D297353CC}">
              <c16:uniqueId val="{0000001C-856F-45E6-90B2-FBF882B3BC35}"/>
            </c:ext>
          </c:extLst>
        </c:ser>
        <c:ser>
          <c:idx val="26"/>
          <c:order val="26"/>
          <c:cat>
            <c:strRef>
              <c:f>'CHSŠ vek pohl znevýhod'!$C$109:$F$109</c:f>
              <c:strCache>
                <c:ptCount val="4"/>
                <c:pt idx="0">
                  <c:v>do 24 r. </c:v>
                </c:pt>
                <c:pt idx="1">
                  <c:v> 25-29 r.</c:v>
                </c:pt>
                <c:pt idx="2">
                  <c:v>30-49 r.</c:v>
                </c:pt>
                <c:pt idx="3">
                  <c:v>50 rokov a viac</c:v>
                </c:pt>
              </c:strCache>
            </c:strRef>
          </c:cat>
          <c:val>
            <c:numRef>
              <c:f>'CHSŠ vek pohl znevýhod'!$C$136:$F$136</c:f>
            </c:numRef>
          </c:val>
          <c:extLst>
            <c:ext xmlns:c16="http://schemas.microsoft.com/office/drawing/2014/chart" uri="{C3380CC4-5D6E-409C-BE32-E72D297353CC}">
              <c16:uniqueId val="{0000001D-856F-45E6-90B2-FBF882B3BC35}"/>
            </c:ext>
          </c:extLst>
        </c:ser>
        <c:ser>
          <c:idx val="27"/>
          <c:order val="27"/>
          <c:cat>
            <c:strRef>
              <c:f>'CHSŠ vek pohl znevýhod'!$C$109:$F$109</c:f>
              <c:strCache>
                <c:ptCount val="4"/>
                <c:pt idx="0">
                  <c:v>do 24 r. </c:v>
                </c:pt>
                <c:pt idx="1">
                  <c:v> 25-29 r.</c:v>
                </c:pt>
                <c:pt idx="2">
                  <c:v>30-49 r.</c:v>
                </c:pt>
                <c:pt idx="3">
                  <c:v>50 rokov a viac</c:v>
                </c:pt>
              </c:strCache>
            </c:strRef>
          </c:cat>
          <c:val>
            <c:numRef>
              <c:f>'CHSŠ vek pohl znevýhod'!$C$137:$F$137</c:f>
            </c:numRef>
          </c:val>
          <c:extLst>
            <c:ext xmlns:c16="http://schemas.microsoft.com/office/drawing/2014/chart" uri="{C3380CC4-5D6E-409C-BE32-E72D297353CC}">
              <c16:uniqueId val="{0000001E-856F-45E6-90B2-FBF882B3BC35}"/>
            </c:ext>
          </c:extLst>
        </c:ser>
        <c:ser>
          <c:idx val="28"/>
          <c:order val="28"/>
          <c:cat>
            <c:strRef>
              <c:f>'CHSŠ vek pohl znevýhod'!$C$109:$F$109</c:f>
              <c:strCache>
                <c:ptCount val="4"/>
                <c:pt idx="0">
                  <c:v>do 24 r. </c:v>
                </c:pt>
                <c:pt idx="1">
                  <c:v> 25-29 r.</c:v>
                </c:pt>
                <c:pt idx="2">
                  <c:v>30-49 r.</c:v>
                </c:pt>
                <c:pt idx="3">
                  <c:v>50 rokov a viac</c:v>
                </c:pt>
              </c:strCache>
            </c:strRef>
          </c:cat>
          <c:val>
            <c:numRef>
              <c:f>'CHSŠ vek pohl znevýhod'!$C$138:$F$138</c:f>
            </c:numRef>
          </c:val>
          <c:extLst>
            <c:ext xmlns:c16="http://schemas.microsoft.com/office/drawing/2014/chart" uri="{C3380CC4-5D6E-409C-BE32-E72D297353CC}">
              <c16:uniqueId val="{0000001F-856F-45E6-90B2-FBF882B3BC35}"/>
            </c:ext>
          </c:extLst>
        </c:ser>
        <c:ser>
          <c:idx val="29"/>
          <c:order val="29"/>
          <c:cat>
            <c:strRef>
              <c:f>'CHSŠ vek pohl znevýhod'!$C$109:$F$109</c:f>
              <c:strCache>
                <c:ptCount val="4"/>
                <c:pt idx="0">
                  <c:v>do 24 r. </c:v>
                </c:pt>
                <c:pt idx="1">
                  <c:v> 25-29 r.</c:v>
                </c:pt>
                <c:pt idx="2">
                  <c:v>30-49 r.</c:v>
                </c:pt>
                <c:pt idx="3">
                  <c:v>50 rokov a viac</c:v>
                </c:pt>
              </c:strCache>
            </c:strRef>
          </c:cat>
          <c:val>
            <c:numRef>
              <c:f>'CHSŠ vek pohl znevýhod'!$C$139:$F$139</c:f>
            </c:numRef>
          </c:val>
          <c:extLst>
            <c:ext xmlns:c16="http://schemas.microsoft.com/office/drawing/2014/chart" uri="{C3380CC4-5D6E-409C-BE32-E72D297353CC}">
              <c16:uniqueId val="{00000020-856F-45E6-90B2-FBF882B3BC35}"/>
            </c:ext>
          </c:extLst>
        </c:ser>
        <c:ser>
          <c:idx val="30"/>
          <c:order val="30"/>
          <c:cat>
            <c:strRef>
              <c:f>'CHSŠ vek pohl znevýhod'!$C$109:$F$109</c:f>
              <c:strCache>
                <c:ptCount val="4"/>
                <c:pt idx="0">
                  <c:v>do 24 r. </c:v>
                </c:pt>
                <c:pt idx="1">
                  <c:v> 25-29 r.</c:v>
                </c:pt>
                <c:pt idx="2">
                  <c:v>30-49 r.</c:v>
                </c:pt>
                <c:pt idx="3">
                  <c:v>50 rokov a viac</c:v>
                </c:pt>
              </c:strCache>
            </c:strRef>
          </c:cat>
          <c:val>
            <c:numRef>
              <c:f>'CHSŠ vek pohl znevýhod'!$C$140:$F$140</c:f>
            </c:numRef>
          </c:val>
          <c:extLst>
            <c:ext xmlns:c16="http://schemas.microsoft.com/office/drawing/2014/chart" uri="{C3380CC4-5D6E-409C-BE32-E72D297353CC}">
              <c16:uniqueId val="{00000021-856F-45E6-90B2-FBF882B3BC35}"/>
            </c:ext>
          </c:extLst>
        </c:ser>
        <c:ser>
          <c:idx val="31"/>
          <c:order val="31"/>
          <c:cat>
            <c:strRef>
              <c:f>'CHSŠ vek pohl znevýhod'!$C$109:$F$109</c:f>
              <c:strCache>
                <c:ptCount val="4"/>
                <c:pt idx="0">
                  <c:v>do 24 r. </c:v>
                </c:pt>
                <c:pt idx="1">
                  <c:v> 25-29 r.</c:v>
                </c:pt>
                <c:pt idx="2">
                  <c:v>30-49 r.</c:v>
                </c:pt>
                <c:pt idx="3">
                  <c:v>50 rokov a viac</c:v>
                </c:pt>
              </c:strCache>
            </c:strRef>
          </c:cat>
          <c:val>
            <c:numRef>
              <c:f>'CHSŠ vek pohl znevýhod'!$C$141:$F$141</c:f>
            </c:numRef>
          </c:val>
          <c:extLst>
            <c:ext xmlns:c16="http://schemas.microsoft.com/office/drawing/2014/chart" uri="{C3380CC4-5D6E-409C-BE32-E72D297353CC}">
              <c16:uniqueId val="{00000022-856F-45E6-90B2-FBF882B3BC35}"/>
            </c:ext>
          </c:extLst>
        </c:ser>
        <c:ser>
          <c:idx val="32"/>
          <c:order val="32"/>
          <c:cat>
            <c:strRef>
              <c:f>'CHSŠ vek pohl znevýhod'!$C$109:$F$109</c:f>
              <c:strCache>
                <c:ptCount val="4"/>
                <c:pt idx="0">
                  <c:v>do 24 r. </c:v>
                </c:pt>
                <c:pt idx="1">
                  <c:v> 25-29 r.</c:v>
                </c:pt>
                <c:pt idx="2">
                  <c:v>30-49 r.</c:v>
                </c:pt>
                <c:pt idx="3">
                  <c:v>50 rokov a viac</c:v>
                </c:pt>
              </c:strCache>
            </c:strRef>
          </c:cat>
          <c:val>
            <c:numRef>
              <c:f>'CHSŠ vek pohl znevýhod'!$C$142:$F$142</c:f>
            </c:numRef>
          </c:val>
          <c:extLst>
            <c:ext xmlns:c16="http://schemas.microsoft.com/office/drawing/2014/chart" uri="{C3380CC4-5D6E-409C-BE32-E72D297353CC}">
              <c16:uniqueId val="{00000023-856F-45E6-90B2-FBF882B3BC35}"/>
            </c:ext>
          </c:extLst>
        </c:ser>
        <c:ser>
          <c:idx val="33"/>
          <c:order val="33"/>
          <c:cat>
            <c:strRef>
              <c:f>'CHSŠ vek pohl znevýhod'!$C$109:$F$109</c:f>
              <c:strCache>
                <c:ptCount val="4"/>
                <c:pt idx="0">
                  <c:v>do 24 r. </c:v>
                </c:pt>
                <c:pt idx="1">
                  <c:v> 25-29 r.</c:v>
                </c:pt>
                <c:pt idx="2">
                  <c:v>30-49 r.</c:v>
                </c:pt>
                <c:pt idx="3">
                  <c:v>50 rokov a viac</c:v>
                </c:pt>
              </c:strCache>
            </c:strRef>
          </c:cat>
          <c:val>
            <c:numRef>
              <c:f>'CHSŠ vek pohl znevýhod'!$C$143:$F$143</c:f>
            </c:numRef>
          </c:val>
          <c:extLst>
            <c:ext xmlns:c16="http://schemas.microsoft.com/office/drawing/2014/chart" uri="{C3380CC4-5D6E-409C-BE32-E72D297353CC}">
              <c16:uniqueId val="{00000024-856F-45E6-90B2-FBF882B3BC35}"/>
            </c:ext>
          </c:extLst>
        </c:ser>
        <c:ser>
          <c:idx val="34"/>
          <c:order val="34"/>
          <c:cat>
            <c:strRef>
              <c:f>'CHSŠ vek pohl znevýhod'!$C$109:$F$109</c:f>
              <c:strCache>
                <c:ptCount val="4"/>
                <c:pt idx="0">
                  <c:v>do 24 r. </c:v>
                </c:pt>
                <c:pt idx="1">
                  <c:v> 25-29 r.</c:v>
                </c:pt>
                <c:pt idx="2">
                  <c:v>30-49 r.</c:v>
                </c:pt>
                <c:pt idx="3">
                  <c:v>50 rokov a viac</c:v>
                </c:pt>
              </c:strCache>
            </c:strRef>
          </c:cat>
          <c:val>
            <c:numRef>
              <c:f>'CHSŠ vek pohl znevýhod'!$C$144:$F$144</c:f>
            </c:numRef>
          </c:val>
          <c:extLst>
            <c:ext xmlns:c16="http://schemas.microsoft.com/office/drawing/2014/chart" uri="{C3380CC4-5D6E-409C-BE32-E72D297353CC}">
              <c16:uniqueId val="{00000025-856F-45E6-90B2-FBF882B3BC35}"/>
            </c:ext>
          </c:extLst>
        </c:ser>
        <c:ser>
          <c:idx val="35"/>
          <c:order val="35"/>
          <c:cat>
            <c:strRef>
              <c:f>'CHSŠ vek pohl znevýhod'!$C$109:$F$109</c:f>
              <c:strCache>
                <c:ptCount val="4"/>
                <c:pt idx="0">
                  <c:v>do 24 r. </c:v>
                </c:pt>
                <c:pt idx="1">
                  <c:v> 25-29 r.</c:v>
                </c:pt>
                <c:pt idx="2">
                  <c:v>30-49 r.</c:v>
                </c:pt>
                <c:pt idx="3">
                  <c:v>50 rokov a viac</c:v>
                </c:pt>
              </c:strCache>
            </c:strRef>
          </c:cat>
          <c:val>
            <c:numRef>
              <c:f>'CHSŠ vek pohl znevýhod'!$C$145:$F$145</c:f>
            </c:numRef>
          </c:val>
          <c:extLst>
            <c:ext xmlns:c16="http://schemas.microsoft.com/office/drawing/2014/chart" uri="{C3380CC4-5D6E-409C-BE32-E72D297353CC}">
              <c16:uniqueId val="{00000026-856F-45E6-90B2-FBF882B3BC35}"/>
            </c:ext>
          </c:extLst>
        </c:ser>
        <c:ser>
          <c:idx val="36"/>
          <c:order val="36"/>
          <c:cat>
            <c:strRef>
              <c:f>'CHSŠ vek pohl znevýhod'!$C$109:$F$109</c:f>
              <c:strCache>
                <c:ptCount val="4"/>
                <c:pt idx="0">
                  <c:v>do 24 r. </c:v>
                </c:pt>
                <c:pt idx="1">
                  <c:v> 25-29 r.</c:v>
                </c:pt>
                <c:pt idx="2">
                  <c:v>30-49 r.</c:v>
                </c:pt>
                <c:pt idx="3">
                  <c:v>50 rokov a viac</c:v>
                </c:pt>
              </c:strCache>
            </c:strRef>
          </c:cat>
          <c:val>
            <c:numRef>
              <c:f>'CHSŠ vek pohl znevýhod'!$C$146:$F$146</c:f>
            </c:numRef>
          </c:val>
          <c:extLst>
            <c:ext xmlns:c16="http://schemas.microsoft.com/office/drawing/2014/chart" uri="{C3380CC4-5D6E-409C-BE32-E72D297353CC}">
              <c16:uniqueId val="{00000027-856F-45E6-90B2-FBF882B3BC35}"/>
            </c:ext>
          </c:extLst>
        </c:ser>
        <c:ser>
          <c:idx val="37"/>
          <c:order val="37"/>
          <c:cat>
            <c:strRef>
              <c:f>'CHSŠ vek pohl znevýhod'!$C$109:$F$109</c:f>
              <c:strCache>
                <c:ptCount val="4"/>
                <c:pt idx="0">
                  <c:v>do 24 r. </c:v>
                </c:pt>
                <c:pt idx="1">
                  <c:v> 25-29 r.</c:v>
                </c:pt>
                <c:pt idx="2">
                  <c:v>30-49 r.</c:v>
                </c:pt>
                <c:pt idx="3">
                  <c:v>50 rokov a viac</c:v>
                </c:pt>
              </c:strCache>
            </c:strRef>
          </c:cat>
          <c:val>
            <c:numRef>
              <c:f>'CHSŠ vek pohl znevýhod'!$C$147:$F$147</c:f>
            </c:numRef>
          </c:val>
          <c:extLst>
            <c:ext xmlns:c16="http://schemas.microsoft.com/office/drawing/2014/chart" uri="{C3380CC4-5D6E-409C-BE32-E72D297353CC}">
              <c16:uniqueId val="{00000028-856F-45E6-90B2-FBF882B3BC35}"/>
            </c:ext>
          </c:extLst>
        </c:ser>
        <c:ser>
          <c:idx val="38"/>
          <c:order val="38"/>
          <c:cat>
            <c:strRef>
              <c:f>'CHSŠ vek pohl znevýhod'!$C$109:$F$109</c:f>
              <c:strCache>
                <c:ptCount val="4"/>
                <c:pt idx="0">
                  <c:v>do 24 r. </c:v>
                </c:pt>
                <c:pt idx="1">
                  <c:v> 25-29 r.</c:v>
                </c:pt>
                <c:pt idx="2">
                  <c:v>30-49 r.</c:v>
                </c:pt>
                <c:pt idx="3">
                  <c:v>50 rokov a viac</c:v>
                </c:pt>
              </c:strCache>
            </c:strRef>
          </c:cat>
          <c:val>
            <c:numRef>
              <c:f>'CHSŠ vek pohl znevýhod'!$C$148:$F$148</c:f>
            </c:numRef>
          </c:val>
          <c:extLst>
            <c:ext xmlns:c16="http://schemas.microsoft.com/office/drawing/2014/chart" uri="{C3380CC4-5D6E-409C-BE32-E72D297353CC}">
              <c16:uniqueId val="{00000029-856F-45E6-90B2-FBF882B3BC35}"/>
            </c:ext>
          </c:extLst>
        </c:ser>
        <c:ser>
          <c:idx val="39"/>
          <c:order val="39"/>
          <c:cat>
            <c:strRef>
              <c:f>'CHSŠ vek pohl znevýhod'!$C$109:$F$109</c:f>
              <c:strCache>
                <c:ptCount val="4"/>
                <c:pt idx="0">
                  <c:v>do 24 r. </c:v>
                </c:pt>
                <c:pt idx="1">
                  <c:v> 25-29 r.</c:v>
                </c:pt>
                <c:pt idx="2">
                  <c:v>30-49 r.</c:v>
                </c:pt>
                <c:pt idx="3">
                  <c:v>50 rokov a viac</c:v>
                </c:pt>
              </c:strCache>
            </c:strRef>
          </c:cat>
          <c:val>
            <c:numRef>
              <c:f>'CHSŠ vek pohl znevýhod'!$C$149:$F$149</c:f>
            </c:numRef>
          </c:val>
          <c:extLst>
            <c:ext xmlns:c16="http://schemas.microsoft.com/office/drawing/2014/chart" uri="{C3380CC4-5D6E-409C-BE32-E72D297353CC}">
              <c16:uniqueId val="{0000002A-856F-45E6-90B2-FBF882B3BC35}"/>
            </c:ext>
          </c:extLst>
        </c:ser>
        <c:ser>
          <c:idx val="40"/>
          <c:order val="40"/>
          <c:cat>
            <c:strRef>
              <c:f>'CHSŠ vek pohl znevýhod'!$C$109:$F$109</c:f>
              <c:strCache>
                <c:ptCount val="4"/>
                <c:pt idx="0">
                  <c:v>do 24 r. </c:v>
                </c:pt>
                <c:pt idx="1">
                  <c:v> 25-29 r.</c:v>
                </c:pt>
                <c:pt idx="2">
                  <c:v>30-49 r.</c:v>
                </c:pt>
                <c:pt idx="3">
                  <c:v>50 rokov a viac</c:v>
                </c:pt>
              </c:strCache>
            </c:strRef>
          </c:cat>
          <c:val>
            <c:numRef>
              <c:f>'CHSŠ vek pohl znevýhod'!$C$150:$F$150</c:f>
            </c:numRef>
          </c:val>
          <c:extLst>
            <c:ext xmlns:c16="http://schemas.microsoft.com/office/drawing/2014/chart" uri="{C3380CC4-5D6E-409C-BE32-E72D297353CC}">
              <c16:uniqueId val="{0000002B-856F-45E6-90B2-FBF882B3BC35}"/>
            </c:ext>
          </c:extLst>
        </c:ser>
        <c:ser>
          <c:idx val="41"/>
          <c:order val="41"/>
          <c:cat>
            <c:strRef>
              <c:f>'CHSŠ vek pohl znevýhod'!$C$109:$F$109</c:f>
              <c:strCache>
                <c:ptCount val="4"/>
                <c:pt idx="0">
                  <c:v>do 24 r. </c:v>
                </c:pt>
                <c:pt idx="1">
                  <c:v> 25-29 r.</c:v>
                </c:pt>
                <c:pt idx="2">
                  <c:v>30-49 r.</c:v>
                </c:pt>
                <c:pt idx="3">
                  <c:v>50 rokov a viac</c:v>
                </c:pt>
              </c:strCache>
            </c:strRef>
          </c:cat>
          <c:val>
            <c:numRef>
              <c:f>'CHSŠ vek pohl znevýhod'!$C$151:$F$151</c:f>
            </c:numRef>
          </c:val>
          <c:extLst>
            <c:ext xmlns:c16="http://schemas.microsoft.com/office/drawing/2014/chart" uri="{C3380CC4-5D6E-409C-BE32-E72D297353CC}">
              <c16:uniqueId val="{0000002C-856F-45E6-90B2-FBF882B3BC35}"/>
            </c:ext>
          </c:extLst>
        </c:ser>
        <c:ser>
          <c:idx val="42"/>
          <c:order val="42"/>
          <c:cat>
            <c:strRef>
              <c:f>'CHSŠ vek pohl znevýhod'!$C$109:$F$109</c:f>
              <c:strCache>
                <c:ptCount val="4"/>
                <c:pt idx="0">
                  <c:v>do 24 r. </c:v>
                </c:pt>
                <c:pt idx="1">
                  <c:v> 25-29 r.</c:v>
                </c:pt>
                <c:pt idx="2">
                  <c:v>30-49 r.</c:v>
                </c:pt>
                <c:pt idx="3">
                  <c:v>50 rokov a viac</c:v>
                </c:pt>
              </c:strCache>
            </c:strRef>
          </c:cat>
          <c:val>
            <c:numRef>
              <c:f>'CHSŠ vek pohl znevýhod'!$C$152:$F$152</c:f>
            </c:numRef>
          </c:val>
          <c:extLst>
            <c:ext xmlns:c16="http://schemas.microsoft.com/office/drawing/2014/chart" uri="{C3380CC4-5D6E-409C-BE32-E72D297353CC}">
              <c16:uniqueId val="{0000002D-856F-45E6-90B2-FBF882B3BC35}"/>
            </c:ext>
          </c:extLst>
        </c:ser>
        <c:ser>
          <c:idx val="43"/>
          <c:order val="43"/>
          <c:cat>
            <c:strRef>
              <c:f>'CHSŠ vek pohl znevýhod'!$C$109:$F$109</c:f>
              <c:strCache>
                <c:ptCount val="4"/>
                <c:pt idx="0">
                  <c:v>do 24 r. </c:v>
                </c:pt>
                <c:pt idx="1">
                  <c:v> 25-29 r.</c:v>
                </c:pt>
                <c:pt idx="2">
                  <c:v>30-49 r.</c:v>
                </c:pt>
                <c:pt idx="3">
                  <c:v>50 rokov a viac</c:v>
                </c:pt>
              </c:strCache>
            </c:strRef>
          </c:cat>
          <c:val>
            <c:numRef>
              <c:f>'CHSŠ vek pohl znevýhod'!$C$153:$F$153</c:f>
            </c:numRef>
          </c:val>
          <c:extLst>
            <c:ext xmlns:c16="http://schemas.microsoft.com/office/drawing/2014/chart" uri="{C3380CC4-5D6E-409C-BE32-E72D297353CC}">
              <c16:uniqueId val="{0000002E-856F-45E6-90B2-FBF882B3BC35}"/>
            </c:ext>
          </c:extLst>
        </c:ser>
        <c:ser>
          <c:idx val="44"/>
          <c:order val="44"/>
          <c:cat>
            <c:strRef>
              <c:f>'CHSŠ vek pohl znevýhod'!$C$109:$F$109</c:f>
              <c:strCache>
                <c:ptCount val="4"/>
                <c:pt idx="0">
                  <c:v>do 24 r. </c:v>
                </c:pt>
                <c:pt idx="1">
                  <c:v> 25-29 r.</c:v>
                </c:pt>
                <c:pt idx="2">
                  <c:v>30-49 r.</c:v>
                </c:pt>
                <c:pt idx="3">
                  <c:v>50 rokov a viac</c:v>
                </c:pt>
              </c:strCache>
            </c:strRef>
          </c:cat>
          <c:val>
            <c:numRef>
              <c:f>'CHSŠ vek pohl znevýhod'!$C$154:$F$154</c:f>
            </c:numRef>
          </c:val>
          <c:extLst>
            <c:ext xmlns:c16="http://schemas.microsoft.com/office/drawing/2014/chart" uri="{C3380CC4-5D6E-409C-BE32-E72D297353CC}">
              <c16:uniqueId val="{0000002F-856F-45E6-90B2-FBF882B3BC35}"/>
            </c:ext>
          </c:extLst>
        </c:ser>
        <c:ser>
          <c:idx val="45"/>
          <c:order val="45"/>
          <c:cat>
            <c:strRef>
              <c:f>'CHSŠ vek pohl znevýhod'!$C$109:$F$109</c:f>
              <c:strCache>
                <c:ptCount val="4"/>
                <c:pt idx="0">
                  <c:v>do 24 r. </c:v>
                </c:pt>
                <c:pt idx="1">
                  <c:v> 25-29 r.</c:v>
                </c:pt>
                <c:pt idx="2">
                  <c:v>30-49 r.</c:v>
                </c:pt>
                <c:pt idx="3">
                  <c:v>50 rokov a viac</c:v>
                </c:pt>
              </c:strCache>
            </c:strRef>
          </c:cat>
          <c:val>
            <c:numRef>
              <c:f>'CHSŠ vek pohl znevýhod'!$C$155:$F$155</c:f>
            </c:numRef>
          </c:val>
          <c:extLst>
            <c:ext xmlns:c16="http://schemas.microsoft.com/office/drawing/2014/chart" uri="{C3380CC4-5D6E-409C-BE32-E72D297353CC}">
              <c16:uniqueId val="{00000030-856F-45E6-90B2-FBF882B3BC35}"/>
            </c:ext>
          </c:extLst>
        </c:ser>
        <c:ser>
          <c:idx val="46"/>
          <c:order val="46"/>
          <c:dPt>
            <c:idx val="0"/>
            <c:bubble3D val="0"/>
            <c:explosion val="6"/>
            <c:extLst>
              <c:ext xmlns:c16="http://schemas.microsoft.com/office/drawing/2014/chart" uri="{C3380CC4-5D6E-409C-BE32-E72D297353CC}">
                <c16:uniqueId val="{00000031-856F-45E6-90B2-FBF882B3BC35}"/>
              </c:ext>
            </c:extLst>
          </c:dPt>
          <c:dPt>
            <c:idx val="1"/>
            <c:bubble3D val="0"/>
            <c:explosion val="4"/>
            <c:extLst>
              <c:ext xmlns:c16="http://schemas.microsoft.com/office/drawing/2014/chart" uri="{C3380CC4-5D6E-409C-BE32-E72D297353CC}">
                <c16:uniqueId val="{00000001-7309-4619-85F3-005E3C0F4BAC}"/>
              </c:ext>
            </c:extLst>
          </c:dPt>
          <c:dPt>
            <c:idx val="2"/>
            <c:bubble3D val="0"/>
            <c:explosion val="6"/>
            <c:extLst>
              <c:ext xmlns:c16="http://schemas.microsoft.com/office/drawing/2014/chart" uri="{C3380CC4-5D6E-409C-BE32-E72D297353CC}">
                <c16:uniqueId val="{00000032-856F-45E6-90B2-FBF882B3BC35}"/>
              </c:ext>
            </c:extLst>
          </c:dPt>
          <c:dPt>
            <c:idx val="3"/>
            <c:bubble3D val="0"/>
            <c:explosion val="6"/>
            <c:extLst>
              <c:ext xmlns:c16="http://schemas.microsoft.com/office/drawing/2014/chart" uri="{C3380CC4-5D6E-409C-BE32-E72D297353CC}">
                <c16:uniqueId val="{00000033-856F-45E6-90B2-FBF882B3BC35}"/>
              </c:ext>
            </c:extLst>
          </c:dPt>
          <c:dLbls>
            <c:dLbl>
              <c:idx val="0"/>
              <c:layout>
                <c:manualLayout>
                  <c:x val="-8.4726900954074688E-2"/>
                  <c:y val="0.134341684188458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1-856F-45E6-90B2-FBF882B3BC35}"/>
                </c:ext>
              </c:extLst>
            </c:dLbl>
            <c:dLbl>
              <c:idx val="2"/>
              <c:layout>
                <c:manualLayout>
                  <c:x val="-2.7616961136813709E-2"/>
                  <c:y val="-0.2536933470630188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2-856F-45E6-90B2-FBF882B3BC35}"/>
                </c:ext>
              </c:extLst>
            </c:dLbl>
            <c:dLbl>
              <c:idx val="3"/>
              <c:layout>
                <c:manualLayout>
                  <c:x val="0.11006619671722707"/>
                  <c:y val="0.1135745071803377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3-856F-45E6-90B2-FBF882B3BC35}"/>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'CHSŠ vek pohl znevýhod'!$C$109:$F$109</c:f>
              <c:strCache>
                <c:ptCount val="4"/>
                <c:pt idx="0">
                  <c:v>do 24 r. </c:v>
                </c:pt>
                <c:pt idx="1">
                  <c:v> 25-29 r.</c:v>
                </c:pt>
                <c:pt idx="2">
                  <c:v>30-49 r.</c:v>
                </c:pt>
                <c:pt idx="3">
                  <c:v>50 rokov a viac</c:v>
                </c:pt>
              </c:strCache>
            </c:strRef>
          </c:cat>
          <c:val>
            <c:numRef>
              <c:f>'CHSŠ vek pohl znevýhod'!$C$156:$F$156</c:f>
              <c:numCache>
                <c:formatCode>#,##0</c:formatCode>
                <c:ptCount val="4"/>
                <c:pt idx="0">
                  <c:v>178</c:v>
                </c:pt>
                <c:pt idx="1">
                  <c:v>89</c:v>
                </c:pt>
                <c:pt idx="2">
                  <c:v>424</c:v>
                </c:pt>
                <c:pt idx="3">
                  <c:v>291</c:v>
                </c:pt>
              </c:numCache>
            </c:numRef>
          </c:val>
          <c:extLst>
            <c:ext xmlns:c16="http://schemas.microsoft.com/office/drawing/2014/chart" uri="{C3380CC4-5D6E-409C-BE32-E72D297353CC}">
              <c16:uniqueId val="{00000034-856F-45E6-90B2-FBF882B3BC35}"/>
            </c:ext>
          </c:extLst>
        </c:ser>
        <c:dLbls>
          <c:showLegendKey val="0"/>
          <c:showVal val="0"/>
          <c:showCatName val="0"/>
          <c:showSerName val="0"/>
          <c:showPercent val="0"/>
          <c:showBubbleSize val="0"/>
          <c:showLeaderLines val="1"/>
        </c:dLbls>
      </c:pie3DChart>
    </c:plotArea>
    <c:legend>
      <c:legendPos val="r"/>
      <c:layout>
        <c:manualLayout>
          <c:xMode val="edge"/>
          <c:yMode val="edge"/>
          <c:x val="0.71997389454412919"/>
          <c:y val="0.17275783505384165"/>
          <c:w val="0.21402100302585966"/>
          <c:h val="0.63043036208598335"/>
        </c:manualLayout>
      </c:layout>
      <c:overlay val="0"/>
      <c:txPr>
        <a:bodyPr/>
        <a:lstStyle/>
        <a:p>
          <a:pPr rtl="0">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zaradených ZUoZ podľa znevýhodnenia</a:t>
            </a:r>
            <a:endParaRPr lang="en-US" sz="1200" b="1" i="0" u="none" strike="noStrike" kern="1200" baseline="0">
              <a:solidFill>
                <a:srgbClr val="002060"/>
              </a:solidFill>
              <a:latin typeface="+mn-lt"/>
              <a:ea typeface="+mn-ea"/>
              <a:cs typeface="+mn-cs"/>
            </a:endParaRPr>
          </a:p>
        </c:rich>
      </c:tx>
      <c:overlay val="0"/>
    </c:title>
    <c:autoTitleDeleted val="0"/>
    <c:plotArea>
      <c:layout>
        <c:manualLayout>
          <c:layoutTarget val="inner"/>
          <c:xMode val="edge"/>
          <c:yMode val="edge"/>
          <c:x val="0.10162868612011734"/>
          <c:y val="0.20475704785606463"/>
          <c:w val="0.87928852492537046"/>
          <c:h val="0.59308939323761001"/>
        </c:manualLayout>
      </c:layout>
      <c:barChart>
        <c:barDir val="col"/>
        <c:grouping val="clustered"/>
        <c:varyColors val="0"/>
        <c:ser>
          <c:idx val="0"/>
          <c:order val="0"/>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znevýhod'!$C$5:$J$5</c:f>
            </c:numRef>
          </c:val>
          <c:extLst>
            <c:ext xmlns:c16="http://schemas.microsoft.com/office/drawing/2014/chart" uri="{C3380CC4-5D6E-409C-BE32-E72D297353CC}">
              <c16:uniqueId val="{00000000-139C-4C34-9338-D2B52EB93936}"/>
            </c:ext>
          </c:extLst>
        </c:ser>
        <c:ser>
          <c:idx val="1"/>
          <c:order val="1"/>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znevýhod'!$C$6:$J$6</c:f>
            </c:numRef>
          </c:val>
          <c:extLst>
            <c:ext xmlns:c16="http://schemas.microsoft.com/office/drawing/2014/chart" uri="{C3380CC4-5D6E-409C-BE32-E72D297353CC}">
              <c16:uniqueId val="{00000001-139C-4C34-9338-D2B52EB93936}"/>
            </c:ext>
          </c:extLst>
        </c:ser>
        <c:ser>
          <c:idx val="2"/>
          <c:order val="2"/>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znevýhod'!$C$7:$J$7</c:f>
            </c:numRef>
          </c:val>
          <c:extLst>
            <c:ext xmlns:c16="http://schemas.microsoft.com/office/drawing/2014/chart" uri="{C3380CC4-5D6E-409C-BE32-E72D297353CC}">
              <c16:uniqueId val="{00000002-139C-4C34-9338-D2B52EB93936}"/>
            </c:ext>
          </c:extLst>
        </c:ser>
        <c:ser>
          <c:idx val="3"/>
          <c:order val="3"/>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znevýhod'!$C$8:$J$8</c:f>
            </c:numRef>
          </c:val>
          <c:extLst>
            <c:ext xmlns:c16="http://schemas.microsoft.com/office/drawing/2014/chart" uri="{C3380CC4-5D6E-409C-BE32-E72D297353CC}">
              <c16:uniqueId val="{00000003-139C-4C34-9338-D2B52EB93936}"/>
            </c:ext>
          </c:extLst>
        </c:ser>
        <c:ser>
          <c:idx val="4"/>
          <c:order val="4"/>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znevýhod'!$C$9:$J$9</c:f>
            </c:numRef>
          </c:val>
          <c:extLst>
            <c:ext xmlns:c16="http://schemas.microsoft.com/office/drawing/2014/chart" uri="{C3380CC4-5D6E-409C-BE32-E72D297353CC}">
              <c16:uniqueId val="{00000004-139C-4C34-9338-D2B52EB93936}"/>
            </c:ext>
          </c:extLst>
        </c:ser>
        <c:ser>
          <c:idx val="5"/>
          <c:order val="5"/>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znevýhod'!$C$10:$J$10</c:f>
            </c:numRef>
          </c:val>
          <c:extLst>
            <c:ext xmlns:c16="http://schemas.microsoft.com/office/drawing/2014/chart" uri="{C3380CC4-5D6E-409C-BE32-E72D297353CC}">
              <c16:uniqueId val="{00000005-139C-4C34-9338-D2B52EB93936}"/>
            </c:ext>
          </c:extLst>
        </c:ser>
        <c:ser>
          <c:idx val="6"/>
          <c:order val="6"/>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znevýhod'!$C$11:$J$11</c:f>
            </c:numRef>
          </c:val>
          <c:extLst>
            <c:ext xmlns:c16="http://schemas.microsoft.com/office/drawing/2014/chart" uri="{C3380CC4-5D6E-409C-BE32-E72D297353CC}">
              <c16:uniqueId val="{00000006-139C-4C34-9338-D2B52EB93936}"/>
            </c:ext>
          </c:extLst>
        </c:ser>
        <c:ser>
          <c:idx val="7"/>
          <c:order val="7"/>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znevýhod'!$C$12:$J$12</c:f>
            </c:numRef>
          </c:val>
          <c:extLst>
            <c:ext xmlns:c16="http://schemas.microsoft.com/office/drawing/2014/chart" uri="{C3380CC4-5D6E-409C-BE32-E72D297353CC}">
              <c16:uniqueId val="{00000007-139C-4C34-9338-D2B52EB93936}"/>
            </c:ext>
          </c:extLst>
        </c:ser>
        <c:ser>
          <c:idx val="8"/>
          <c:order val="8"/>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znevýhod'!$C$13:$J$13</c:f>
            </c:numRef>
          </c:val>
          <c:extLst>
            <c:ext xmlns:c16="http://schemas.microsoft.com/office/drawing/2014/chart" uri="{C3380CC4-5D6E-409C-BE32-E72D297353CC}">
              <c16:uniqueId val="{00000008-139C-4C34-9338-D2B52EB93936}"/>
            </c:ext>
          </c:extLst>
        </c:ser>
        <c:ser>
          <c:idx val="9"/>
          <c:order val="9"/>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znevýhod'!$C$14:$J$14</c:f>
            </c:numRef>
          </c:val>
          <c:extLst>
            <c:ext xmlns:c16="http://schemas.microsoft.com/office/drawing/2014/chart" uri="{C3380CC4-5D6E-409C-BE32-E72D297353CC}">
              <c16:uniqueId val="{00000009-139C-4C34-9338-D2B52EB93936}"/>
            </c:ext>
          </c:extLst>
        </c:ser>
        <c:ser>
          <c:idx val="10"/>
          <c:order val="10"/>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znevýhod'!$C$15:$J$15</c:f>
            </c:numRef>
          </c:val>
          <c:extLst>
            <c:ext xmlns:c16="http://schemas.microsoft.com/office/drawing/2014/chart" uri="{C3380CC4-5D6E-409C-BE32-E72D297353CC}">
              <c16:uniqueId val="{0000000A-139C-4C34-9338-D2B52EB93936}"/>
            </c:ext>
          </c:extLst>
        </c:ser>
        <c:ser>
          <c:idx val="11"/>
          <c:order val="11"/>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znevýhod'!$C$16:$J$16</c:f>
            </c:numRef>
          </c:val>
          <c:extLst>
            <c:ext xmlns:c16="http://schemas.microsoft.com/office/drawing/2014/chart" uri="{C3380CC4-5D6E-409C-BE32-E72D297353CC}">
              <c16:uniqueId val="{0000000B-139C-4C34-9338-D2B52EB93936}"/>
            </c:ext>
          </c:extLst>
        </c:ser>
        <c:ser>
          <c:idx val="12"/>
          <c:order val="12"/>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znevýhod'!$C$17:$J$17</c:f>
            </c:numRef>
          </c:val>
          <c:extLst>
            <c:ext xmlns:c16="http://schemas.microsoft.com/office/drawing/2014/chart" uri="{C3380CC4-5D6E-409C-BE32-E72D297353CC}">
              <c16:uniqueId val="{0000000C-139C-4C34-9338-D2B52EB93936}"/>
            </c:ext>
          </c:extLst>
        </c:ser>
        <c:ser>
          <c:idx val="13"/>
          <c:order val="13"/>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znevýhod'!$C$18:$J$18</c:f>
            </c:numRef>
          </c:val>
          <c:extLst>
            <c:ext xmlns:c16="http://schemas.microsoft.com/office/drawing/2014/chart" uri="{C3380CC4-5D6E-409C-BE32-E72D297353CC}">
              <c16:uniqueId val="{0000000D-139C-4C34-9338-D2B52EB93936}"/>
            </c:ext>
          </c:extLst>
        </c:ser>
        <c:ser>
          <c:idx val="14"/>
          <c:order val="14"/>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znevýhod'!$C$19:$J$19</c:f>
            </c:numRef>
          </c:val>
          <c:extLst>
            <c:ext xmlns:c16="http://schemas.microsoft.com/office/drawing/2014/chart" uri="{C3380CC4-5D6E-409C-BE32-E72D297353CC}">
              <c16:uniqueId val="{0000000E-139C-4C34-9338-D2B52EB93936}"/>
            </c:ext>
          </c:extLst>
        </c:ser>
        <c:ser>
          <c:idx val="15"/>
          <c:order val="15"/>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znevýhod'!$C$20:$J$20</c:f>
            </c:numRef>
          </c:val>
          <c:extLst>
            <c:ext xmlns:c16="http://schemas.microsoft.com/office/drawing/2014/chart" uri="{C3380CC4-5D6E-409C-BE32-E72D297353CC}">
              <c16:uniqueId val="{0000000F-139C-4C34-9338-D2B52EB93936}"/>
            </c:ext>
          </c:extLst>
        </c:ser>
        <c:ser>
          <c:idx val="16"/>
          <c:order val="16"/>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znevýhod'!$C$21:$J$21</c:f>
            </c:numRef>
          </c:val>
          <c:extLst>
            <c:ext xmlns:c16="http://schemas.microsoft.com/office/drawing/2014/chart" uri="{C3380CC4-5D6E-409C-BE32-E72D297353CC}">
              <c16:uniqueId val="{00000010-139C-4C34-9338-D2B52EB93936}"/>
            </c:ext>
          </c:extLst>
        </c:ser>
        <c:ser>
          <c:idx val="17"/>
          <c:order val="17"/>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znevýhod'!$C$22:$J$22</c:f>
            </c:numRef>
          </c:val>
          <c:extLst>
            <c:ext xmlns:c16="http://schemas.microsoft.com/office/drawing/2014/chart" uri="{C3380CC4-5D6E-409C-BE32-E72D297353CC}">
              <c16:uniqueId val="{00000011-139C-4C34-9338-D2B52EB93936}"/>
            </c:ext>
          </c:extLst>
        </c:ser>
        <c:ser>
          <c:idx val="18"/>
          <c:order val="18"/>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znevýhod'!$C$23:$J$23</c:f>
            </c:numRef>
          </c:val>
          <c:extLst>
            <c:ext xmlns:c16="http://schemas.microsoft.com/office/drawing/2014/chart" uri="{C3380CC4-5D6E-409C-BE32-E72D297353CC}">
              <c16:uniqueId val="{00000012-139C-4C34-9338-D2B52EB93936}"/>
            </c:ext>
          </c:extLst>
        </c:ser>
        <c:ser>
          <c:idx val="19"/>
          <c:order val="19"/>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znevýhod'!$C$24:$J$24</c:f>
            </c:numRef>
          </c:val>
          <c:extLst>
            <c:ext xmlns:c16="http://schemas.microsoft.com/office/drawing/2014/chart" uri="{C3380CC4-5D6E-409C-BE32-E72D297353CC}">
              <c16:uniqueId val="{00000013-139C-4C34-9338-D2B52EB93936}"/>
            </c:ext>
          </c:extLst>
        </c:ser>
        <c:ser>
          <c:idx val="20"/>
          <c:order val="20"/>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znevýhod'!$C$25:$J$25</c:f>
            </c:numRef>
          </c:val>
          <c:extLst>
            <c:ext xmlns:c16="http://schemas.microsoft.com/office/drawing/2014/chart" uri="{C3380CC4-5D6E-409C-BE32-E72D297353CC}">
              <c16:uniqueId val="{00000014-139C-4C34-9338-D2B52EB93936}"/>
            </c:ext>
          </c:extLst>
        </c:ser>
        <c:ser>
          <c:idx val="21"/>
          <c:order val="21"/>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znevýhod'!$C$26:$J$26</c:f>
            </c:numRef>
          </c:val>
          <c:extLst>
            <c:ext xmlns:c16="http://schemas.microsoft.com/office/drawing/2014/chart" uri="{C3380CC4-5D6E-409C-BE32-E72D297353CC}">
              <c16:uniqueId val="{00000015-139C-4C34-9338-D2B52EB93936}"/>
            </c:ext>
          </c:extLst>
        </c:ser>
        <c:ser>
          <c:idx val="22"/>
          <c:order val="22"/>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znevýhod'!$C$27:$J$27</c:f>
            </c:numRef>
          </c:val>
          <c:extLst>
            <c:ext xmlns:c16="http://schemas.microsoft.com/office/drawing/2014/chart" uri="{C3380CC4-5D6E-409C-BE32-E72D297353CC}">
              <c16:uniqueId val="{00000016-139C-4C34-9338-D2B52EB93936}"/>
            </c:ext>
          </c:extLst>
        </c:ser>
        <c:ser>
          <c:idx val="23"/>
          <c:order val="23"/>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znevýhod'!$C$28:$J$28</c:f>
            </c:numRef>
          </c:val>
          <c:extLst>
            <c:ext xmlns:c16="http://schemas.microsoft.com/office/drawing/2014/chart" uri="{C3380CC4-5D6E-409C-BE32-E72D297353CC}">
              <c16:uniqueId val="{00000017-139C-4C34-9338-D2B52EB93936}"/>
            </c:ext>
          </c:extLst>
        </c:ser>
        <c:ser>
          <c:idx val="24"/>
          <c:order val="24"/>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znevýhod'!$C$29:$J$29</c:f>
            </c:numRef>
          </c:val>
          <c:extLst>
            <c:ext xmlns:c16="http://schemas.microsoft.com/office/drawing/2014/chart" uri="{C3380CC4-5D6E-409C-BE32-E72D297353CC}">
              <c16:uniqueId val="{00000018-139C-4C34-9338-D2B52EB93936}"/>
            </c:ext>
          </c:extLst>
        </c:ser>
        <c:ser>
          <c:idx val="25"/>
          <c:order val="25"/>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znevýhod'!$C$30:$J$30</c:f>
            </c:numRef>
          </c:val>
          <c:extLst>
            <c:ext xmlns:c16="http://schemas.microsoft.com/office/drawing/2014/chart" uri="{C3380CC4-5D6E-409C-BE32-E72D297353CC}">
              <c16:uniqueId val="{00000019-139C-4C34-9338-D2B52EB93936}"/>
            </c:ext>
          </c:extLst>
        </c:ser>
        <c:ser>
          <c:idx val="26"/>
          <c:order val="26"/>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znevýhod'!$C$31:$J$31</c:f>
            </c:numRef>
          </c:val>
          <c:extLst>
            <c:ext xmlns:c16="http://schemas.microsoft.com/office/drawing/2014/chart" uri="{C3380CC4-5D6E-409C-BE32-E72D297353CC}">
              <c16:uniqueId val="{0000001A-139C-4C34-9338-D2B52EB93936}"/>
            </c:ext>
          </c:extLst>
        </c:ser>
        <c:ser>
          <c:idx val="27"/>
          <c:order val="27"/>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znevýhod'!$C$32:$J$32</c:f>
            </c:numRef>
          </c:val>
          <c:extLst>
            <c:ext xmlns:c16="http://schemas.microsoft.com/office/drawing/2014/chart" uri="{C3380CC4-5D6E-409C-BE32-E72D297353CC}">
              <c16:uniqueId val="{0000001B-139C-4C34-9338-D2B52EB93936}"/>
            </c:ext>
          </c:extLst>
        </c:ser>
        <c:ser>
          <c:idx val="28"/>
          <c:order val="28"/>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znevýhod'!$C$33:$J$33</c:f>
            </c:numRef>
          </c:val>
          <c:extLst>
            <c:ext xmlns:c16="http://schemas.microsoft.com/office/drawing/2014/chart" uri="{C3380CC4-5D6E-409C-BE32-E72D297353CC}">
              <c16:uniqueId val="{0000001C-139C-4C34-9338-D2B52EB93936}"/>
            </c:ext>
          </c:extLst>
        </c:ser>
        <c:ser>
          <c:idx val="29"/>
          <c:order val="29"/>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znevýhod'!$C$34:$J$34</c:f>
            </c:numRef>
          </c:val>
          <c:extLst>
            <c:ext xmlns:c16="http://schemas.microsoft.com/office/drawing/2014/chart" uri="{C3380CC4-5D6E-409C-BE32-E72D297353CC}">
              <c16:uniqueId val="{0000001D-139C-4C34-9338-D2B52EB93936}"/>
            </c:ext>
          </c:extLst>
        </c:ser>
        <c:ser>
          <c:idx val="30"/>
          <c:order val="30"/>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znevýhod'!$C$35:$J$35</c:f>
            </c:numRef>
          </c:val>
          <c:extLst>
            <c:ext xmlns:c16="http://schemas.microsoft.com/office/drawing/2014/chart" uri="{C3380CC4-5D6E-409C-BE32-E72D297353CC}">
              <c16:uniqueId val="{0000001E-139C-4C34-9338-D2B52EB93936}"/>
            </c:ext>
          </c:extLst>
        </c:ser>
        <c:ser>
          <c:idx val="31"/>
          <c:order val="31"/>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znevýhod'!$C$36:$J$36</c:f>
            </c:numRef>
          </c:val>
          <c:extLst>
            <c:ext xmlns:c16="http://schemas.microsoft.com/office/drawing/2014/chart" uri="{C3380CC4-5D6E-409C-BE32-E72D297353CC}">
              <c16:uniqueId val="{0000001F-139C-4C34-9338-D2B52EB93936}"/>
            </c:ext>
          </c:extLst>
        </c:ser>
        <c:ser>
          <c:idx val="32"/>
          <c:order val="32"/>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znevýhod'!$C$37:$J$37</c:f>
            </c:numRef>
          </c:val>
          <c:extLst>
            <c:ext xmlns:c16="http://schemas.microsoft.com/office/drawing/2014/chart" uri="{C3380CC4-5D6E-409C-BE32-E72D297353CC}">
              <c16:uniqueId val="{00000020-139C-4C34-9338-D2B52EB93936}"/>
            </c:ext>
          </c:extLst>
        </c:ser>
        <c:ser>
          <c:idx val="33"/>
          <c:order val="33"/>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znevýhod'!$C$38:$J$38</c:f>
            </c:numRef>
          </c:val>
          <c:extLst>
            <c:ext xmlns:c16="http://schemas.microsoft.com/office/drawing/2014/chart" uri="{C3380CC4-5D6E-409C-BE32-E72D297353CC}">
              <c16:uniqueId val="{00000021-139C-4C34-9338-D2B52EB93936}"/>
            </c:ext>
          </c:extLst>
        </c:ser>
        <c:ser>
          <c:idx val="34"/>
          <c:order val="34"/>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znevýhod'!$C$39:$J$39</c:f>
            </c:numRef>
          </c:val>
          <c:extLst>
            <c:ext xmlns:c16="http://schemas.microsoft.com/office/drawing/2014/chart" uri="{C3380CC4-5D6E-409C-BE32-E72D297353CC}">
              <c16:uniqueId val="{00000022-139C-4C34-9338-D2B52EB93936}"/>
            </c:ext>
          </c:extLst>
        </c:ser>
        <c:ser>
          <c:idx val="35"/>
          <c:order val="35"/>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znevýhod'!$C$40:$J$40</c:f>
            </c:numRef>
          </c:val>
          <c:extLst>
            <c:ext xmlns:c16="http://schemas.microsoft.com/office/drawing/2014/chart" uri="{C3380CC4-5D6E-409C-BE32-E72D297353CC}">
              <c16:uniqueId val="{00000023-139C-4C34-9338-D2B52EB93936}"/>
            </c:ext>
          </c:extLst>
        </c:ser>
        <c:ser>
          <c:idx val="36"/>
          <c:order val="36"/>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znevýhod'!$C$41:$J$41</c:f>
            </c:numRef>
          </c:val>
          <c:extLst>
            <c:ext xmlns:c16="http://schemas.microsoft.com/office/drawing/2014/chart" uri="{C3380CC4-5D6E-409C-BE32-E72D297353CC}">
              <c16:uniqueId val="{00000024-139C-4C34-9338-D2B52EB93936}"/>
            </c:ext>
          </c:extLst>
        </c:ser>
        <c:ser>
          <c:idx val="37"/>
          <c:order val="37"/>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znevýhod'!$C$42:$J$42</c:f>
            </c:numRef>
          </c:val>
          <c:extLst>
            <c:ext xmlns:c16="http://schemas.microsoft.com/office/drawing/2014/chart" uri="{C3380CC4-5D6E-409C-BE32-E72D297353CC}">
              <c16:uniqueId val="{00000025-139C-4C34-9338-D2B52EB93936}"/>
            </c:ext>
          </c:extLst>
        </c:ser>
        <c:ser>
          <c:idx val="38"/>
          <c:order val="38"/>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znevýhod'!$C$43:$J$43</c:f>
            </c:numRef>
          </c:val>
          <c:extLst>
            <c:ext xmlns:c16="http://schemas.microsoft.com/office/drawing/2014/chart" uri="{C3380CC4-5D6E-409C-BE32-E72D297353CC}">
              <c16:uniqueId val="{00000026-139C-4C34-9338-D2B52EB93936}"/>
            </c:ext>
          </c:extLst>
        </c:ser>
        <c:ser>
          <c:idx val="39"/>
          <c:order val="39"/>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znevýhod'!$C$44:$J$44</c:f>
            </c:numRef>
          </c:val>
          <c:extLst>
            <c:ext xmlns:c16="http://schemas.microsoft.com/office/drawing/2014/chart" uri="{C3380CC4-5D6E-409C-BE32-E72D297353CC}">
              <c16:uniqueId val="{00000027-139C-4C34-9338-D2B52EB93936}"/>
            </c:ext>
          </c:extLst>
        </c:ser>
        <c:ser>
          <c:idx val="40"/>
          <c:order val="40"/>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znevýhod'!$C$45:$J$45</c:f>
            </c:numRef>
          </c:val>
          <c:extLst>
            <c:ext xmlns:c16="http://schemas.microsoft.com/office/drawing/2014/chart" uri="{C3380CC4-5D6E-409C-BE32-E72D297353CC}">
              <c16:uniqueId val="{00000028-139C-4C34-9338-D2B52EB93936}"/>
            </c:ext>
          </c:extLst>
        </c:ser>
        <c:ser>
          <c:idx val="41"/>
          <c:order val="41"/>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znevýhod'!$C$46:$J$46</c:f>
            </c:numRef>
          </c:val>
          <c:extLst>
            <c:ext xmlns:c16="http://schemas.microsoft.com/office/drawing/2014/chart" uri="{C3380CC4-5D6E-409C-BE32-E72D297353CC}">
              <c16:uniqueId val="{00000029-139C-4C34-9338-D2B52EB93936}"/>
            </c:ext>
          </c:extLst>
        </c:ser>
        <c:ser>
          <c:idx val="42"/>
          <c:order val="42"/>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znevýhod'!$C$47:$J$47</c:f>
            </c:numRef>
          </c:val>
          <c:extLst>
            <c:ext xmlns:c16="http://schemas.microsoft.com/office/drawing/2014/chart" uri="{C3380CC4-5D6E-409C-BE32-E72D297353CC}">
              <c16:uniqueId val="{0000002A-139C-4C34-9338-D2B52EB93936}"/>
            </c:ext>
          </c:extLst>
        </c:ser>
        <c:ser>
          <c:idx val="43"/>
          <c:order val="43"/>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znevýhod'!$C$48:$J$48</c:f>
            </c:numRef>
          </c:val>
          <c:extLst>
            <c:ext xmlns:c16="http://schemas.microsoft.com/office/drawing/2014/chart" uri="{C3380CC4-5D6E-409C-BE32-E72D297353CC}">
              <c16:uniqueId val="{0000002B-139C-4C34-9338-D2B52EB93936}"/>
            </c:ext>
          </c:extLst>
        </c:ser>
        <c:ser>
          <c:idx val="44"/>
          <c:order val="44"/>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znevýhod'!$C$49:$J$49</c:f>
            </c:numRef>
          </c:val>
          <c:extLst>
            <c:ext xmlns:c16="http://schemas.microsoft.com/office/drawing/2014/chart" uri="{C3380CC4-5D6E-409C-BE32-E72D297353CC}">
              <c16:uniqueId val="{0000002C-139C-4C34-9338-D2B52EB93936}"/>
            </c:ext>
          </c:extLst>
        </c:ser>
        <c:ser>
          <c:idx val="45"/>
          <c:order val="45"/>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znevýhod'!$C$50:$J$50</c:f>
            </c:numRef>
          </c:val>
          <c:extLst>
            <c:ext xmlns:c16="http://schemas.microsoft.com/office/drawing/2014/chart" uri="{C3380CC4-5D6E-409C-BE32-E72D297353CC}">
              <c16:uniqueId val="{0000002D-139C-4C34-9338-D2B52EB93936}"/>
            </c:ext>
          </c:extLst>
        </c:ser>
        <c:ser>
          <c:idx val="46"/>
          <c:order val="46"/>
          <c:tx>
            <c:v>Počet UoZ</c:v>
          </c:tx>
          <c:spPr>
            <a:solidFill>
              <a:srgbClr val="CC3300"/>
            </a:solidFill>
          </c:spPr>
          <c:invertIfNegative val="0"/>
          <c:cat>
            <c:strRef>
              <c:f>'CHSŠ vek pohl znevýhod'!$C$4:$J$4</c:f>
              <c:strCache>
                <c:ptCount val="8"/>
                <c:pt idx="0">
                  <c:v>absolvent školy</c:v>
                </c:pt>
                <c:pt idx="1">
                  <c:v>starší ako 50 rokov</c:v>
                </c:pt>
                <c:pt idx="2">
                  <c:v>dlhodobo nezamestnaný</c:v>
                </c:pt>
                <c:pt idx="3">
                  <c:v>s nišžím vzdelaním ako stredné odborné</c:v>
                </c:pt>
                <c:pt idx="4">
                  <c:v>nemal 12 mesiacov pred zaradením pravidelne platené zamestnanie</c:v>
                </c:pt>
                <c:pt idx="5">
                  <c:v>osamelá osoba/rodič </c:v>
                </c:pt>
                <c:pt idx="6">
                  <c:v>so zdravotným postihnutím</c:v>
                </c:pt>
                <c:pt idx="7">
                  <c:v>ukončil poberanie materského alebo rodičovského príspevku</c:v>
                </c:pt>
              </c:strCache>
            </c:strRef>
          </c:cat>
          <c:val>
            <c:numRef>
              <c:f>'CHSŠ vek pohl znevýhod'!$C$51:$J$51</c:f>
              <c:numCache>
                <c:formatCode>#,##0</c:formatCode>
                <c:ptCount val="8"/>
                <c:pt idx="0">
                  <c:v>107</c:v>
                </c:pt>
                <c:pt idx="1">
                  <c:v>291</c:v>
                </c:pt>
                <c:pt idx="2">
                  <c:v>373</c:v>
                </c:pt>
                <c:pt idx="3">
                  <c:v>185</c:v>
                </c:pt>
                <c:pt idx="4">
                  <c:v>540</c:v>
                </c:pt>
                <c:pt idx="5">
                  <c:v>16</c:v>
                </c:pt>
                <c:pt idx="6">
                  <c:v>51</c:v>
                </c:pt>
                <c:pt idx="7">
                  <c:v>13</c:v>
                </c:pt>
              </c:numCache>
            </c:numRef>
          </c:val>
          <c:extLst>
            <c:ext xmlns:c16="http://schemas.microsoft.com/office/drawing/2014/chart" uri="{C3380CC4-5D6E-409C-BE32-E72D297353CC}">
              <c16:uniqueId val="{0000002E-139C-4C34-9338-D2B52EB93936}"/>
            </c:ext>
          </c:extLst>
        </c:ser>
        <c:dLbls>
          <c:showLegendKey val="0"/>
          <c:showVal val="0"/>
          <c:showCatName val="0"/>
          <c:showSerName val="0"/>
          <c:showPercent val="0"/>
          <c:showBubbleSize val="0"/>
        </c:dLbls>
        <c:gapWidth val="150"/>
        <c:axId val="220529792"/>
        <c:axId val="220531328"/>
      </c:barChart>
      <c:catAx>
        <c:axId val="220529792"/>
        <c:scaling>
          <c:orientation val="minMax"/>
        </c:scaling>
        <c:delete val="0"/>
        <c:axPos val="b"/>
        <c:numFmt formatCode="General" sourceLinked="1"/>
        <c:majorTickMark val="out"/>
        <c:minorTickMark val="none"/>
        <c:tickLblPos val="nextTo"/>
        <c:txPr>
          <a:bodyPr/>
          <a:lstStyle/>
          <a:p>
            <a:pPr>
              <a:defRPr lang="sk-SK"/>
            </a:pPr>
            <a:endParaRPr lang="sk-SK"/>
          </a:p>
        </c:txPr>
        <c:crossAx val="220531328"/>
        <c:crosses val="autoZero"/>
        <c:auto val="0"/>
        <c:lblAlgn val="ctr"/>
        <c:lblOffset val="100"/>
        <c:noMultiLvlLbl val="0"/>
      </c:catAx>
      <c:valAx>
        <c:axId val="220531328"/>
        <c:scaling>
          <c:orientation val="minMax"/>
        </c:scaling>
        <c:delete val="0"/>
        <c:axPos val="l"/>
        <c:numFmt formatCode="#,##0" sourceLinked="1"/>
        <c:majorTickMark val="out"/>
        <c:minorTickMark val="none"/>
        <c:tickLblPos val="nextTo"/>
        <c:txPr>
          <a:bodyPr/>
          <a:lstStyle/>
          <a:p>
            <a:pPr>
              <a:defRPr lang="sk-SK" sz="800"/>
            </a:pPr>
            <a:endParaRPr lang="sk-SK"/>
          </a:p>
        </c:txPr>
        <c:crossAx val="220529792"/>
        <c:crosses val="autoZero"/>
        <c:crossBetween val="between"/>
      </c:valAx>
      <c:dTable>
        <c:showHorzBorder val="1"/>
        <c:showVertBorder val="1"/>
        <c:showOutline val="1"/>
        <c:showKeys val="0"/>
        <c:txPr>
          <a:bodyPr/>
          <a:lstStyle/>
          <a:p>
            <a:pPr rtl="0">
              <a:defRPr lang="sk-SK" sz="600"/>
            </a:pPr>
            <a:endParaRPr lang="sk-SK"/>
          </a:p>
        </c:txPr>
      </c:dTable>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u="none" strike="noStrike" kern="1200" baseline="0">
                <a:solidFill>
                  <a:sysClr val="windowText" lastClr="000000"/>
                </a:solidFill>
                <a:effectLst/>
                <a:latin typeface="+mn-lt"/>
                <a:ea typeface="+mn-ea"/>
                <a:cs typeface="+mn-cs"/>
              </a:rPr>
              <a:t>Štruktúra</a:t>
            </a:r>
            <a:r>
              <a:rPr lang="sk-SK" sz="1200"/>
              <a:t> </a:t>
            </a:r>
            <a:r>
              <a:rPr lang="sk-SK" sz="1200" b="1" i="0" u="none" strike="noStrike" kern="1200" baseline="0">
                <a:solidFill>
                  <a:sysClr val="windowText" lastClr="000000"/>
                </a:solidFill>
                <a:effectLst/>
                <a:latin typeface="+mn-lt"/>
                <a:ea typeface="+mn-ea"/>
                <a:cs typeface="+mn-cs"/>
              </a:rPr>
              <a:t>zaradených ZUoZ</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podľa</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dosiahnutého</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stupňa</a:t>
            </a:r>
            <a:r>
              <a:rPr lang="sk-SK" sz="1200" b="1" i="0" u="none" strike="noStrike" baseline="0">
                <a:effectLst/>
              </a:rPr>
              <a:t> </a:t>
            </a:r>
            <a:r>
              <a:rPr lang="sk-SK" sz="1200" b="1" i="0" u="none" strike="noStrike" kern="1200" baseline="0">
                <a:solidFill>
                  <a:sysClr val="windowText" lastClr="000000"/>
                </a:solidFill>
                <a:effectLst/>
                <a:latin typeface="+mn-lt"/>
                <a:ea typeface="+mn-ea"/>
                <a:cs typeface="+mn-cs"/>
              </a:rPr>
              <a:t>vzdelania</a:t>
            </a:r>
          </a:p>
        </c:rich>
      </c:tx>
      <c:layout>
        <c:manualLayout>
          <c:xMode val="edge"/>
          <c:yMode val="edge"/>
          <c:x val="0.14016705150840303"/>
          <c:y val="4.5749142203583684E-2"/>
        </c:manualLayout>
      </c:layout>
      <c:overlay val="0"/>
    </c:title>
    <c:autoTitleDeleted val="0"/>
    <c:view3D>
      <c:rotX val="20"/>
      <c:rotY val="0"/>
      <c:depthPercent val="100"/>
      <c:rAngAx val="0"/>
      <c:perspective val="0"/>
    </c:view3D>
    <c:floor>
      <c:thickness val="0"/>
    </c:floor>
    <c:sideWall>
      <c:thickness val="0"/>
    </c:sideWall>
    <c:backWall>
      <c:thickness val="0"/>
    </c:backWall>
    <c:plotArea>
      <c:layout>
        <c:manualLayout>
          <c:layoutTarget val="inner"/>
          <c:xMode val="edge"/>
          <c:yMode val="edge"/>
          <c:x val="0.11493738559432838"/>
          <c:y val="0.18756217710681708"/>
          <c:w val="0.4367884202232481"/>
          <c:h val="0.76494126758745318"/>
        </c:manualLayout>
      </c:layout>
      <c:pie3DChart>
        <c:varyColors val="1"/>
        <c:ser>
          <c:idx val="0"/>
          <c:order val="0"/>
          <c:explosion val="6"/>
          <c:dLbls>
            <c:dLbl>
              <c:idx val="0"/>
              <c:layout>
                <c:manualLayout>
                  <c:x val="4.5726889413405483E-2"/>
                  <c:y val="-4.46309711286089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ABB-4144-A35C-68E1ADA870FB}"/>
                </c:ext>
              </c:extLst>
            </c:dLbl>
            <c:dLbl>
              <c:idx val="1"/>
              <c:layout>
                <c:manualLayout>
                  <c:x val="-0.11109207317177387"/>
                  <c:y val="4.91594050743657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BB-4144-A35C-68E1ADA870FB}"/>
                </c:ext>
              </c:extLst>
            </c:dLbl>
            <c:dLbl>
              <c:idx val="2"/>
              <c:layout>
                <c:manualLayout>
                  <c:x val="1.4436436166121735E-2"/>
                  <c:y val="-2.54008748906386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ABB-4144-A35C-68E1ADA870FB}"/>
                </c:ext>
              </c:extLst>
            </c:dLbl>
            <c:dLbl>
              <c:idx val="3"/>
              <c:layout>
                <c:manualLayout>
                  <c:x val="-0.10705311499618014"/>
                  <c:y val="-0.122811198600174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BB-4144-A35C-68E1ADA870FB}"/>
                </c:ext>
              </c:extLst>
            </c:dLbl>
            <c:dLbl>
              <c:idx val="4"/>
              <c:layout>
                <c:manualLayout>
                  <c:x val="0.12066258295746461"/>
                  <c:y val="-0.138576727909011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ABB-4144-A35C-68E1ADA870FB}"/>
                </c:ext>
              </c:extLst>
            </c:dLbl>
            <c:dLbl>
              <c:idx val="6"/>
              <c:layout>
                <c:manualLayout>
                  <c:x val="-5.8257632599484868E-2"/>
                  <c:y val="-4.9142257217847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ABB-4144-A35C-68E1ADA870FB}"/>
                </c:ext>
              </c:extLst>
            </c:dLbl>
            <c:dLbl>
              <c:idx val="7"/>
              <c:layout>
                <c:manualLayout>
                  <c:x val="-1.6659004014773819E-2"/>
                  <c:y val="-0.129723534558180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ABB-4144-A35C-68E1ADA870FB}"/>
                </c:ext>
              </c:extLst>
            </c:dLbl>
            <c:dLbl>
              <c:idx val="9"/>
              <c:layout>
                <c:manualLayout>
                  <c:x val="-5.5033336808588094E-2"/>
                  <c:y val="-5.27128608923884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ABB-4144-A35C-68E1ADA870FB}"/>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znevýhod'!$C$178:$M$178</c:f>
            </c:numRef>
          </c:val>
          <c:extLst>
            <c:ext xmlns:c16="http://schemas.microsoft.com/office/drawing/2014/chart" uri="{C3380CC4-5D6E-409C-BE32-E72D297353CC}">
              <c16:uniqueId val="{00000008-3ABB-4144-A35C-68E1ADA870FB}"/>
            </c:ext>
          </c:extLst>
        </c:ser>
        <c:ser>
          <c:idx val="1"/>
          <c:order val="1"/>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znevýhod'!$C$179:$M$179</c:f>
            </c:numRef>
          </c:val>
          <c:extLst>
            <c:ext xmlns:c16="http://schemas.microsoft.com/office/drawing/2014/chart" uri="{C3380CC4-5D6E-409C-BE32-E72D297353CC}">
              <c16:uniqueId val="{00000009-3ABB-4144-A35C-68E1ADA870FB}"/>
            </c:ext>
          </c:extLst>
        </c:ser>
        <c:ser>
          <c:idx val="2"/>
          <c:order val="2"/>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znevýhod'!$C$180:$M$180</c:f>
            </c:numRef>
          </c:val>
          <c:extLst>
            <c:ext xmlns:c16="http://schemas.microsoft.com/office/drawing/2014/chart" uri="{C3380CC4-5D6E-409C-BE32-E72D297353CC}">
              <c16:uniqueId val="{0000000A-3ABB-4144-A35C-68E1ADA870FB}"/>
            </c:ext>
          </c:extLst>
        </c:ser>
        <c:ser>
          <c:idx val="3"/>
          <c:order val="3"/>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znevýhod'!$C$181:$M$181</c:f>
            </c:numRef>
          </c:val>
          <c:extLst>
            <c:ext xmlns:c16="http://schemas.microsoft.com/office/drawing/2014/chart" uri="{C3380CC4-5D6E-409C-BE32-E72D297353CC}">
              <c16:uniqueId val="{0000000B-3ABB-4144-A35C-68E1ADA870FB}"/>
            </c:ext>
          </c:extLst>
        </c:ser>
        <c:ser>
          <c:idx val="4"/>
          <c:order val="4"/>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znevýhod'!$C$182:$M$182</c:f>
            </c:numRef>
          </c:val>
          <c:extLst>
            <c:ext xmlns:c16="http://schemas.microsoft.com/office/drawing/2014/chart" uri="{C3380CC4-5D6E-409C-BE32-E72D297353CC}">
              <c16:uniqueId val="{0000000C-3ABB-4144-A35C-68E1ADA870FB}"/>
            </c:ext>
          </c:extLst>
        </c:ser>
        <c:ser>
          <c:idx val="5"/>
          <c:order val="5"/>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znevýhod'!$C$183:$M$183</c:f>
            </c:numRef>
          </c:val>
          <c:extLst>
            <c:ext xmlns:c16="http://schemas.microsoft.com/office/drawing/2014/chart" uri="{C3380CC4-5D6E-409C-BE32-E72D297353CC}">
              <c16:uniqueId val="{0000000D-3ABB-4144-A35C-68E1ADA870FB}"/>
            </c:ext>
          </c:extLst>
        </c:ser>
        <c:ser>
          <c:idx val="6"/>
          <c:order val="6"/>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znevýhod'!$C$184:$M$184</c:f>
            </c:numRef>
          </c:val>
          <c:extLst>
            <c:ext xmlns:c16="http://schemas.microsoft.com/office/drawing/2014/chart" uri="{C3380CC4-5D6E-409C-BE32-E72D297353CC}">
              <c16:uniqueId val="{0000000E-3ABB-4144-A35C-68E1ADA870FB}"/>
            </c:ext>
          </c:extLst>
        </c:ser>
        <c:ser>
          <c:idx val="7"/>
          <c:order val="7"/>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znevýhod'!$C$185:$M$185</c:f>
            </c:numRef>
          </c:val>
          <c:extLst>
            <c:ext xmlns:c16="http://schemas.microsoft.com/office/drawing/2014/chart" uri="{C3380CC4-5D6E-409C-BE32-E72D297353CC}">
              <c16:uniqueId val="{0000000F-3ABB-4144-A35C-68E1ADA870FB}"/>
            </c:ext>
          </c:extLst>
        </c:ser>
        <c:ser>
          <c:idx val="8"/>
          <c:order val="8"/>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znevýhod'!$C$186:$M$186</c:f>
            </c:numRef>
          </c:val>
          <c:extLst>
            <c:ext xmlns:c16="http://schemas.microsoft.com/office/drawing/2014/chart" uri="{C3380CC4-5D6E-409C-BE32-E72D297353CC}">
              <c16:uniqueId val="{00000010-3ABB-4144-A35C-68E1ADA870FB}"/>
            </c:ext>
          </c:extLst>
        </c:ser>
        <c:ser>
          <c:idx val="9"/>
          <c:order val="9"/>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znevýhod'!$C$187:$M$187</c:f>
            </c:numRef>
          </c:val>
          <c:extLst>
            <c:ext xmlns:c16="http://schemas.microsoft.com/office/drawing/2014/chart" uri="{C3380CC4-5D6E-409C-BE32-E72D297353CC}">
              <c16:uniqueId val="{00000011-3ABB-4144-A35C-68E1ADA870FB}"/>
            </c:ext>
          </c:extLst>
        </c:ser>
        <c:ser>
          <c:idx val="10"/>
          <c:order val="10"/>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znevýhod'!$C$188:$M$188</c:f>
            </c:numRef>
          </c:val>
          <c:extLst>
            <c:ext xmlns:c16="http://schemas.microsoft.com/office/drawing/2014/chart" uri="{C3380CC4-5D6E-409C-BE32-E72D297353CC}">
              <c16:uniqueId val="{00000012-3ABB-4144-A35C-68E1ADA870FB}"/>
            </c:ext>
          </c:extLst>
        </c:ser>
        <c:ser>
          <c:idx val="11"/>
          <c:order val="11"/>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znevýhod'!$C$189:$M$189</c:f>
            </c:numRef>
          </c:val>
          <c:extLst>
            <c:ext xmlns:c16="http://schemas.microsoft.com/office/drawing/2014/chart" uri="{C3380CC4-5D6E-409C-BE32-E72D297353CC}">
              <c16:uniqueId val="{00000013-3ABB-4144-A35C-68E1ADA870FB}"/>
            </c:ext>
          </c:extLst>
        </c:ser>
        <c:ser>
          <c:idx val="12"/>
          <c:order val="12"/>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znevýhod'!$C$190:$M$190</c:f>
            </c:numRef>
          </c:val>
          <c:extLst>
            <c:ext xmlns:c16="http://schemas.microsoft.com/office/drawing/2014/chart" uri="{C3380CC4-5D6E-409C-BE32-E72D297353CC}">
              <c16:uniqueId val="{00000014-3ABB-4144-A35C-68E1ADA870FB}"/>
            </c:ext>
          </c:extLst>
        </c:ser>
        <c:ser>
          <c:idx val="13"/>
          <c:order val="13"/>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znevýhod'!$C$191:$M$191</c:f>
            </c:numRef>
          </c:val>
          <c:extLst>
            <c:ext xmlns:c16="http://schemas.microsoft.com/office/drawing/2014/chart" uri="{C3380CC4-5D6E-409C-BE32-E72D297353CC}">
              <c16:uniqueId val="{00000015-3ABB-4144-A35C-68E1ADA870FB}"/>
            </c:ext>
          </c:extLst>
        </c:ser>
        <c:ser>
          <c:idx val="14"/>
          <c:order val="14"/>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znevýhod'!$C$192:$M$192</c:f>
            </c:numRef>
          </c:val>
          <c:extLst>
            <c:ext xmlns:c16="http://schemas.microsoft.com/office/drawing/2014/chart" uri="{C3380CC4-5D6E-409C-BE32-E72D297353CC}">
              <c16:uniqueId val="{00000016-3ABB-4144-A35C-68E1ADA870FB}"/>
            </c:ext>
          </c:extLst>
        </c:ser>
        <c:ser>
          <c:idx val="15"/>
          <c:order val="15"/>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znevýhod'!$C$193:$M$193</c:f>
            </c:numRef>
          </c:val>
          <c:extLst>
            <c:ext xmlns:c16="http://schemas.microsoft.com/office/drawing/2014/chart" uri="{C3380CC4-5D6E-409C-BE32-E72D297353CC}">
              <c16:uniqueId val="{00000017-3ABB-4144-A35C-68E1ADA870FB}"/>
            </c:ext>
          </c:extLst>
        </c:ser>
        <c:ser>
          <c:idx val="16"/>
          <c:order val="16"/>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znevýhod'!$C$194:$M$194</c:f>
            </c:numRef>
          </c:val>
          <c:extLst>
            <c:ext xmlns:c16="http://schemas.microsoft.com/office/drawing/2014/chart" uri="{C3380CC4-5D6E-409C-BE32-E72D297353CC}">
              <c16:uniqueId val="{00000018-3ABB-4144-A35C-68E1ADA870FB}"/>
            </c:ext>
          </c:extLst>
        </c:ser>
        <c:ser>
          <c:idx val="17"/>
          <c:order val="17"/>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znevýhod'!$C$195:$M$195</c:f>
            </c:numRef>
          </c:val>
          <c:extLst>
            <c:ext xmlns:c16="http://schemas.microsoft.com/office/drawing/2014/chart" uri="{C3380CC4-5D6E-409C-BE32-E72D297353CC}">
              <c16:uniqueId val="{00000019-3ABB-4144-A35C-68E1ADA870FB}"/>
            </c:ext>
          </c:extLst>
        </c:ser>
        <c:ser>
          <c:idx val="18"/>
          <c:order val="18"/>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znevýhod'!$C$196:$M$196</c:f>
            </c:numRef>
          </c:val>
          <c:extLst>
            <c:ext xmlns:c16="http://schemas.microsoft.com/office/drawing/2014/chart" uri="{C3380CC4-5D6E-409C-BE32-E72D297353CC}">
              <c16:uniqueId val="{0000001A-3ABB-4144-A35C-68E1ADA870FB}"/>
            </c:ext>
          </c:extLst>
        </c:ser>
        <c:ser>
          <c:idx val="19"/>
          <c:order val="19"/>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znevýhod'!$C$197:$M$197</c:f>
            </c:numRef>
          </c:val>
          <c:extLst>
            <c:ext xmlns:c16="http://schemas.microsoft.com/office/drawing/2014/chart" uri="{C3380CC4-5D6E-409C-BE32-E72D297353CC}">
              <c16:uniqueId val="{0000001B-3ABB-4144-A35C-68E1ADA870FB}"/>
            </c:ext>
          </c:extLst>
        </c:ser>
        <c:ser>
          <c:idx val="20"/>
          <c:order val="20"/>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znevýhod'!$C$198:$M$198</c:f>
            </c:numRef>
          </c:val>
          <c:extLst>
            <c:ext xmlns:c16="http://schemas.microsoft.com/office/drawing/2014/chart" uri="{C3380CC4-5D6E-409C-BE32-E72D297353CC}">
              <c16:uniqueId val="{0000001C-3ABB-4144-A35C-68E1ADA870FB}"/>
            </c:ext>
          </c:extLst>
        </c:ser>
        <c:ser>
          <c:idx val="21"/>
          <c:order val="21"/>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znevýhod'!$C$199:$M$199</c:f>
            </c:numRef>
          </c:val>
          <c:extLst>
            <c:ext xmlns:c16="http://schemas.microsoft.com/office/drawing/2014/chart" uri="{C3380CC4-5D6E-409C-BE32-E72D297353CC}">
              <c16:uniqueId val="{0000001D-3ABB-4144-A35C-68E1ADA870FB}"/>
            </c:ext>
          </c:extLst>
        </c:ser>
        <c:ser>
          <c:idx val="22"/>
          <c:order val="22"/>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znevýhod'!$C$200:$M$200</c:f>
            </c:numRef>
          </c:val>
          <c:extLst>
            <c:ext xmlns:c16="http://schemas.microsoft.com/office/drawing/2014/chart" uri="{C3380CC4-5D6E-409C-BE32-E72D297353CC}">
              <c16:uniqueId val="{0000001E-3ABB-4144-A35C-68E1ADA870FB}"/>
            </c:ext>
          </c:extLst>
        </c:ser>
        <c:ser>
          <c:idx val="23"/>
          <c:order val="23"/>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znevýhod'!$C$201:$M$201</c:f>
            </c:numRef>
          </c:val>
          <c:extLst>
            <c:ext xmlns:c16="http://schemas.microsoft.com/office/drawing/2014/chart" uri="{C3380CC4-5D6E-409C-BE32-E72D297353CC}">
              <c16:uniqueId val="{0000001F-3ABB-4144-A35C-68E1ADA870FB}"/>
            </c:ext>
          </c:extLst>
        </c:ser>
        <c:ser>
          <c:idx val="24"/>
          <c:order val="24"/>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znevýhod'!$C$202:$M$202</c:f>
            </c:numRef>
          </c:val>
          <c:extLst>
            <c:ext xmlns:c16="http://schemas.microsoft.com/office/drawing/2014/chart" uri="{C3380CC4-5D6E-409C-BE32-E72D297353CC}">
              <c16:uniqueId val="{00000020-3ABB-4144-A35C-68E1ADA870FB}"/>
            </c:ext>
          </c:extLst>
        </c:ser>
        <c:ser>
          <c:idx val="25"/>
          <c:order val="25"/>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znevýhod'!$C$203:$M$203</c:f>
            </c:numRef>
          </c:val>
          <c:extLst>
            <c:ext xmlns:c16="http://schemas.microsoft.com/office/drawing/2014/chart" uri="{C3380CC4-5D6E-409C-BE32-E72D297353CC}">
              <c16:uniqueId val="{00000021-3ABB-4144-A35C-68E1ADA870FB}"/>
            </c:ext>
          </c:extLst>
        </c:ser>
        <c:ser>
          <c:idx val="26"/>
          <c:order val="26"/>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znevýhod'!$C$204:$M$204</c:f>
            </c:numRef>
          </c:val>
          <c:extLst>
            <c:ext xmlns:c16="http://schemas.microsoft.com/office/drawing/2014/chart" uri="{C3380CC4-5D6E-409C-BE32-E72D297353CC}">
              <c16:uniqueId val="{00000022-3ABB-4144-A35C-68E1ADA870FB}"/>
            </c:ext>
          </c:extLst>
        </c:ser>
        <c:ser>
          <c:idx val="27"/>
          <c:order val="27"/>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znevýhod'!$C$205:$M$205</c:f>
            </c:numRef>
          </c:val>
          <c:extLst>
            <c:ext xmlns:c16="http://schemas.microsoft.com/office/drawing/2014/chart" uri="{C3380CC4-5D6E-409C-BE32-E72D297353CC}">
              <c16:uniqueId val="{00000023-3ABB-4144-A35C-68E1ADA870FB}"/>
            </c:ext>
          </c:extLst>
        </c:ser>
        <c:ser>
          <c:idx val="28"/>
          <c:order val="28"/>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znevýhod'!$C$206:$M$206</c:f>
            </c:numRef>
          </c:val>
          <c:extLst>
            <c:ext xmlns:c16="http://schemas.microsoft.com/office/drawing/2014/chart" uri="{C3380CC4-5D6E-409C-BE32-E72D297353CC}">
              <c16:uniqueId val="{00000024-3ABB-4144-A35C-68E1ADA870FB}"/>
            </c:ext>
          </c:extLst>
        </c:ser>
        <c:ser>
          <c:idx val="29"/>
          <c:order val="29"/>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znevýhod'!$C$207:$M$207</c:f>
            </c:numRef>
          </c:val>
          <c:extLst>
            <c:ext xmlns:c16="http://schemas.microsoft.com/office/drawing/2014/chart" uri="{C3380CC4-5D6E-409C-BE32-E72D297353CC}">
              <c16:uniqueId val="{00000025-3ABB-4144-A35C-68E1ADA870FB}"/>
            </c:ext>
          </c:extLst>
        </c:ser>
        <c:ser>
          <c:idx val="30"/>
          <c:order val="30"/>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znevýhod'!$C$208:$M$208</c:f>
            </c:numRef>
          </c:val>
          <c:extLst>
            <c:ext xmlns:c16="http://schemas.microsoft.com/office/drawing/2014/chart" uri="{C3380CC4-5D6E-409C-BE32-E72D297353CC}">
              <c16:uniqueId val="{00000026-3ABB-4144-A35C-68E1ADA870FB}"/>
            </c:ext>
          </c:extLst>
        </c:ser>
        <c:ser>
          <c:idx val="31"/>
          <c:order val="31"/>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znevýhod'!$C$209:$M$209</c:f>
            </c:numRef>
          </c:val>
          <c:extLst>
            <c:ext xmlns:c16="http://schemas.microsoft.com/office/drawing/2014/chart" uri="{C3380CC4-5D6E-409C-BE32-E72D297353CC}">
              <c16:uniqueId val="{00000027-3ABB-4144-A35C-68E1ADA870FB}"/>
            </c:ext>
          </c:extLst>
        </c:ser>
        <c:ser>
          <c:idx val="32"/>
          <c:order val="32"/>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znevýhod'!$C$210:$M$210</c:f>
            </c:numRef>
          </c:val>
          <c:extLst>
            <c:ext xmlns:c16="http://schemas.microsoft.com/office/drawing/2014/chart" uri="{C3380CC4-5D6E-409C-BE32-E72D297353CC}">
              <c16:uniqueId val="{00000028-3ABB-4144-A35C-68E1ADA870FB}"/>
            </c:ext>
          </c:extLst>
        </c:ser>
        <c:ser>
          <c:idx val="33"/>
          <c:order val="33"/>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znevýhod'!$C$211:$M$211</c:f>
            </c:numRef>
          </c:val>
          <c:extLst>
            <c:ext xmlns:c16="http://schemas.microsoft.com/office/drawing/2014/chart" uri="{C3380CC4-5D6E-409C-BE32-E72D297353CC}">
              <c16:uniqueId val="{00000029-3ABB-4144-A35C-68E1ADA870FB}"/>
            </c:ext>
          </c:extLst>
        </c:ser>
        <c:ser>
          <c:idx val="34"/>
          <c:order val="34"/>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znevýhod'!$C$212:$M$212</c:f>
            </c:numRef>
          </c:val>
          <c:extLst>
            <c:ext xmlns:c16="http://schemas.microsoft.com/office/drawing/2014/chart" uri="{C3380CC4-5D6E-409C-BE32-E72D297353CC}">
              <c16:uniqueId val="{0000002A-3ABB-4144-A35C-68E1ADA870FB}"/>
            </c:ext>
          </c:extLst>
        </c:ser>
        <c:ser>
          <c:idx val="35"/>
          <c:order val="35"/>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znevýhod'!$C$213:$M$213</c:f>
            </c:numRef>
          </c:val>
          <c:extLst>
            <c:ext xmlns:c16="http://schemas.microsoft.com/office/drawing/2014/chart" uri="{C3380CC4-5D6E-409C-BE32-E72D297353CC}">
              <c16:uniqueId val="{0000002B-3ABB-4144-A35C-68E1ADA870FB}"/>
            </c:ext>
          </c:extLst>
        </c:ser>
        <c:ser>
          <c:idx val="36"/>
          <c:order val="36"/>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znevýhod'!$C$214:$M$214</c:f>
            </c:numRef>
          </c:val>
          <c:extLst>
            <c:ext xmlns:c16="http://schemas.microsoft.com/office/drawing/2014/chart" uri="{C3380CC4-5D6E-409C-BE32-E72D297353CC}">
              <c16:uniqueId val="{0000002C-3ABB-4144-A35C-68E1ADA870FB}"/>
            </c:ext>
          </c:extLst>
        </c:ser>
        <c:ser>
          <c:idx val="37"/>
          <c:order val="37"/>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znevýhod'!$C$215:$M$215</c:f>
            </c:numRef>
          </c:val>
          <c:extLst>
            <c:ext xmlns:c16="http://schemas.microsoft.com/office/drawing/2014/chart" uri="{C3380CC4-5D6E-409C-BE32-E72D297353CC}">
              <c16:uniqueId val="{0000002D-3ABB-4144-A35C-68E1ADA870FB}"/>
            </c:ext>
          </c:extLst>
        </c:ser>
        <c:ser>
          <c:idx val="38"/>
          <c:order val="38"/>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znevýhod'!$C$216:$M$216</c:f>
            </c:numRef>
          </c:val>
          <c:extLst>
            <c:ext xmlns:c16="http://schemas.microsoft.com/office/drawing/2014/chart" uri="{C3380CC4-5D6E-409C-BE32-E72D297353CC}">
              <c16:uniqueId val="{0000002E-3ABB-4144-A35C-68E1ADA870FB}"/>
            </c:ext>
          </c:extLst>
        </c:ser>
        <c:ser>
          <c:idx val="39"/>
          <c:order val="39"/>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znevýhod'!$C$217:$M$217</c:f>
            </c:numRef>
          </c:val>
          <c:extLst>
            <c:ext xmlns:c16="http://schemas.microsoft.com/office/drawing/2014/chart" uri="{C3380CC4-5D6E-409C-BE32-E72D297353CC}">
              <c16:uniqueId val="{0000002F-3ABB-4144-A35C-68E1ADA870FB}"/>
            </c:ext>
          </c:extLst>
        </c:ser>
        <c:ser>
          <c:idx val="40"/>
          <c:order val="40"/>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znevýhod'!$C$218:$M$218</c:f>
            </c:numRef>
          </c:val>
          <c:extLst>
            <c:ext xmlns:c16="http://schemas.microsoft.com/office/drawing/2014/chart" uri="{C3380CC4-5D6E-409C-BE32-E72D297353CC}">
              <c16:uniqueId val="{00000030-3ABB-4144-A35C-68E1ADA870FB}"/>
            </c:ext>
          </c:extLst>
        </c:ser>
        <c:ser>
          <c:idx val="41"/>
          <c:order val="41"/>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znevýhod'!$C$219:$M$219</c:f>
            </c:numRef>
          </c:val>
          <c:extLst>
            <c:ext xmlns:c16="http://schemas.microsoft.com/office/drawing/2014/chart" uri="{C3380CC4-5D6E-409C-BE32-E72D297353CC}">
              <c16:uniqueId val="{00000031-3ABB-4144-A35C-68E1ADA870FB}"/>
            </c:ext>
          </c:extLst>
        </c:ser>
        <c:ser>
          <c:idx val="42"/>
          <c:order val="42"/>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znevýhod'!$C$220:$M$220</c:f>
            </c:numRef>
          </c:val>
          <c:extLst>
            <c:ext xmlns:c16="http://schemas.microsoft.com/office/drawing/2014/chart" uri="{C3380CC4-5D6E-409C-BE32-E72D297353CC}">
              <c16:uniqueId val="{00000032-3ABB-4144-A35C-68E1ADA870FB}"/>
            </c:ext>
          </c:extLst>
        </c:ser>
        <c:ser>
          <c:idx val="43"/>
          <c:order val="43"/>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znevýhod'!$C$221:$M$221</c:f>
            </c:numRef>
          </c:val>
          <c:extLst>
            <c:ext xmlns:c16="http://schemas.microsoft.com/office/drawing/2014/chart" uri="{C3380CC4-5D6E-409C-BE32-E72D297353CC}">
              <c16:uniqueId val="{00000033-3ABB-4144-A35C-68E1ADA870FB}"/>
            </c:ext>
          </c:extLst>
        </c:ser>
        <c:ser>
          <c:idx val="44"/>
          <c:order val="44"/>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znevýhod'!$C$222:$M$222</c:f>
            </c:numRef>
          </c:val>
          <c:extLst>
            <c:ext xmlns:c16="http://schemas.microsoft.com/office/drawing/2014/chart" uri="{C3380CC4-5D6E-409C-BE32-E72D297353CC}">
              <c16:uniqueId val="{00000034-3ABB-4144-A35C-68E1ADA870FB}"/>
            </c:ext>
          </c:extLst>
        </c:ser>
        <c:ser>
          <c:idx val="45"/>
          <c:order val="45"/>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znevýhod'!$C$223:$M$223</c:f>
            </c:numRef>
          </c:val>
          <c:extLst>
            <c:ext xmlns:c16="http://schemas.microsoft.com/office/drawing/2014/chart" uri="{C3380CC4-5D6E-409C-BE32-E72D297353CC}">
              <c16:uniqueId val="{00000035-3ABB-4144-A35C-68E1ADA870FB}"/>
            </c:ext>
          </c:extLst>
        </c:ser>
        <c:ser>
          <c:idx val="46"/>
          <c:order val="46"/>
          <c:explosion val="10"/>
          <c:dLbls>
            <c:dLbl>
              <c:idx val="0"/>
              <c:layout>
                <c:manualLayout>
                  <c:x val="4.5085277624429786E-2"/>
                  <c:y val="-3.402931375151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6-3ABB-4144-A35C-68E1ADA870FB}"/>
                </c:ext>
              </c:extLst>
            </c:dLbl>
            <c:dLbl>
              <c:idx val="3"/>
              <c:layout>
                <c:manualLayout>
                  <c:x val="-0.12799881727395318"/>
                  <c:y val="-9.43957300800609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7-3ABB-4144-A35C-68E1ADA870FB}"/>
                </c:ext>
              </c:extLst>
            </c:dLbl>
            <c:dLbl>
              <c:idx val="4"/>
              <c:layout>
                <c:manualLayout>
                  <c:x val="0.13012037484895461"/>
                  <c:y val="-0.1396514199769972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8-3ABB-4144-A35C-68E1ADA870FB}"/>
                </c:ext>
              </c:extLst>
            </c:dLbl>
            <c:dLbl>
              <c:idx val="5"/>
              <c:layout>
                <c:manualLayout>
                  <c:x val="-4.8285570408350123E-3"/>
                  <c:y val="-3.659542557180352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9-3ABB-4144-A35C-68E1ADA870FB}"/>
                </c:ext>
              </c:extLst>
            </c:dLbl>
            <c:dLbl>
              <c:idx val="6"/>
              <c:layout>
                <c:manualLayout>
                  <c:x val="-2.6399060655729299E-2"/>
                  <c:y val="-7.08292783626765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A-3ABB-4144-A35C-68E1ADA870FB}"/>
                </c:ext>
              </c:extLst>
            </c:dLbl>
            <c:dLbl>
              <c:idx val="7"/>
              <c:layout>
                <c:manualLayout>
                  <c:x val="3.9070978945083566E-2"/>
                  <c:y val="-7.4776018166268512E-2"/>
                </c:manualLayout>
              </c:layout>
              <c:numFmt formatCode="0.00%" sourceLinked="0"/>
              <c:spPr>
                <a:noFill/>
                <a:ln>
                  <a:noFill/>
                </a:ln>
                <a:effectLst/>
              </c:spPr>
              <c:txPr>
                <a:bodyPr wrap="square" lIns="38100" tIns="19050" rIns="38100" bIns="19050" anchor="ctr">
                  <a:noAutofit/>
                </a:bodyPr>
                <a:lstStyle/>
                <a:p>
                  <a:pPr>
                    <a:defRPr/>
                  </a:pPr>
                  <a:endParaRPr lang="sk-SK"/>
                </a:p>
              </c:txPr>
              <c:showLegendKey val="0"/>
              <c:showVal val="0"/>
              <c:showCatName val="0"/>
              <c:showSerName val="0"/>
              <c:showPercent val="1"/>
              <c:showBubbleSize val="0"/>
              <c:extLst>
                <c:ext xmlns:c15="http://schemas.microsoft.com/office/drawing/2012/chart" uri="{CE6537A1-D6FC-4f65-9D91-7224C49458BB}">
                  <c15:layout>
                    <c:manualLayout>
                      <c:w val="8.6281745170392887E-2"/>
                      <c:h val="8.98876404494382E-2"/>
                    </c:manualLayout>
                  </c15:layout>
                </c:ext>
                <c:ext xmlns:c16="http://schemas.microsoft.com/office/drawing/2014/chart" uri="{C3380CC4-5D6E-409C-BE32-E72D297353CC}">
                  <c16:uniqueId val="{0000003B-3ABB-4144-A35C-68E1ADA870FB}"/>
                </c:ext>
              </c:extLst>
            </c:dLbl>
            <c:dLbl>
              <c:idx val="9"/>
              <c:layout>
                <c:manualLayout>
                  <c:x val="-9.6364142891081528E-2"/>
                  <c:y val="-5.7029402223598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C-3ABB-4144-A35C-68E1ADA870FB}"/>
                </c:ext>
              </c:extLst>
            </c:dLbl>
            <c:dLbl>
              <c:idx val="10"/>
              <c:layout>
                <c:manualLayout>
                  <c:x val="-1.8293199837973409E-2"/>
                  <c:y val="-9.54189153322126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3D-3ABB-4144-A35C-68E1ADA870FB}"/>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'CHSŠ vek pohl znevýhod'!$C$177:$M$177</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pt idx="10">
                  <c:v>Neurčené</c:v>
                </c:pt>
              </c:strCache>
            </c:strRef>
          </c:cat>
          <c:val>
            <c:numRef>
              <c:f>'CHSŠ vek pohl znevýhod'!$C$224:$M$224</c:f>
              <c:numCache>
                <c:formatCode>#,##0</c:formatCode>
                <c:ptCount val="11"/>
                <c:pt idx="0">
                  <c:v>22</c:v>
                </c:pt>
                <c:pt idx="1">
                  <c:v>156</c:v>
                </c:pt>
                <c:pt idx="2">
                  <c:v>7</c:v>
                </c:pt>
                <c:pt idx="3">
                  <c:v>226</c:v>
                </c:pt>
                <c:pt idx="4">
                  <c:v>369</c:v>
                </c:pt>
                <c:pt idx="5">
                  <c:v>61</c:v>
                </c:pt>
                <c:pt idx="6">
                  <c:v>5</c:v>
                </c:pt>
                <c:pt idx="7">
                  <c:v>25</c:v>
                </c:pt>
                <c:pt idx="8">
                  <c:v>108</c:v>
                </c:pt>
                <c:pt idx="9">
                  <c:v>2</c:v>
                </c:pt>
                <c:pt idx="10">
                  <c:v>1</c:v>
                </c:pt>
              </c:numCache>
            </c:numRef>
          </c:val>
          <c:extLst>
            <c:ext xmlns:c16="http://schemas.microsoft.com/office/drawing/2014/chart" uri="{C3380CC4-5D6E-409C-BE32-E72D297353CC}">
              <c16:uniqueId val="{0000003E-3ABB-4144-A35C-68E1ADA870FB}"/>
            </c:ext>
          </c:extLst>
        </c:ser>
        <c:dLbls>
          <c:showLegendKey val="0"/>
          <c:showVal val="0"/>
          <c:showCatName val="0"/>
          <c:showSerName val="0"/>
          <c:showPercent val="0"/>
          <c:showBubbleSize val="0"/>
          <c:showLeaderLines val="1"/>
        </c:dLbls>
      </c:pie3DChart>
    </c:plotArea>
    <c:legend>
      <c:legendPos val="r"/>
      <c:layout>
        <c:manualLayout>
          <c:xMode val="edge"/>
          <c:yMode val="edge"/>
          <c:x val="0.62432282055977351"/>
          <c:y val="0.15135748031496063"/>
          <c:w val="0.36981674249573904"/>
          <c:h val="0.79149966254218218"/>
        </c:manualLayout>
      </c:layout>
      <c:overlay val="0"/>
      <c:txPr>
        <a:bodyPr/>
        <a:lstStyle/>
        <a:p>
          <a:pPr rtl="0">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ZUoZ podľa dĺžky evidencie </a:t>
            </a:r>
            <a:endParaRPr lang="sk-SK" sz="1200">
              <a:effectLst/>
            </a:endParaRPr>
          </a:p>
        </c:rich>
      </c:tx>
      <c:layout>
        <c:manualLayout>
          <c:xMode val="edge"/>
          <c:yMode val="edge"/>
          <c:x val="0.18523711777182617"/>
          <c:y val="8.4165729283839516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24344074149402908"/>
          <c:y val="0.26563929508811396"/>
          <c:w val="0.41611054044769258"/>
          <c:h val="0.5453747826976173"/>
        </c:manualLayout>
      </c:layout>
      <c:pie3DChart>
        <c:varyColors val="1"/>
        <c:ser>
          <c:idx val="0"/>
          <c:order val="0"/>
          <c:explosion val="8"/>
          <c:dLbls>
            <c:dLbl>
              <c:idx val="0"/>
              <c:layout>
                <c:manualLayout>
                  <c:x val="-6.9132559303449512E-2"/>
                  <c:y val="7.23181659510293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227-4502-9158-C283197605B4}"/>
                </c:ext>
              </c:extLst>
            </c:dLbl>
            <c:dLbl>
              <c:idx val="1"/>
              <c:layout>
                <c:manualLayout>
                  <c:x val="-0.12524197173421481"/>
                  <c:y val="-0.12702322199954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27-4502-9158-C283197605B4}"/>
                </c:ext>
              </c:extLst>
            </c:dLbl>
            <c:dLbl>
              <c:idx val="2"/>
              <c:layout>
                <c:manualLayout>
                  <c:x val="-7.4177945577510424E-2"/>
                  <c:y val="-0.192358704307051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227-4502-9158-C283197605B4}"/>
                </c:ext>
              </c:extLst>
            </c:dLbl>
            <c:dLbl>
              <c:idx val="3"/>
              <c:layout>
                <c:manualLayout>
                  <c:x val="0.13239472969069663"/>
                  <c:y val="-0.111704857117579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27-4502-9158-C283197605B4}"/>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forma'!$F$112:$J$112</c:f>
            </c:numRef>
          </c:val>
          <c:extLst>
            <c:ext xmlns:c16="http://schemas.microsoft.com/office/drawing/2014/chart" uri="{C3380CC4-5D6E-409C-BE32-E72D297353CC}">
              <c16:uniqueId val="{00000004-C227-4502-9158-C283197605B4}"/>
            </c:ext>
          </c:extLst>
        </c:ser>
        <c:ser>
          <c:idx val="1"/>
          <c:order val="1"/>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forma'!$F$113:$J$113</c:f>
            </c:numRef>
          </c:val>
          <c:extLst>
            <c:ext xmlns:c16="http://schemas.microsoft.com/office/drawing/2014/chart" uri="{C3380CC4-5D6E-409C-BE32-E72D297353CC}">
              <c16:uniqueId val="{00000005-C227-4502-9158-C283197605B4}"/>
            </c:ext>
          </c:extLst>
        </c:ser>
        <c:ser>
          <c:idx val="2"/>
          <c:order val="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forma'!$F$114:$J$114</c:f>
            </c:numRef>
          </c:val>
          <c:extLst>
            <c:ext xmlns:c16="http://schemas.microsoft.com/office/drawing/2014/chart" uri="{C3380CC4-5D6E-409C-BE32-E72D297353CC}">
              <c16:uniqueId val="{00000006-C227-4502-9158-C283197605B4}"/>
            </c:ext>
          </c:extLst>
        </c:ser>
        <c:ser>
          <c:idx val="3"/>
          <c:order val="3"/>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forma'!$F$115:$J$115</c:f>
            </c:numRef>
          </c:val>
          <c:extLst>
            <c:ext xmlns:c16="http://schemas.microsoft.com/office/drawing/2014/chart" uri="{C3380CC4-5D6E-409C-BE32-E72D297353CC}">
              <c16:uniqueId val="{00000007-C227-4502-9158-C283197605B4}"/>
            </c:ext>
          </c:extLst>
        </c:ser>
        <c:ser>
          <c:idx val="4"/>
          <c:order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forma'!$F$116:$J$116</c:f>
            </c:numRef>
          </c:val>
          <c:extLst>
            <c:ext xmlns:c16="http://schemas.microsoft.com/office/drawing/2014/chart" uri="{C3380CC4-5D6E-409C-BE32-E72D297353CC}">
              <c16:uniqueId val="{00000008-C227-4502-9158-C283197605B4}"/>
            </c:ext>
          </c:extLst>
        </c:ser>
        <c:ser>
          <c:idx val="5"/>
          <c:order val="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forma'!$F$117:$J$117</c:f>
            </c:numRef>
          </c:val>
          <c:extLst>
            <c:ext xmlns:c16="http://schemas.microsoft.com/office/drawing/2014/chart" uri="{C3380CC4-5D6E-409C-BE32-E72D297353CC}">
              <c16:uniqueId val="{00000009-C227-4502-9158-C283197605B4}"/>
            </c:ext>
          </c:extLst>
        </c:ser>
        <c:ser>
          <c:idx val="6"/>
          <c:order val="6"/>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forma'!$F$118:$J$118</c:f>
            </c:numRef>
          </c:val>
          <c:extLst>
            <c:ext xmlns:c16="http://schemas.microsoft.com/office/drawing/2014/chart" uri="{C3380CC4-5D6E-409C-BE32-E72D297353CC}">
              <c16:uniqueId val="{0000000A-C227-4502-9158-C283197605B4}"/>
            </c:ext>
          </c:extLst>
        </c:ser>
        <c:ser>
          <c:idx val="7"/>
          <c:order val="7"/>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forma'!$F$119:$J$119</c:f>
            </c:numRef>
          </c:val>
          <c:extLst>
            <c:ext xmlns:c16="http://schemas.microsoft.com/office/drawing/2014/chart" uri="{C3380CC4-5D6E-409C-BE32-E72D297353CC}">
              <c16:uniqueId val="{0000000B-C227-4502-9158-C283197605B4}"/>
            </c:ext>
          </c:extLst>
        </c:ser>
        <c:ser>
          <c:idx val="8"/>
          <c:order val="8"/>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forma'!$F$120:$J$120</c:f>
            </c:numRef>
          </c:val>
          <c:extLst>
            <c:ext xmlns:c16="http://schemas.microsoft.com/office/drawing/2014/chart" uri="{C3380CC4-5D6E-409C-BE32-E72D297353CC}">
              <c16:uniqueId val="{0000000C-C227-4502-9158-C283197605B4}"/>
            </c:ext>
          </c:extLst>
        </c:ser>
        <c:ser>
          <c:idx val="9"/>
          <c:order val="9"/>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forma'!$F$121:$J$121</c:f>
            </c:numRef>
          </c:val>
          <c:extLst>
            <c:ext xmlns:c16="http://schemas.microsoft.com/office/drawing/2014/chart" uri="{C3380CC4-5D6E-409C-BE32-E72D297353CC}">
              <c16:uniqueId val="{0000000D-C227-4502-9158-C283197605B4}"/>
            </c:ext>
          </c:extLst>
        </c:ser>
        <c:ser>
          <c:idx val="10"/>
          <c:order val="1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forma'!$F$122:$J$122</c:f>
            </c:numRef>
          </c:val>
          <c:extLst>
            <c:ext xmlns:c16="http://schemas.microsoft.com/office/drawing/2014/chart" uri="{C3380CC4-5D6E-409C-BE32-E72D297353CC}">
              <c16:uniqueId val="{0000000E-C227-4502-9158-C283197605B4}"/>
            </c:ext>
          </c:extLst>
        </c:ser>
        <c:ser>
          <c:idx val="11"/>
          <c:order val="11"/>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forma'!$F$123:$J$123</c:f>
            </c:numRef>
          </c:val>
          <c:extLst>
            <c:ext xmlns:c16="http://schemas.microsoft.com/office/drawing/2014/chart" uri="{C3380CC4-5D6E-409C-BE32-E72D297353CC}">
              <c16:uniqueId val="{0000000F-C227-4502-9158-C283197605B4}"/>
            </c:ext>
          </c:extLst>
        </c:ser>
        <c:ser>
          <c:idx val="12"/>
          <c:order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forma'!$F$124:$J$124</c:f>
            </c:numRef>
          </c:val>
          <c:extLst>
            <c:ext xmlns:c16="http://schemas.microsoft.com/office/drawing/2014/chart" uri="{C3380CC4-5D6E-409C-BE32-E72D297353CC}">
              <c16:uniqueId val="{00000010-C227-4502-9158-C283197605B4}"/>
            </c:ext>
          </c:extLst>
        </c:ser>
        <c:ser>
          <c:idx val="13"/>
          <c:order val="13"/>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forma'!$F$125:$J$125</c:f>
            </c:numRef>
          </c:val>
          <c:extLst>
            <c:ext xmlns:c16="http://schemas.microsoft.com/office/drawing/2014/chart" uri="{C3380CC4-5D6E-409C-BE32-E72D297353CC}">
              <c16:uniqueId val="{00000011-C227-4502-9158-C283197605B4}"/>
            </c:ext>
          </c:extLst>
        </c:ser>
        <c:ser>
          <c:idx val="14"/>
          <c:order val="14"/>
          <c:explosion val="9"/>
          <c:dPt>
            <c:idx val="0"/>
            <c:bubble3D val="0"/>
            <c:extLst>
              <c:ext xmlns:c16="http://schemas.microsoft.com/office/drawing/2014/chart" uri="{C3380CC4-5D6E-409C-BE32-E72D297353CC}">
                <c16:uniqueId val="{00000012-C227-4502-9158-C283197605B4}"/>
              </c:ext>
            </c:extLst>
          </c:dPt>
          <c:dPt>
            <c:idx val="2"/>
            <c:bubble3D val="0"/>
            <c:extLst>
              <c:ext xmlns:c16="http://schemas.microsoft.com/office/drawing/2014/chart" uri="{C3380CC4-5D6E-409C-BE32-E72D297353CC}">
                <c16:uniqueId val="{00000013-C227-4502-9158-C283197605B4}"/>
              </c:ext>
            </c:extLst>
          </c:dPt>
          <c:dPt>
            <c:idx val="3"/>
            <c:bubble3D val="0"/>
            <c:extLst>
              <c:ext xmlns:c16="http://schemas.microsoft.com/office/drawing/2014/chart" uri="{C3380CC4-5D6E-409C-BE32-E72D297353CC}">
                <c16:uniqueId val="{00000014-C227-4502-9158-C283197605B4}"/>
              </c:ext>
            </c:extLst>
          </c:dPt>
          <c:dPt>
            <c:idx val="4"/>
            <c:bubble3D val="0"/>
            <c:extLst>
              <c:ext xmlns:c16="http://schemas.microsoft.com/office/drawing/2014/chart" uri="{C3380CC4-5D6E-409C-BE32-E72D297353CC}">
                <c16:uniqueId val="{00000015-C227-4502-9158-C283197605B4}"/>
              </c:ext>
            </c:extLst>
          </c:dPt>
          <c:dLbls>
            <c:dLbl>
              <c:idx val="1"/>
              <c:layout>
                <c:manualLayout>
                  <c:x val="-0.10798972464018294"/>
                  <c:y val="-9.66597835212961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C227-4502-9158-C283197605B4}"/>
                </c:ext>
              </c:extLst>
            </c:dLbl>
            <c:dLbl>
              <c:idx val="2"/>
              <c:layout>
                <c:manualLayout>
                  <c:x val="6.0785282239112337E-2"/>
                  <c:y val="-0.199760440607748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227-4502-9158-C283197605B4}"/>
                </c:ext>
              </c:extLst>
            </c:dLbl>
            <c:dLbl>
              <c:idx val="3"/>
              <c:layout>
                <c:manualLayout>
                  <c:x val="0.10773061876056463"/>
                  <c:y val="-6.81217441479757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C227-4502-9158-C283197605B4}"/>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'CHSŠ právna forma'!$F$79:$J$111</c:f>
              <c:strCache>
                <c:ptCount val="5"/>
                <c:pt idx="0">
                  <c:v>0-3 mesiacov</c:v>
                </c:pt>
                <c:pt idx="1">
                  <c:v>4-6 mesiacov</c:v>
                </c:pt>
                <c:pt idx="2">
                  <c:v>7-12 mesiacov</c:v>
                </c:pt>
                <c:pt idx="3">
                  <c:v>13-24 mesiacov</c:v>
                </c:pt>
                <c:pt idx="4">
                  <c:v>nad 24 mesiacov</c:v>
                </c:pt>
              </c:strCache>
            </c:strRef>
          </c:cat>
          <c:val>
            <c:numRef>
              <c:f>'CHSŠ právna forma'!$F$126:$J$126</c:f>
              <c:numCache>
                <c:formatCode>#,##0</c:formatCode>
                <c:ptCount val="5"/>
                <c:pt idx="0">
                  <c:v>183</c:v>
                </c:pt>
                <c:pt idx="1">
                  <c:v>226</c:v>
                </c:pt>
                <c:pt idx="2">
                  <c:v>208</c:v>
                </c:pt>
                <c:pt idx="3">
                  <c:v>195</c:v>
                </c:pt>
                <c:pt idx="4">
                  <c:v>170</c:v>
                </c:pt>
              </c:numCache>
            </c:numRef>
          </c:val>
          <c:extLst>
            <c:ext xmlns:c16="http://schemas.microsoft.com/office/drawing/2014/chart" uri="{C3380CC4-5D6E-409C-BE32-E72D297353CC}">
              <c16:uniqueId val="{00000017-C227-4502-9158-C283197605B4}"/>
            </c:ext>
          </c:extLst>
        </c:ser>
        <c:dLbls>
          <c:showLegendKey val="0"/>
          <c:showVal val="1"/>
          <c:showCatName val="0"/>
          <c:showSerName val="0"/>
          <c:showPercent val="0"/>
          <c:showBubbleSize val="0"/>
          <c:showLeaderLines val="1"/>
        </c:dLbls>
      </c:pie3DChart>
    </c:plotArea>
    <c:legend>
      <c:legendPos val="r"/>
      <c:layout>
        <c:manualLayout>
          <c:xMode val="edge"/>
          <c:yMode val="edge"/>
          <c:x val="0.70157924691799023"/>
          <c:y val="0.24084840306167624"/>
          <c:w val="0.24967825407758479"/>
          <c:h val="0.61468523782336437"/>
        </c:manualLayout>
      </c:layout>
      <c:overlay val="0"/>
      <c:txPr>
        <a:bodyPr/>
        <a:lstStyle/>
        <a:p>
          <a:pPr rtl="0">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sk-SK" sz="1100" b="1" i="0" u="none" strike="noStrike" kern="1200" baseline="0">
                <a:solidFill>
                  <a:srgbClr val="002060"/>
                </a:solidFill>
                <a:latin typeface="+mn-lt"/>
                <a:ea typeface="+mn-ea"/>
                <a:cs typeface="+mn-cs"/>
              </a:defRPr>
            </a:pPr>
            <a:r>
              <a:rPr lang="sk-SK" sz="1200" b="1" i="0" baseline="0">
                <a:solidFill>
                  <a:srgbClr val="002060"/>
                </a:solidFill>
                <a:effectLst/>
              </a:rPr>
              <a:t>Prehľad</a:t>
            </a:r>
            <a:r>
              <a:rPr lang="en-US" sz="1200" b="1" i="0" baseline="0">
                <a:solidFill>
                  <a:srgbClr val="002060"/>
                </a:solidFill>
                <a:effectLst/>
              </a:rPr>
              <a:t> </a:t>
            </a:r>
            <a:r>
              <a:rPr lang="sk-SK" sz="1200" b="1" i="0" baseline="0">
                <a:solidFill>
                  <a:srgbClr val="002060"/>
                </a:solidFill>
                <a:effectLst/>
              </a:rPr>
              <a:t>odídencov </a:t>
            </a:r>
            <a:r>
              <a:rPr lang="en-US" sz="1200" b="1" i="0" u="none" strike="noStrike" baseline="0">
                <a:solidFill>
                  <a:srgbClr val="002060"/>
                </a:solidFill>
                <a:effectLst/>
              </a:rPr>
              <a:t>zaraden</a:t>
            </a:r>
            <a:r>
              <a:rPr lang="sk-SK" sz="1200" b="1" i="0" u="none" strike="noStrike" baseline="0">
                <a:solidFill>
                  <a:srgbClr val="002060"/>
                </a:solidFill>
                <a:effectLst/>
              </a:rPr>
              <a:t>ých</a:t>
            </a:r>
            <a:r>
              <a:rPr lang="en-US" sz="1200" b="1" i="0" u="none" strike="noStrike" baseline="0">
                <a:solidFill>
                  <a:srgbClr val="002060"/>
                </a:solidFill>
                <a:effectLst/>
              </a:rPr>
              <a:t> </a:t>
            </a:r>
            <a:r>
              <a:rPr lang="sk-SK" sz="1200" b="1" i="0" baseline="0">
                <a:solidFill>
                  <a:srgbClr val="002060"/>
                </a:solidFill>
                <a:effectLst/>
              </a:rPr>
              <a:t>v roku 2023 </a:t>
            </a:r>
            <a:endParaRPr lang="sk-SK" sz="1200">
              <a:solidFill>
                <a:srgbClr val="00206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lang="sk-SK" sz="1100" b="1" i="0" u="none" strike="noStrike" kern="1200" baseline="0">
                <a:solidFill>
                  <a:srgbClr val="002060"/>
                </a:solidFill>
                <a:latin typeface="+mn-lt"/>
                <a:ea typeface="+mn-ea"/>
                <a:cs typeface="+mn-cs"/>
              </a:defRPr>
            </a:pPr>
            <a:r>
              <a:rPr lang="sk-SK" sz="1200" b="1" i="0" u="none" strike="noStrike" baseline="0">
                <a:solidFill>
                  <a:srgbClr val="002060"/>
                </a:solidFill>
                <a:effectLst/>
              </a:rPr>
              <a:t> na vzdelávanie v rámci národného </a:t>
            </a:r>
            <a:r>
              <a:rPr lang="sk-SK" sz="1200" b="1" i="0" baseline="0">
                <a:solidFill>
                  <a:srgbClr val="002060"/>
                </a:solidFill>
                <a:effectLst/>
              </a:rPr>
              <a:t>projektu Pomáhame odídencom podľa úradov</a:t>
            </a:r>
            <a:endParaRPr lang="sk-SK" sz="1200">
              <a:solidFill>
                <a:srgbClr val="002060"/>
              </a:solidFill>
              <a:effectLst/>
            </a:endParaRPr>
          </a:p>
        </c:rich>
      </c:tx>
      <c:layout>
        <c:manualLayout>
          <c:xMode val="edge"/>
          <c:yMode val="edge"/>
          <c:x val="0.10925638103724521"/>
          <c:y val="9.8909180855010922E-2"/>
        </c:manualLayout>
      </c:layout>
      <c:overlay val="0"/>
    </c:title>
    <c:autoTitleDeleted val="0"/>
    <c:plotArea>
      <c:layout>
        <c:manualLayout>
          <c:layoutTarget val="inner"/>
          <c:xMode val="edge"/>
          <c:yMode val="edge"/>
          <c:x val="0.17522329081558533"/>
          <c:y val="0.32152614128579915"/>
          <c:w val="0.68295261062846857"/>
          <c:h val="0.6231654032600011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1989133277159545E-3"/>
                  <c:y val="-2.2986466062821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A1-4677-9BC5-CC9C91B7A9E8}"/>
                </c:ext>
              </c:extLst>
            </c:dLbl>
            <c:dLbl>
              <c:idx val="1"/>
              <c:layout>
                <c:manualLayout>
                  <c:x val="3.0645126923710183E-2"/>
                  <c:y val="-0.14202618626754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1-4677-9BC5-CC9C91B7A9E8}"/>
                </c:ext>
              </c:extLst>
            </c:dLbl>
            <c:dLbl>
              <c:idx val="2"/>
              <c:layout>
                <c:manualLayout>
                  <c:x val="5.3933036968164955E-2"/>
                  <c:y val="-0.15150929213229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A1-4677-9BC5-CC9C91B7A9E8}"/>
                </c:ext>
              </c:extLst>
            </c:dLbl>
            <c:dLbl>
              <c:idx val="3"/>
              <c:layout>
                <c:manualLayout>
                  <c:x val="8.9269450174816703E-2"/>
                  <c:y val="-0.164739757197564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1-4677-9BC5-CC9C91B7A9E8}"/>
                </c:ext>
              </c:extLst>
            </c:dLbl>
            <c:dLbl>
              <c:idx val="4"/>
              <c:layout>
                <c:manualLayout>
                  <c:x val="0.1236086817561089"/>
                  <c:y val="-0.1583240703935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A1-4677-9BC5-CC9C91B7A9E8}"/>
                </c:ext>
              </c:extLst>
            </c:dLbl>
            <c:dLbl>
              <c:idx val="5"/>
              <c:layout>
                <c:manualLayout>
                  <c:x val="0.16230796796156929"/>
                  <c:y val="-0.15329937108630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A1-4677-9BC5-CC9C91B7A9E8}"/>
                </c:ext>
              </c:extLst>
            </c:dLbl>
            <c:dLbl>
              <c:idx val="6"/>
              <c:layout>
                <c:manualLayout>
                  <c:x val="0.19374417681184694"/>
                  <c:y val="-0.14010832027920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A1-4677-9BC5-CC9C91B7A9E8}"/>
                </c:ext>
              </c:extLst>
            </c:dLbl>
            <c:dLbl>
              <c:idx val="7"/>
              <c:layout>
                <c:manualLayout>
                  <c:x val="0.22482416635189975"/>
                  <c:y val="-0.12208787400021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A1-4677-9BC5-CC9C91B7A9E8}"/>
                </c:ext>
              </c:extLst>
            </c:dLbl>
            <c:dLbl>
              <c:idx val="8"/>
              <c:layout>
                <c:manualLayout>
                  <c:x val="0.2504469690366195"/>
                  <c:y val="-0.1024258150311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A1-4677-9BC5-CC9C91B7A9E8}"/>
                </c:ext>
              </c:extLst>
            </c:dLbl>
            <c:dLbl>
              <c:idx val="9"/>
              <c:layout>
                <c:manualLayout>
                  <c:x val="0.28095156494991991"/>
                  <c:y val="-6.9660866404074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A1-4677-9BC5-CC9C91B7A9E8}"/>
                </c:ext>
              </c:extLst>
            </c:dLbl>
            <c:dLbl>
              <c:idx val="10"/>
              <c:layout>
                <c:manualLayout>
                  <c:x val="0.2873607910001455"/>
                  <c:y val="-4.2888463311433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A1-4677-9BC5-CC9C91B7A9E8}"/>
                </c:ext>
              </c:extLst>
            </c:dLbl>
            <c:dLbl>
              <c:idx val="11"/>
              <c:layout>
                <c:manualLayout>
                  <c:x val="0.28957259493854781"/>
                  <c:y val="-1.311469672849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A1-4677-9BC5-CC9C91B7A9E8}"/>
                </c:ext>
              </c:extLst>
            </c:dLbl>
            <c:dLbl>
              <c:idx val="12"/>
              <c:layout>
                <c:manualLayout>
                  <c:x val="0.28943082604337134"/>
                  <c:y val="1.8758371529118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A1-4677-9BC5-CC9C91B7A9E8}"/>
                </c:ext>
              </c:extLst>
            </c:dLbl>
            <c:dLbl>
              <c:idx val="13"/>
              <c:layout>
                <c:manualLayout>
                  <c:x val="0.28541327872644862"/>
                  <c:y val="4.6126516431995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A1-4677-9BC5-CC9C91B7A9E8}"/>
                </c:ext>
              </c:extLst>
            </c:dLbl>
            <c:dLbl>
              <c:idx val="14"/>
              <c:layout>
                <c:manualLayout>
                  <c:x val="0.27918038264803408"/>
                  <c:y val="7.6373680324704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A1-4677-9BC5-CC9C91B7A9E8}"/>
                </c:ext>
              </c:extLst>
            </c:dLbl>
            <c:dLbl>
              <c:idx val="15"/>
              <c:layout>
                <c:manualLayout>
                  <c:x val="0.26891228911946397"/>
                  <c:y val="0.10767980751573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A1-4677-9BC5-CC9C91B7A9E8}"/>
                </c:ext>
              </c:extLst>
            </c:dLbl>
            <c:dLbl>
              <c:idx val="16"/>
              <c:layout>
                <c:manualLayout>
                  <c:x val="0.24845424245799524"/>
                  <c:y val="0.140184464090965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7A1-4677-9BC5-CC9C91B7A9E8}"/>
                </c:ext>
              </c:extLst>
            </c:dLbl>
            <c:dLbl>
              <c:idx val="17"/>
              <c:layout>
                <c:manualLayout>
                  <c:x val="0.22866621541730553"/>
                  <c:y val="0.17041019087273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7A1-4677-9BC5-CC9C91B7A9E8}"/>
                </c:ext>
              </c:extLst>
            </c:dLbl>
            <c:dLbl>
              <c:idx val="18"/>
              <c:layout>
                <c:manualLayout>
                  <c:x val="0.18963225537767189"/>
                  <c:y val="0.197976228076702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7A1-4677-9BC5-CC9C91B7A9E8}"/>
                </c:ext>
              </c:extLst>
            </c:dLbl>
            <c:dLbl>
              <c:idx val="19"/>
              <c:layout>
                <c:manualLayout>
                  <c:x val="0.16026033646163235"/>
                  <c:y val="0.2180690159567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7A1-4677-9BC5-CC9C91B7A9E8}"/>
                </c:ext>
              </c:extLst>
            </c:dLbl>
            <c:dLbl>
              <c:idx val="20"/>
              <c:layout>
                <c:manualLayout>
                  <c:x val="0.12782268452605786"/>
                  <c:y val="0.235400331327212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7A1-4677-9BC5-CC9C91B7A9E8}"/>
                </c:ext>
              </c:extLst>
            </c:dLbl>
            <c:dLbl>
              <c:idx val="21"/>
              <c:layout>
                <c:manualLayout>
                  <c:x val="9.1356500179175015E-2"/>
                  <c:y val="0.24354352915974617"/>
                </c:manualLayout>
              </c:layout>
              <c:showLegendKey val="0"/>
              <c:showVal val="1"/>
              <c:showCatName val="0"/>
              <c:showSerName val="0"/>
              <c:showPercent val="0"/>
              <c:showBubbleSize val="0"/>
              <c:extLst>
                <c:ext xmlns:c15="http://schemas.microsoft.com/office/drawing/2012/chart" uri="{CE6537A1-D6FC-4f65-9D91-7224C49458BB}">
                  <c15:layout>
                    <c:manualLayout>
                      <c:w val="4.457564575645756E-2"/>
                      <c:h val="2.6902440520261139E-2"/>
                    </c:manualLayout>
                  </c15:layout>
                </c:ext>
                <c:ext xmlns:c16="http://schemas.microsoft.com/office/drawing/2014/chart" uri="{C3380CC4-5D6E-409C-BE32-E72D297353CC}">
                  <c16:uniqueId val="{00000015-A7A1-4677-9BC5-CC9C91B7A9E8}"/>
                </c:ext>
              </c:extLst>
            </c:dLbl>
            <c:dLbl>
              <c:idx val="22"/>
              <c:layout>
                <c:manualLayout>
                  <c:x val="5.4243348732699925E-2"/>
                  <c:y val="0.25601716976993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7A1-4677-9BC5-CC9C91B7A9E8}"/>
                </c:ext>
              </c:extLst>
            </c:dLbl>
            <c:dLbl>
              <c:idx val="23"/>
              <c:layout>
                <c:manualLayout>
                  <c:x val="2.0417605579498427E-3"/>
                  <c:y val="0.26779523811308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7A1-4677-9BC5-CC9C91B7A9E8}"/>
                </c:ext>
              </c:extLst>
            </c:dLbl>
            <c:dLbl>
              <c:idx val="24"/>
              <c:layout>
                <c:manualLayout>
                  <c:x val="-5.4667170293750185E-2"/>
                  <c:y val="0.26695011940045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7A1-4677-9BC5-CC9C91B7A9E8}"/>
                </c:ext>
              </c:extLst>
            </c:dLbl>
            <c:dLbl>
              <c:idx val="25"/>
              <c:layout>
                <c:manualLayout>
                  <c:x val="-9.2520944107078867E-2"/>
                  <c:y val="0.25696487942153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7A1-4677-9BC5-CC9C91B7A9E8}"/>
                </c:ext>
              </c:extLst>
            </c:dLbl>
            <c:dLbl>
              <c:idx val="26"/>
              <c:layout>
                <c:manualLayout>
                  <c:x val="-0.13102226612817308"/>
                  <c:y val="0.24231815224543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7A1-4677-9BC5-CC9C91B7A9E8}"/>
                </c:ext>
              </c:extLst>
            </c:dLbl>
            <c:dLbl>
              <c:idx val="27"/>
              <c:layout>
                <c:manualLayout>
                  <c:x val="-0.17001520566386771"/>
                  <c:y val="0.22659964004000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7A1-4677-9BC5-CC9C91B7A9E8}"/>
                </c:ext>
              </c:extLst>
            </c:dLbl>
            <c:dLbl>
              <c:idx val="28"/>
              <c:layout>
                <c:manualLayout>
                  <c:x val="-0.20178613282195815"/>
                  <c:y val="0.20814758112223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7A1-4677-9BC5-CC9C91B7A9E8}"/>
                </c:ext>
              </c:extLst>
            </c:dLbl>
            <c:dLbl>
              <c:idx val="29"/>
              <c:layout>
                <c:manualLayout>
                  <c:x val="-0.23386620952823706"/>
                  <c:y val="0.18742557907587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7A1-4677-9BC5-CC9C91B7A9E8}"/>
                </c:ext>
              </c:extLst>
            </c:dLbl>
            <c:dLbl>
              <c:idx val="30"/>
              <c:layout>
                <c:manualLayout>
                  <c:x val="-0.26125868030333849"/>
                  <c:y val="0.16079762439838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7A1-4677-9BC5-CC9C91B7A9E8}"/>
                </c:ext>
              </c:extLst>
            </c:dLbl>
            <c:dLbl>
              <c:idx val="31"/>
              <c:layout>
                <c:manualLayout>
                  <c:x val="-0.28455879361943226"/>
                  <c:y val="0.12516731175847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7A1-4677-9BC5-CC9C91B7A9E8}"/>
                </c:ext>
              </c:extLst>
            </c:dLbl>
            <c:dLbl>
              <c:idx val="32"/>
              <c:layout>
                <c:manualLayout>
                  <c:x val="-0.30032755130700911"/>
                  <c:y val="8.6336313911412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7A1-4677-9BC5-CC9C91B7A9E8}"/>
                </c:ext>
              </c:extLst>
            </c:dLbl>
            <c:dLbl>
              <c:idx val="33"/>
              <c:layout>
                <c:manualLayout>
                  <c:x val="-0.31943806839643202"/>
                  <c:y val="5.3732768855171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7A1-4677-9BC5-CC9C91B7A9E8}"/>
                </c:ext>
              </c:extLst>
            </c:dLbl>
            <c:dLbl>
              <c:idx val="34"/>
              <c:layout>
                <c:manualLayout>
                  <c:x val="-0.31827430242806365"/>
                  <c:y val="1.2537092263475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7A1-4677-9BC5-CC9C91B7A9E8}"/>
                </c:ext>
              </c:extLst>
            </c:dLbl>
            <c:dLbl>
              <c:idx val="35"/>
              <c:layout>
                <c:manualLayout>
                  <c:x val="-0.3214456034324123"/>
                  <c:y val="-2.0839714584212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7A1-4677-9BC5-CC9C91B7A9E8}"/>
                </c:ext>
              </c:extLst>
            </c:dLbl>
            <c:dLbl>
              <c:idx val="36"/>
              <c:layout>
                <c:manualLayout>
                  <c:x val="-0.31780341110497717"/>
                  <c:y val="-5.0496557791995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7A1-4677-9BC5-CC9C91B7A9E8}"/>
                </c:ext>
              </c:extLst>
            </c:dLbl>
            <c:dLbl>
              <c:idx val="37"/>
              <c:layout>
                <c:manualLayout>
                  <c:x val="-0.31160356800418398"/>
                  <c:y val="-8.984595034404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7A1-4677-9BC5-CC9C91B7A9E8}"/>
                </c:ext>
              </c:extLst>
            </c:dLbl>
            <c:dLbl>
              <c:idx val="38"/>
              <c:layout>
                <c:manualLayout>
                  <c:x val="-0.29629930944978738"/>
                  <c:y val="-0.13062433068668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7A1-4677-9BC5-CC9C91B7A9E8}"/>
                </c:ext>
              </c:extLst>
            </c:dLbl>
            <c:dLbl>
              <c:idx val="39"/>
              <c:layout>
                <c:manualLayout>
                  <c:x val="-0.2679723766846881"/>
                  <c:y val="-0.17017947958789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7A1-4677-9BC5-CC9C91B7A9E8}"/>
                </c:ext>
              </c:extLst>
            </c:dLbl>
            <c:dLbl>
              <c:idx val="40"/>
              <c:layout>
                <c:manualLayout>
                  <c:x val="-0.23316190642221382"/>
                  <c:y val="-0.207077740293973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7A1-4677-9BC5-CC9C91B7A9E8}"/>
                </c:ext>
              </c:extLst>
            </c:dLbl>
            <c:dLbl>
              <c:idx val="41"/>
              <c:layout>
                <c:manualLayout>
                  <c:x val="-0.20608672070972678"/>
                  <c:y val="-0.22684558147607634"/>
                </c:manualLayout>
              </c:layout>
              <c:showLegendKey val="0"/>
              <c:showVal val="1"/>
              <c:showCatName val="0"/>
              <c:showSerName val="0"/>
              <c:showPercent val="0"/>
              <c:showBubbleSize val="0"/>
              <c:extLst>
                <c:ext xmlns:c15="http://schemas.microsoft.com/office/drawing/2012/chart" uri="{CE6537A1-D6FC-4f65-9D91-7224C49458BB}">
                  <c15:layout>
                    <c:manualLayout>
                      <c:w val="3.3357933579335794E-2"/>
                      <c:h val="3.1391777549461798E-2"/>
                    </c:manualLayout>
                  </c15:layout>
                </c:ext>
                <c:ext xmlns:c16="http://schemas.microsoft.com/office/drawing/2014/chart" uri="{C3380CC4-5D6E-409C-BE32-E72D297353CC}">
                  <c16:uniqueId val="{00000029-A7A1-4677-9BC5-CC9C91B7A9E8}"/>
                </c:ext>
              </c:extLst>
            </c:dLbl>
            <c:dLbl>
              <c:idx val="42"/>
              <c:layout>
                <c:manualLayout>
                  <c:x val="-0.17526590541495965"/>
                  <c:y val="-0.24595822689568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7A1-4677-9BC5-CC9C91B7A9E8}"/>
                </c:ext>
              </c:extLst>
            </c:dLbl>
            <c:dLbl>
              <c:idx val="43"/>
              <c:layout>
                <c:manualLayout>
                  <c:x val="-0.14394514338844175"/>
                  <c:y val="-0.26762528741036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7A1-4677-9BC5-CC9C91B7A9E8}"/>
                </c:ext>
              </c:extLst>
            </c:dLbl>
            <c:dLbl>
              <c:idx val="44"/>
              <c:layout>
                <c:manualLayout>
                  <c:x val="-0.10025292812283122"/>
                  <c:y val="-0.28293718401810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7A1-4677-9BC5-CC9C91B7A9E8}"/>
                </c:ext>
              </c:extLst>
            </c:dLbl>
            <c:dLbl>
              <c:idx val="45"/>
              <c:layout>
                <c:manualLayout>
                  <c:x val="-5.2363318567768803E-2"/>
                  <c:y val="-0.29094461954749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7A1-4677-9BC5-CC9C91B7A9E8}"/>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zaradenych_2023'!$A$2:$A$47</c:f>
              <c:strCache>
                <c:ptCount val="46"/>
                <c:pt idx="0">
                  <c:v>BA</c:v>
                </c:pt>
                <c:pt idx="1">
                  <c:v>KE</c:v>
                </c:pt>
                <c:pt idx="2">
                  <c:v>TN</c:v>
                </c:pt>
                <c:pt idx="3">
                  <c:v>NR</c:v>
                </c:pt>
                <c:pt idx="4">
                  <c:v>PO</c:v>
                </c:pt>
                <c:pt idx="5">
                  <c:v>ZA</c:v>
                </c:pt>
                <c:pt idx="6">
                  <c:v>PD</c:v>
                </c:pt>
                <c:pt idx="7">
                  <c:v>MA</c:v>
                </c:pt>
                <c:pt idx="8">
                  <c:v>LM</c:v>
                </c:pt>
                <c:pt idx="9">
                  <c:v>NM</c:v>
                </c:pt>
                <c:pt idx="10">
                  <c:v>BJ</c:v>
                </c:pt>
                <c:pt idx="11">
                  <c:v>NO</c:v>
                </c:pt>
                <c:pt idx="12">
                  <c:v>SN</c:v>
                </c:pt>
                <c:pt idx="13">
                  <c:v>PP</c:v>
                </c:pt>
                <c:pt idx="14">
                  <c:v>KK</c:v>
                </c:pt>
                <c:pt idx="15">
                  <c:v>NZ</c:v>
                </c:pt>
                <c:pt idx="16">
                  <c:v>RK</c:v>
                </c:pt>
                <c:pt idx="17">
                  <c:v>DS</c:v>
                </c:pt>
                <c:pt idx="18">
                  <c:v>PK</c:v>
                </c:pt>
                <c:pt idx="19">
                  <c:v>LV</c:v>
                </c:pt>
                <c:pt idx="20">
                  <c:v>GA</c:v>
                </c:pt>
                <c:pt idx="21">
                  <c:v>MT</c:v>
                </c:pt>
                <c:pt idx="22">
                  <c:v>TT</c:v>
                </c:pt>
                <c:pt idx="23">
                  <c:v>KN</c:v>
                </c:pt>
                <c:pt idx="24">
                  <c:v>LC</c:v>
                </c:pt>
                <c:pt idx="25">
                  <c:v>PN</c:v>
                </c:pt>
                <c:pt idx="26">
                  <c:v>HE</c:v>
                </c:pt>
                <c:pt idx="27">
                  <c:v>DK</c:v>
                </c:pt>
                <c:pt idx="28">
                  <c:v>RA</c:v>
                </c:pt>
                <c:pt idx="29">
                  <c:v>PE</c:v>
                </c:pt>
                <c:pt idx="30">
                  <c:v>CA</c:v>
                </c:pt>
                <c:pt idx="31">
                  <c:v>SE</c:v>
                </c:pt>
                <c:pt idx="32">
                  <c:v>BS</c:v>
                </c:pt>
                <c:pt idx="33">
                  <c:v>MI</c:v>
                </c:pt>
                <c:pt idx="34">
                  <c:v>PB</c:v>
                </c:pt>
                <c:pt idx="35">
                  <c:v>BB</c:v>
                </c:pt>
                <c:pt idx="36">
                  <c:v>SL</c:v>
                </c:pt>
                <c:pt idx="37">
                  <c:v>TO</c:v>
                </c:pt>
                <c:pt idx="38">
                  <c:v>VT</c:v>
                </c:pt>
                <c:pt idx="39">
                  <c:v>SP</c:v>
                </c:pt>
                <c:pt idx="40">
                  <c:v>TV</c:v>
                </c:pt>
                <c:pt idx="41">
                  <c:v>RS</c:v>
                </c:pt>
                <c:pt idx="42">
                  <c:v>VK</c:v>
                </c:pt>
                <c:pt idx="43">
                  <c:v>BR</c:v>
                </c:pt>
                <c:pt idx="44">
                  <c:v>ZV</c:v>
                </c:pt>
                <c:pt idx="45">
                  <c:v>RV</c:v>
                </c:pt>
              </c:strCache>
            </c:strRef>
          </c:cat>
          <c:val>
            <c:numRef>
              <c:f>'prehľad zaradenych_2023'!$B$2:$B$47</c:f>
              <c:numCache>
                <c:formatCode>General</c:formatCode>
                <c:ptCount val="46"/>
                <c:pt idx="0">
                  <c:v>545</c:v>
                </c:pt>
                <c:pt idx="1">
                  <c:v>288</c:v>
                </c:pt>
                <c:pt idx="2">
                  <c:v>268</c:v>
                </c:pt>
                <c:pt idx="3">
                  <c:v>221</c:v>
                </c:pt>
                <c:pt idx="4">
                  <c:v>207</c:v>
                </c:pt>
                <c:pt idx="5">
                  <c:v>176</c:v>
                </c:pt>
                <c:pt idx="6">
                  <c:v>151</c:v>
                </c:pt>
                <c:pt idx="7">
                  <c:v>131</c:v>
                </c:pt>
                <c:pt idx="8">
                  <c:v>119</c:v>
                </c:pt>
                <c:pt idx="9">
                  <c:v>92</c:v>
                </c:pt>
                <c:pt idx="10">
                  <c:v>81</c:v>
                </c:pt>
                <c:pt idx="11">
                  <c:v>75</c:v>
                </c:pt>
                <c:pt idx="12">
                  <c:v>75</c:v>
                </c:pt>
                <c:pt idx="13">
                  <c:v>73</c:v>
                </c:pt>
                <c:pt idx="14">
                  <c:v>71</c:v>
                </c:pt>
                <c:pt idx="15">
                  <c:v>69</c:v>
                </c:pt>
                <c:pt idx="16">
                  <c:v>67</c:v>
                </c:pt>
                <c:pt idx="17">
                  <c:v>66</c:v>
                </c:pt>
                <c:pt idx="18">
                  <c:v>65</c:v>
                </c:pt>
                <c:pt idx="19">
                  <c:v>63</c:v>
                </c:pt>
                <c:pt idx="20">
                  <c:v>63</c:v>
                </c:pt>
                <c:pt idx="21">
                  <c:v>57</c:v>
                </c:pt>
                <c:pt idx="22">
                  <c:v>52</c:v>
                </c:pt>
                <c:pt idx="23">
                  <c:v>37</c:v>
                </c:pt>
                <c:pt idx="24">
                  <c:v>36</c:v>
                </c:pt>
                <c:pt idx="25">
                  <c:v>36</c:v>
                </c:pt>
                <c:pt idx="26">
                  <c:v>35</c:v>
                </c:pt>
                <c:pt idx="27">
                  <c:v>28</c:v>
                </c:pt>
                <c:pt idx="28">
                  <c:v>28</c:v>
                </c:pt>
                <c:pt idx="29">
                  <c:v>25</c:v>
                </c:pt>
                <c:pt idx="30">
                  <c:v>24</c:v>
                </c:pt>
                <c:pt idx="31">
                  <c:v>22</c:v>
                </c:pt>
                <c:pt idx="32">
                  <c:v>22</c:v>
                </c:pt>
                <c:pt idx="33">
                  <c:v>20</c:v>
                </c:pt>
                <c:pt idx="34">
                  <c:v>20</c:v>
                </c:pt>
                <c:pt idx="35">
                  <c:v>18</c:v>
                </c:pt>
                <c:pt idx="36">
                  <c:v>14</c:v>
                </c:pt>
                <c:pt idx="37">
                  <c:v>14</c:v>
                </c:pt>
                <c:pt idx="38">
                  <c:v>11</c:v>
                </c:pt>
                <c:pt idx="39">
                  <c:v>10</c:v>
                </c:pt>
                <c:pt idx="40">
                  <c:v>4</c:v>
                </c:pt>
                <c:pt idx="41">
                  <c:v>1</c:v>
                </c:pt>
                <c:pt idx="42">
                  <c:v>1</c:v>
                </c:pt>
                <c:pt idx="43">
                  <c:v>1</c:v>
                </c:pt>
                <c:pt idx="44">
                  <c:v>0</c:v>
                </c:pt>
                <c:pt idx="45">
                  <c:v>0</c:v>
                </c:pt>
              </c:numCache>
            </c:numRef>
          </c:val>
          <c:extLst>
            <c:ext xmlns:c16="http://schemas.microsoft.com/office/drawing/2014/chart" uri="{C3380CC4-5D6E-409C-BE32-E72D297353CC}">
              <c16:uniqueId val="{0000002E-A7A1-4677-9BC5-CC9C91B7A9E8}"/>
            </c:ext>
          </c:extLst>
        </c:ser>
        <c:dLbls>
          <c:showLegendKey val="0"/>
          <c:showVal val="1"/>
          <c:showCatName val="0"/>
          <c:showSerName val="0"/>
          <c:showPercent val="0"/>
          <c:showBubbleSize val="0"/>
        </c:dLbls>
        <c:axId val="139365088"/>
        <c:axId val="139366264"/>
      </c:radarChart>
      <c:catAx>
        <c:axId val="139365088"/>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139366264"/>
        <c:crosses val="autoZero"/>
        <c:auto val="1"/>
        <c:lblAlgn val="ctr"/>
        <c:lblOffset val="100"/>
        <c:noMultiLvlLbl val="0"/>
      </c:catAx>
      <c:valAx>
        <c:axId val="139366264"/>
        <c:scaling>
          <c:orientation val="minMax"/>
        </c:scaling>
        <c:delete val="0"/>
        <c:axPos val="l"/>
        <c:majorGridlines/>
        <c:minorGridlines>
          <c:spPr>
            <a:ln>
              <a:noFill/>
            </a:ln>
          </c:spPr>
        </c:minorGridlines>
        <c:numFmt formatCode="General"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39365088"/>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sk-SK" sz="1200" b="1" i="0" baseline="0">
                <a:effectLst/>
              </a:rPr>
              <a:t>Prehľad</a:t>
            </a:r>
            <a:r>
              <a:rPr lang="en-US" sz="1200" b="1" i="0" baseline="0">
                <a:effectLst/>
              </a:rPr>
              <a:t> </a:t>
            </a:r>
            <a:r>
              <a:rPr lang="sk-SK" sz="1200" b="1" i="0" baseline="0">
                <a:effectLst/>
              </a:rPr>
              <a:t>odídencov </a:t>
            </a:r>
            <a:r>
              <a:rPr lang="en-US" sz="1200" b="1" i="0" baseline="0">
                <a:effectLst/>
              </a:rPr>
              <a:t>zaraden</a:t>
            </a:r>
            <a:r>
              <a:rPr lang="sk-SK" sz="1200" b="1" i="0" baseline="0">
                <a:effectLst/>
              </a:rPr>
              <a:t>ých</a:t>
            </a:r>
            <a:r>
              <a:rPr lang="en-US" sz="1200" b="1" i="0" baseline="0">
                <a:effectLst/>
              </a:rPr>
              <a:t> </a:t>
            </a:r>
            <a:r>
              <a:rPr lang="sk-SK" sz="1200" b="1" i="0" baseline="0">
                <a:effectLst/>
              </a:rPr>
              <a:t>v roku 2022 na opatrenie č. 1 - Vzdelávanie odídencov v rámci projektu Pomáhame odídencom podľa veku</a:t>
            </a:r>
            <a:endParaRPr lang="sk-SK" sz="1200">
              <a:effectLst/>
            </a:endParaRPr>
          </a:p>
        </c:rich>
      </c:tx>
      <c:layout>
        <c:manualLayout>
          <c:xMode val="edge"/>
          <c:yMode val="edge"/>
          <c:x val="8.7624215870059197E-2"/>
          <c:y val="3.5546865366661379E-2"/>
        </c:manualLayout>
      </c:layout>
      <c:overlay val="0"/>
    </c:title>
    <c:autoTitleDeleted val="0"/>
    <c:plotArea>
      <c:layout>
        <c:manualLayout>
          <c:layoutTarget val="inner"/>
          <c:xMode val="edge"/>
          <c:yMode val="edge"/>
          <c:x val="0.26312758012953968"/>
          <c:y val="0.24874702742694077"/>
          <c:w val="0.33597301794215068"/>
          <c:h val="0.69644876605189443"/>
        </c:manualLayout>
      </c:layout>
      <c:pieChart>
        <c:varyColors val="1"/>
        <c:ser>
          <c:idx val="0"/>
          <c:order val="0"/>
          <c:explosion val="5"/>
          <c:dPt>
            <c:idx val="0"/>
            <c:bubble3D val="0"/>
            <c:extLst>
              <c:ext xmlns:c16="http://schemas.microsoft.com/office/drawing/2014/chart" uri="{C3380CC4-5D6E-409C-BE32-E72D297353CC}">
                <c16:uniqueId val="{00000000-45F5-4623-A986-942A3C8256AA}"/>
              </c:ext>
            </c:extLst>
          </c:dPt>
          <c:dLbls>
            <c:dLbl>
              <c:idx val="0"/>
              <c:layout>
                <c:manualLayout>
                  <c:x val="-0.14393752251556791"/>
                  <c:y val="-6.1549117383949054E-2"/>
                </c:manualLayout>
              </c:layout>
              <c:tx>
                <c:rich>
                  <a:bodyPr/>
                  <a:lstStyle/>
                  <a:p>
                    <a:r>
                      <a:rPr lang="en-US" baseline="0"/>
                      <a:t>2 007
58,04%</a:t>
                    </a:r>
                    <a:endParaRPr lang="en-US"/>
                  </a:p>
                </c:rich>
              </c:tx>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5F5-4623-A986-942A3C8256AA}"/>
                </c:ext>
              </c:extLst>
            </c:dLbl>
            <c:dLbl>
              <c:idx val="1"/>
              <c:layout>
                <c:manualLayout>
                  <c:x val="9.8431201001835555E-2"/>
                  <c:y val="-5.451334331240091E-2"/>
                </c:manualLayout>
              </c:layout>
              <c:tx>
                <c:rich>
                  <a:bodyPr/>
                  <a:lstStyle/>
                  <a:p>
                    <a:r>
                      <a:rPr lang="en-US" baseline="0"/>
                      <a:t>627
18,13%</a:t>
                    </a:r>
                    <a:endParaRPr lang="en-US"/>
                  </a:p>
                </c:rich>
              </c:tx>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5F5-4623-A986-942A3C8256AA}"/>
                </c:ext>
              </c:extLst>
            </c:dLbl>
            <c:dLbl>
              <c:idx val="2"/>
              <c:layout>
                <c:manualLayout>
                  <c:x val="7.4272382618839228E-2"/>
                  <c:y val="0.14963823878887775"/>
                </c:manualLayout>
              </c:layout>
              <c:tx>
                <c:rich>
                  <a:bodyPr wrap="square" lIns="38100" tIns="19050" rIns="38100" bIns="19050" anchor="ctr">
                    <a:noAutofit/>
                  </a:bodyPr>
                  <a:lstStyle/>
                  <a:p>
                    <a:pPr>
                      <a:defRPr/>
                    </a:pPr>
                    <a:r>
                      <a:rPr lang="en-US"/>
                      <a:t>609</a:t>
                    </a:r>
                    <a:r>
                      <a:rPr lang="en-US" baseline="0"/>
                      <a:t>
17,52%</a:t>
                    </a:r>
                    <a:endParaRPr lang="en-US"/>
                  </a:p>
                </c:rich>
              </c:tx>
              <c:numFmt formatCode="0.00%" sourceLinked="0"/>
              <c:spPr>
                <a:noFill/>
                <a:ln>
                  <a:noFill/>
                </a:ln>
                <a:effectLst/>
              </c:spPr>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8.7376872008645967E-2"/>
                      <c:h val="0.1272658067804576"/>
                    </c:manualLayout>
                  </c15:layout>
                </c:ext>
                <c:ext xmlns:c16="http://schemas.microsoft.com/office/drawing/2014/chart" uri="{C3380CC4-5D6E-409C-BE32-E72D297353CC}">
                  <c16:uniqueId val="{00000002-45F5-4623-A986-942A3C8256AA}"/>
                </c:ext>
              </c:extLst>
            </c:dLbl>
            <c:dLbl>
              <c:idx val="3"/>
              <c:layout>
                <c:manualLayout>
                  <c:x val="1.8987543997103926E-2"/>
                  <c:y val="9.3617649743202538E-2"/>
                </c:manualLayout>
              </c:layout>
              <c:tx>
                <c:rich>
                  <a:bodyPr/>
                  <a:lstStyle/>
                  <a:p>
                    <a:r>
                      <a:rPr lang="en-US"/>
                      <a:t>215</a:t>
                    </a:r>
                    <a:r>
                      <a:rPr lang="en-US" baseline="0"/>
                      <a:t>
6,32%</a:t>
                    </a:r>
                    <a:endParaRPr lang="en-US"/>
                  </a:p>
                </c:rich>
              </c:tx>
              <c:dLblPos val="bestFit"/>
              <c:showLegendKey val="1"/>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5F5-4623-A986-942A3C8256AA}"/>
                </c:ext>
              </c:extLst>
            </c:dLbl>
            <c:numFmt formatCode="0.00%" sourceLinked="0"/>
            <c:spPr>
              <a:noFill/>
              <a:ln>
                <a:noFill/>
              </a:ln>
              <a:effectLst/>
            </c:spPr>
            <c:dLblPos val="ctr"/>
            <c:showLegendKey val="1"/>
            <c:showVal val="1"/>
            <c:showCatName val="0"/>
            <c:showSerName val="0"/>
            <c:showPercent val="1"/>
            <c:showBubbleSize val="0"/>
            <c:separator>
</c:separator>
            <c:showLeaderLines val="1"/>
            <c:extLst>
              <c:ext xmlns:c15="http://schemas.microsoft.com/office/drawing/2012/chart" uri="{CE6537A1-D6FC-4f65-9D91-7224C49458BB}"/>
            </c:extLst>
          </c:dLbls>
          <c:cat>
            <c:strRef>
              <c:f>vek_2022!$B$11:$B$14</c:f>
              <c:strCache>
                <c:ptCount val="4"/>
                <c:pt idx="0">
                  <c:v>30 - 49 r.</c:v>
                </c:pt>
                <c:pt idx="1">
                  <c:v>50 a viac r.</c:v>
                </c:pt>
                <c:pt idx="2">
                  <c:v>do 24 r.</c:v>
                </c:pt>
                <c:pt idx="3">
                  <c:v>25 - 29 r.</c:v>
                </c:pt>
              </c:strCache>
            </c:strRef>
          </c:cat>
          <c:val>
            <c:numRef>
              <c:f>vek_2022!$C$11:$C$14</c:f>
              <c:numCache>
                <c:formatCode>#,##0</c:formatCode>
                <c:ptCount val="4"/>
                <c:pt idx="0">
                  <c:v>1600</c:v>
                </c:pt>
                <c:pt idx="1">
                  <c:v>526</c:v>
                </c:pt>
                <c:pt idx="2">
                  <c:v>385</c:v>
                </c:pt>
                <c:pt idx="3">
                  <c:v>141</c:v>
                </c:pt>
              </c:numCache>
            </c:numRef>
          </c:val>
          <c:extLst>
            <c:ext xmlns:c16="http://schemas.microsoft.com/office/drawing/2014/chart" uri="{C3380CC4-5D6E-409C-BE32-E72D297353CC}">
              <c16:uniqueId val="{00000004-45F5-4623-A986-942A3C8256AA}"/>
            </c:ext>
          </c:extLst>
        </c:ser>
        <c:ser>
          <c:idx val="1"/>
          <c:order val="1"/>
          <c:explosion val="25"/>
          <c:cat>
            <c:strRef>
              <c:f>vek_2022!$B$11:$B$14</c:f>
              <c:strCache>
                <c:ptCount val="4"/>
                <c:pt idx="0">
                  <c:v>30 - 49 r.</c:v>
                </c:pt>
                <c:pt idx="1">
                  <c:v>50 a viac r.</c:v>
                </c:pt>
                <c:pt idx="2">
                  <c:v>do 24 r.</c:v>
                </c:pt>
                <c:pt idx="3">
                  <c:v>25 - 29 r.</c:v>
                </c:pt>
              </c:strCache>
            </c:strRef>
          </c:cat>
          <c:val>
            <c:numRef>
              <c:f>vek_2022!$D$11:$D$14</c:f>
              <c:numCache>
                <c:formatCode>0.00</c:formatCode>
                <c:ptCount val="4"/>
                <c:pt idx="0">
                  <c:v>60.331825037707389</c:v>
                </c:pt>
                <c:pt idx="1">
                  <c:v>19.834087481146305</c:v>
                </c:pt>
                <c:pt idx="2">
                  <c:v>14.517345399698343</c:v>
                </c:pt>
                <c:pt idx="3">
                  <c:v>5.3167420814479636</c:v>
                </c:pt>
              </c:numCache>
            </c:numRef>
          </c:val>
          <c:extLst>
            <c:ext xmlns:c16="http://schemas.microsoft.com/office/drawing/2014/chart" uri="{C3380CC4-5D6E-409C-BE32-E72D297353CC}">
              <c16:uniqueId val="{00000005-45F5-4623-A986-942A3C8256A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061520315572469"/>
          <c:y val="0.27463582196338793"/>
          <c:w val="0.13835901636836731"/>
          <c:h val="0.610299304917124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sk-SK" sz="1200" b="1" i="0" baseline="0">
                <a:effectLst/>
              </a:rPr>
              <a:t>Prehľad</a:t>
            </a:r>
            <a:r>
              <a:rPr lang="en-US" sz="1200" b="1" i="0" baseline="0">
                <a:effectLst/>
              </a:rPr>
              <a:t> </a:t>
            </a:r>
            <a:r>
              <a:rPr lang="sk-SK" sz="1200" b="1" i="0" baseline="0">
                <a:effectLst/>
              </a:rPr>
              <a:t>odídencov </a:t>
            </a:r>
            <a:r>
              <a:rPr lang="en-US" sz="1200" b="1" i="0" baseline="0">
                <a:effectLst/>
              </a:rPr>
              <a:t>zaraden</a:t>
            </a:r>
            <a:r>
              <a:rPr lang="sk-SK" sz="1200" b="1" i="0" baseline="0">
                <a:effectLst/>
              </a:rPr>
              <a:t>ých</a:t>
            </a:r>
            <a:r>
              <a:rPr lang="en-US" sz="1200" b="1" i="0" baseline="0">
                <a:effectLst/>
              </a:rPr>
              <a:t> </a:t>
            </a:r>
            <a:r>
              <a:rPr lang="sk-SK" sz="1200" b="1" i="0" baseline="0">
                <a:effectLst/>
              </a:rPr>
              <a:t>v roku 2023 </a:t>
            </a:r>
            <a:endParaRPr lang="sk-SK" sz="1200">
              <a:effectLst/>
            </a:endParaRPr>
          </a:p>
          <a:p>
            <a:pPr>
              <a:defRPr/>
            </a:pPr>
            <a:r>
              <a:rPr lang="sk-SK" sz="1200" b="1" i="0" baseline="0">
                <a:effectLst/>
              </a:rPr>
              <a:t> na vzdelávaniev rámci projektu </a:t>
            </a:r>
            <a:endParaRPr lang="sk-SK" sz="1200">
              <a:effectLst/>
            </a:endParaRPr>
          </a:p>
          <a:p>
            <a:pPr>
              <a:defRPr/>
            </a:pPr>
            <a:r>
              <a:rPr lang="sk-SK" sz="1200" b="1" i="0" baseline="0">
                <a:effectLst/>
              </a:rPr>
              <a:t>Pomáhame odídencom podľa vzdelania</a:t>
            </a:r>
            <a:endParaRPr lang="sk-SK"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sk-SK"/>
        </a:p>
      </c:txPr>
    </c:title>
    <c:autoTitleDeleted val="0"/>
    <c:plotArea>
      <c:layout/>
      <c:barChart>
        <c:barDir val="col"/>
        <c:grouping val="clustered"/>
        <c:varyColors val="0"/>
        <c:ser>
          <c:idx val="0"/>
          <c:order val="0"/>
          <c:tx>
            <c:v>Počet odídencov</c:v>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vzdelanie_2023!$B$5:$L$5</c:f>
              <c:strCache>
                <c:ptCount val="11"/>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pt idx="10">
                  <c:v>neurčené</c:v>
                </c:pt>
              </c:strCache>
            </c:strRef>
          </c:cat>
          <c:val>
            <c:numRef>
              <c:f>vzdelanie_2023!$B$6:$L$6</c:f>
              <c:numCache>
                <c:formatCode>#,##0</c:formatCode>
                <c:ptCount val="11"/>
                <c:pt idx="0">
                  <c:v>27</c:v>
                </c:pt>
                <c:pt idx="1">
                  <c:v>166</c:v>
                </c:pt>
                <c:pt idx="2">
                  <c:v>30</c:v>
                </c:pt>
                <c:pt idx="3">
                  <c:v>374</c:v>
                </c:pt>
                <c:pt idx="4">
                  <c:v>363</c:v>
                </c:pt>
                <c:pt idx="5">
                  <c:v>625</c:v>
                </c:pt>
                <c:pt idx="6">
                  <c:v>50</c:v>
                </c:pt>
                <c:pt idx="7">
                  <c:v>219</c:v>
                </c:pt>
                <c:pt idx="8">
                  <c:v>1466</c:v>
                </c:pt>
                <c:pt idx="9">
                  <c:v>14</c:v>
                </c:pt>
                <c:pt idx="10">
                  <c:v>124</c:v>
                </c:pt>
              </c:numCache>
            </c:numRef>
          </c:val>
          <c:extLst>
            <c:ext xmlns:c16="http://schemas.microsoft.com/office/drawing/2014/chart" uri="{C3380CC4-5D6E-409C-BE32-E72D297353CC}">
              <c16:uniqueId val="{00000000-4A63-4EDF-A382-E463AFB34AFF}"/>
            </c:ext>
          </c:extLst>
        </c:ser>
        <c:dLbls>
          <c:showLegendKey val="0"/>
          <c:showVal val="0"/>
          <c:showCatName val="0"/>
          <c:showSerName val="0"/>
          <c:showPercent val="0"/>
          <c:showBubbleSize val="0"/>
        </c:dLbls>
        <c:gapWidth val="150"/>
        <c:axId val="139369008"/>
        <c:axId val="139363520"/>
      </c:barChart>
      <c:catAx>
        <c:axId val="13936900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139363520"/>
        <c:crosses val="autoZero"/>
        <c:auto val="1"/>
        <c:lblAlgn val="ctr"/>
        <c:lblOffset val="100"/>
        <c:noMultiLvlLbl val="0"/>
      </c:catAx>
      <c:valAx>
        <c:axId val="1393635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k-SK"/>
          </a:p>
        </c:txPr>
        <c:crossAx val="139369008"/>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mn-lt"/>
                <a:ea typeface="+mn-ea"/>
                <a:cs typeface="+mn-cs"/>
              </a:defRPr>
            </a:pPr>
            <a:endParaRPr lang="sk-SK"/>
          </a:p>
        </c:txPr>
      </c:dTable>
      <c:spPr>
        <a:noFill/>
        <a:ln w="25400">
          <a:noFill/>
        </a:ln>
        <a:effectLst/>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w="9525" cap="flat" cmpd="sng" algn="ctr">
      <a:solidFill>
        <a:schemeClr val="tx1">
          <a:tint val="75000"/>
          <a:shade val="95000"/>
          <a:satMod val="105000"/>
        </a:schemeClr>
      </a:solidFill>
      <a:prstDash val="solid"/>
      <a:round/>
    </a:ln>
    <a:effectLst/>
  </c:spPr>
  <c:txPr>
    <a:bodyPr/>
    <a:lstStyle/>
    <a:p>
      <a:pPr>
        <a:defRPr/>
      </a:pPr>
      <a:endParaRPr lang="sk-SK"/>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b="1" i="0" baseline="0">
                <a:solidFill>
                  <a:srgbClr val="002060"/>
                </a:solidFill>
                <a:effectLst/>
              </a:rPr>
              <a:t>Prehľad</a:t>
            </a:r>
            <a:r>
              <a:rPr lang="en-US" sz="1200" b="1" i="0" baseline="0">
                <a:solidFill>
                  <a:srgbClr val="002060"/>
                </a:solidFill>
                <a:effectLst/>
              </a:rPr>
              <a:t> </a:t>
            </a:r>
            <a:r>
              <a:rPr lang="sk-SK" sz="1200" b="1" i="0" baseline="0">
                <a:solidFill>
                  <a:srgbClr val="002060"/>
                </a:solidFill>
                <a:effectLst/>
              </a:rPr>
              <a:t>odídencov </a:t>
            </a:r>
            <a:r>
              <a:rPr lang="en-US" sz="1200" b="1" i="0" baseline="0">
                <a:solidFill>
                  <a:srgbClr val="002060"/>
                </a:solidFill>
                <a:effectLst/>
              </a:rPr>
              <a:t>zaraden</a:t>
            </a:r>
            <a:r>
              <a:rPr lang="sk-SK" sz="1200" b="1" i="0" baseline="0">
                <a:solidFill>
                  <a:srgbClr val="002060"/>
                </a:solidFill>
                <a:effectLst/>
              </a:rPr>
              <a:t>ých</a:t>
            </a:r>
            <a:r>
              <a:rPr lang="en-US" sz="1200" b="1" i="0" baseline="0">
                <a:solidFill>
                  <a:srgbClr val="002060"/>
                </a:solidFill>
                <a:effectLst/>
              </a:rPr>
              <a:t> </a:t>
            </a:r>
            <a:r>
              <a:rPr lang="sk-SK" sz="1200" b="1" i="0" baseline="0">
                <a:solidFill>
                  <a:srgbClr val="002060"/>
                </a:solidFill>
                <a:effectLst/>
              </a:rPr>
              <a:t>v roku 2023 </a:t>
            </a:r>
            <a:endParaRPr lang="sk-SK" sz="1200">
              <a:solidFill>
                <a:srgbClr val="002060"/>
              </a:solidFill>
              <a:effectLst/>
            </a:endParaRPr>
          </a:p>
          <a:p>
            <a:pPr>
              <a:defRPr sz="1200">
                <a:solidFill>
                  <a:srgbClr val="002060"/>
                </a:solidFill>
              </a:defRPr>
            </a:pPr>
            <a:r>
              <a:rPr lang="sk-SK" sz="1200" b="1" i="0" baseline="0">
                <a:solidFill>
                  <a:srgbClr val="002060"/>
                </a:solidFill>
                <a:effectLst/>
              </a:rPr>
              <a:t> na vzdelávanie v rámci projektu </a:t>
            </a:r>
            <a:endParaRPr lang="sk-SK" sz="1200">
              <a:solidFill>
                <a:srgbClr val="002060"/>
              </a:solidFill>
              <a:effectLst/>
            </a:endParaRPr>
          </a:p>
          <a:p>
            <a:pPr>
              <a:defRPr sz="1200">
                <a:solidFill>
                  <a:srgbClr val="002060"/>
                </a:solidFill>
              </a:defRPr>
            </a:pPr>
            <a:r>
              <a:rPr lang="sk-SK" sz="1200" b="1" i="0" baseline="0">
                <a:solidFill>
                  <a:srgbClr val="002060"/>
                </a:solidFill>
                <a:effectLst/>
              </a:rPr>
              <a:t>Pomáhame odídencom podľa vzdelávacích kategórií</a:t>
            </a:r>
            <a:endParaRPr lang="sk-SK" sz="1200">
              <a:solidFill>
                <a:srgbClr val="002060"/>
              </a:solidFill>
              <a:effectLst/>
            </a:endParaRPr>
          </a:p>
          <a:p>
            <a:pPr>
              <a:defRPr sz="1200">
                <a:solidFill>
                  <a:srgbClr val="002060"/>
                </a:solidFill>
              </a:defRPr>
            </a:pPr>
            <a:endParaRPr lang="sk-SK" sz="1200">
              <a:solidFill>
                <a:srgbClr val="002060"/>
              </a:solidFill>
            </a:endParaRPr>
          </a:p>
        </c:rich>
      </c:tx>
      <c:overlay val="0"/>
    </c:title>
    <c:autoTitleDeleted val="0"/>
    <c:plotArea>
      <c:layout/>
      <c:barChart>
        <c:barDir val="col"/>
        <c:grouping val="clustered"/>
        <c:varyColors val="0"/>
        <c:ser>
          <c:idx val="0"/>
          <c:order val="0"/>
          <c:tx>
            <c:v>Vzdelávacia kategória</c:v>
          </c:tx>
          <c:spPr>
            <a:solidFill>
              <a:schemeClr val="accent2"/>
            </a:solidFill>
          </c:spPr>
          <c:invertIfNegative val="0"/>
          <c:cat>
            <c:strRef>
              <c:f>'typy kurzov P.O'!$A$5:$A$11</c:f>
              <c:strCache>
                <c:ptCount val="7"/>
                <c:pt idx="0">
                  <c:v>Slovenský jazyk</c:v>
                </c:pt>
                <c:pt idx="1">
                  <c:v>Beauty služby</c:v>
                </c:pt>
                <c:pt idx="2">
                  <c:v>Účtovníctvo, dane, financie</c:v>
                </c:pt>
                <c:pt idx="3">
                  <c:v>Anglický jazyk </c:v>
                </c:pt>
                <c:pt idx="4">
                  <c:v>Služby - iné</c:v>
                </c:pt>
                <c:pt idx="5">
                  <c:v>Ostatné kurzy </c:v>
                </c:pt>
                <c:pt idx="6">
                  <c:v>Kurzy opatrovania</c:v>
                </c:pt>
              </c:strCache>
            </c:strRef>
          </c:cat>
          <c:val>
            <c:numRef>
              <c:f>'typy kurzov P.O'!$B$5:$B$11</c:f>
              <c:numCache>
                <c:formatCode>General</c:formatCode>
                <c:ptCount val="7"/>
                <c:pt idx="0">
                  <c:v>2727</c:v>
                </c:pt>
                <c:pt idx="1">
                  <c:v>415</c:v>
                </c:pt>
                <c:pt idx="2">
                  <c:v>69</c:v>
                </c:pt>
                <c:pt idx="3">
                  <c:v>57</c:v>
                </c:pt>
                <c:pt idx="4">
                  <c:v>52</c:v>
                </c:pt>
                <c:pt idx="5">
                  <c:v>44</c:v>
                </c:pt>
                <c:pt idx="6">
                  <c:v>41</c:v>
                </c:pt>
              </c:numCache>
            </c:numRef>
          </c:val>
          <c:extLst>
            <c:ext xmlns:c16="http://schemas.microsoft.com/office/drawing/2014/chart" uri="{C3380CC4-5D6E-409C-BE32-E72D297353CC}">
              <c16:uniqueId val="{00000000-D8F1-48F5-B259-FEF4501A6BB2}"/>
            </c:ext>
          </c:extLst>
        </c:ser>
        <c:dLbls>
          <c:showLegendKey val="0"/>
          <c:showVal val="0"/>
          <c:showCatName val="0"/>
          <c:showSerName val="0"/>
          <c:showPercent val="0"/>
          <c:showBubbleSize val="0"/>
        </c:dLbls>
        <c:gapWidth val="150"/>
        <c:axId val="139366656"/>
        <c:axId val="139367440"/>
      </c:barChart>
      <c:catAx>
        <c:axId val="139366656"/>
        <c:scaling>
          <c:orientation val="minMax"/>
        </c:scaling>
        <c:delete val="0"/>
        <c:axPos val="b"/>
        <c:numFmt formatCode="General" sourceLinked="1"/>
        <c:majorTickMark val="none"/>
        <c:minorTickMark val="none"/>
        <c:tickLblPos val="nextTo"/>
        <c:txPr>
          <a:bodyPr anchor="t" anchorCtr="0"/>
          <a:lstStyle/>
          <a:p>
            <a:pPr>
              <a:defRPr sz="600"/>
            </a:pPr>
            <a:endParaRPr lang="sk-SK"/>
          </a:p>
        </c:txPr>
        <c:crossAx val="139367440"/>
        <c:crosses val="autoZero"/>
        <c:auto val="1"/>
        <c:lblAlgn val="ctr"/>
        <c:lblOffset val="100"/>
        <c:noMultiLvlLbl val="0"/>
      </c:catAx>
      <c:valAx>
        <c:axId val="139367440"/>
        <c:scaling>
          <c:orientation val="minMax"/>
        </c:scaling>
        <c:delete val="0"/>
        <c:axPos val="l"/>
        <c:majorGridlines/>
        <c:numFmt formatCode="General" sourceLinked="1"/>
        <c:majorTickMark val="none"/>
        <c:minorTickMark val="none"/>
        <c:tickLblPos val="nextTo"/>
        <c:crossAx val="139366656"/>
        <c:crosses val="autoZero"/>
        <c:crossBetween val="between"/>
      </c:valAx>
      <c:dTable>
        <c:showHorzBorder val="1"/>
        <c:showVertBorder val="1"/>
        <c:showOutline val="1"/>
        <c:showKeys val="1"/>
      </c:dTable>
      <c:spPr>
        <a:noFill/>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odídencov</a:t>
            </a:r>
            <a:r>
              <a:rPr lang="en-US" sz="1200">
                <a:solidFill>
                  <a:sysClr val="windowText" lastClr="000000"/>
                </a:solidFill>
              </a:rPr>
              <a:t> podľa veku</a:t>
            </a:r>
          </a:p>
        </c:rich>
      </c:tx>
      <c:layout>
        <c:manualLayout>
          <c:xMode val="edge"/>
          <c:yMode val="edge"/>
          <c:x val="0.21649515852130968"/>
          <c:y val="5.640902263908412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5856977565710659"/>
          <c:y val="0.32039889055771126"/>
          <c:w val="0.49380300966930502"/>
          <c:h val="0.52894070257804415"/>
        </c:manualLayout>
      </c:layout>
      <c:pie3DChart>
        <c:varyColors val="1"/>
        <c:ser>
          <c:idx val="0"/>
          <c:order val="0"/>
          <c:tx>
            <c:strRef>
              <c:f>Hárok1!$B$1</c:f>
              <c:strCache>
                <c:ptCount val="1"/>
                <c:pt idx="0">
                  <c:v>Štruktúra zaradených odídencov podľa veku</c:v>
                </c:pt>
              </c:strCache>
            </c:strRef>
          </c:tx>
          <c:explosion val="9"/>
          <c:dPt>
            <c:idx val="0"/>
            <c:bubble3D val="0"/>
            <c:extLst>
              <c:ext xmlns:c16="http://schemas.microsoft.com/office/drawing/2014/chart" uri="{C3380CC4-5D6E-409C-BE32-E72D297353CC}">
                <c16:uniqueId val="{00000000-05E7-4B57-B846-DEAB72B65359}"/>
              </c:ext>
            </c:extLst>
          </c:dPt>
          <c:dLbls>
            <c:dLbl>
              <c:idx val="0"/>
              <c:layout>
                <c:manualLayout>
                  <c:x val="-3.8167277701398515E-2"/>
                  <c:y val="9.44728350295178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5E7-4B57-B846-DEAB72B65359}"/>
                </c:ext>
              </c:extLst>
            </c:dLbl>
            <c:dLbl>
              <c:idx val="1"/>
              <c:layout>
                <c:manualLayout>
                  <c:x val="-1.1946523589622818E-2"/>
                  <c:y val="-1.14051217190168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E7-4B57-B846-DEAB72B65359}"/>
                </c:ext>
              </c:extLst>
            </c:dLbl>
            <c:dLbl>
              <c:idx val="2"/>
              <c:layout>
                <c:manualLayout>
                  <c:x val="-9.6006749156355542E-2"/>
                  <c:y val="-0.248331884092838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5E7-4B57-B846-DEAB72B65359}"/>
                </c:ext>
              </c:extLst>
            </c:dLbl>
            <c:dLbl>
              <c:idx val="3"/>
              <c:layout>
                <c:manualLayout>
                  <c:x val="9.7449884736630146E-2"/>
                  <c:y val="6.76089593994988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E7-4B57-B846-DEAB72B65359}"/>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122</c:v>
                </c:pt>
                <c:pt idx="1">
                  <c:v>81</c:v>
                </c:pt>
                <c:pt idx="2">
                  <c:v>736</c:v>
                </c:pt>
                <c:pt idx="3">
                  <c:v>336</c:v>
                </c:pt>
              </c:numCache>
            </c:numRef>
          </c:val>
          <c:extLst>
            <c:ext xmlns:c16="http://schemas.microsoft.com/office/drawing/2014/chart" uri="{C3380CC4-5D6E-409C-BE32-E72D297353CC}">
              <c16:uniqueId val="{00000004-05E7-4B57-B846-DEAB72B65359}"/>
            </c:ext>
          </c:extLst>
        </c:ser>
        <c:dLbls>
          <c:showLegendKey val="0"/>
          <c:showVal val="0"/>
          <c:showCatName val="0"/>
          <c:showSerName val="0"/>
          <c:showPercent val="0"/>
          <c:showBubbleSize val="0"/>
          <c:showLeaderLines val="1"/>
        </c:dLbls>
      </c:pie3DChart>
    </c:plotArea>
    <c:legend>
      <c:legendPos val="r"/>
      <c:layout>
        <c:manualLayout>
          <c:xMode val="edge"/>
          <c:yMode val="edge"/>
          <c:x val="0.72392582871585498"/>
          <c:y val="0.17882573713641534"/>
          <c:w val="0.18944943325517341"/>
          <c:h val="0.6525555322607807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odídencov</a:t>
            </a:r>
            <a:r>
              <a:rPr lang="en-US" sz="1200">
                <a:solidFill>
                  <a:sysClr val="windowText" lastClr="000000"/>
                </a:solidFill>
              </a:rPr>
              <a:t> podľa veku</a:t>
            </a:r>
          </a:p>
        </c:rich>
      </c:tx>
      <c:layout>
        <c:manualLayout>
          <c:xMode val="edge"/>
          <c:yMode val="edge"/>
          <c:x val="0.19165740785469301"/>
          <c:y val="6.55242509955452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4002998474883893"/>
          <c:y val="0.32717821128493102"/>
          <c:w val="0.48547758217339398"/>
          <c:h val="0.52085050489606721"/>
        </c:manualLayout>
      </c:layout>
      <c:pie3DChart>
        <c:varyColors val="1"/>
        <c:ser>
          <c:idx val="0"/>
          <c:order val="0"/>
          <c:tx>
            <c:strRef>
              <c:f>Hárok1!$B$1</c:f>
              <c:strCache>
                <c:ptCount val="1"/>
                <c:pt idx="0">
                  <c:v>Štruktúra zaradených odídencov podľa veku</c:v>
                </c:pt>
              </c:strCache>
            </c:strRef>
          </c:tx>
          <c:explosion val="6"/>
          <c:dPt>
            <c:idx val="0"/>
            <c:bubble3D val="0"/>
            <c:extLst>
              <c:ext xmlns:c16="http://schemas.microsoft.com/office/drawing/2014/chart" uri="{C3380CC4-5D6E-409C-BE32-E72D297353CC}">
                <c16:uniqueId val="{00000000-7F7D-4F0C-823E-6C35C054AE17}"/>
              </c:ext>
            </c:extLst>
          </c:dPt>
          <c:dPt>
            <c:idx val="3"/>
            <c:bubble3D val="0"/>
            <c:explosion val="4"/>
            <c:extLst>
              <c:ext xmlns:c16="http://schemas.microsoft.com/office/drawing/2014/chart" uri="{C3380CC4-5D6E-409C-BE32-E72D297353CC}">
                <c16:uniqueId val="{00000002-7F7D-4F0C-823E-6C35C054AE17}"/>
              </c:ext>
            </c:extLst>
          </c:dPt>
          <c:dLbls>
            <c:dLbl>
              <c:idx val="0"/>
              <c:layout>
                <c:manualLayout>
                  <c:x val="-3.8167277701398515E-2"/>
                  <c:y val="9.44728350295178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7D-4F0C-823E-6C35C054AE17}"/>
                </c:ext>
              </c:extLst>
            </c:dLbl>
            <c:dLbl>
              <c:idx val="1"/>
              <c:layout>
                <c:manualLayout>
                  <c:x val="-6.9991251093613294E-4"/>
                  <c:y val="5.121564874263970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7D-4F0C-823E-6C35C054AE17}"/>
                </c:ext>
              </c:extLst>
            </c:dLbl>
            <c:dLbl>
              <c:idx val="2"/>
              <c:layout>
                <c:manualLayout>
                  <c:x val="-0.15887862560124769"/>
                  <c:y val="-0.124337171887053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F7D-4F0C-823E-6C35C054AE17}"/>
                </c:ext>
              </c:extLst>
            </c:dLbl>
            <c:dLbl>
              <c:idx val="3"/>
              <c:layout>
                <c:manualLayout>
                  <c:x val="0.13522931949457234"/>
                  <c:y val="5.45541416766858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7D-4F0C-823E-6C35C054AE17}"/>
                </c:ext>
              </c:extLst>
            </c:dLbl>
            <c:numFmt formatCode="0.00%" sourceLinked="0"/>
            <c:spPr>
              <a:noFill/>
              <a:ln>
                <a:noFill/>
              </a:ln>
              <a:effectLst/>
            </c:spPr>
            <c:txPr>
              <a:bodyPr/>
              <a:lstStyle/>
              <a:p>
                <a:pPr>
                  <a:defRPr sz="10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22</c:v>
                </c:pt>
                <c:pt idx="1">
                  <c:v>14</c:v>
                </c:pt>
                <c:pt idx="2">
                  <c:v>149</c:v>
                </c:pt>
                <c:pt idx="3">
                  <c:v>158</c:v>
                </c:pt>
              </c:numCache>
            </c:numRef>
          </c:val>
          <c:extLst>
            <c:ext xmlns:c16="http://schemas.microsoft.com/office/drawing/2014/chart" uri="{C3380CC4-5D6E-409C-BE32-E72D297353CC}">
              <c16:uniqueId val="{00000005-7F7D-4F0C-823E-6C35C054AE17}"/>
            </c:ext>
          </c:extLst>
        </c:ser>
        <c:dLbls>
          <c:showLegendKey val="0"/>
          <c:showVal val="0"/>
          <c:showCatName val="0"/>
          <c:showSerName val="0"/>
          <c:showPercent val="0"/>
          <c:showBubbleSize val="0"/>
          <c:showLeaderLines val="1"/>
        </c:dLbls>
      </c:pie3DChart>
    </c:plotArea>
    <c:legend>
      <c:legendPos val="r"/>
      <c:layout>
        <c:manualLayout>
          <c:xMode val="edge"/>
          <c:yMode val="edge"/>
          <c:x val="0.6908570016812321"/>
          <c:y val="0.26612390250484297"/>
          <c:w val="0.203786269562171"/>
          <c:h val="0.48850237779683481"/>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u="none" strike="noStrike" baseline="0">
                <a:solidFill>
                  <a:srgbClr val="002060"/>
                </a:solidFill>
                <a:effectLst/>
              </a:rPr>
              <a:t>rehľad UoZ zaradených na rekvalifikačný kurz (REPAS+) v roku 2023 v štruktúre podľa jednotlivých úradov </a:t>
            </a:r>
            <a:endParaRPr lang="sk-SK" sz="1200">
              <a:solidFill>
                <a:srgbClr val="002060"/>
              </a:solidFill>
              <a:effectLst/>
            </a:endParaRPr>
          </a:p>
        </c:rich>
      </c:tx>
      <c:layout>
        <c:manualLayout>
          <c:xMode val="edge"/>
          <c:yMode val="edge"/>
          <c:x val="0.14197354997898184"/>
          <c:y val="2.1558254370746027E-3"/>
        </c:manualLayout>
      </c:layout>
      <c:overlay val="0"/>
    </c:title>
    <c:autoTitleDeleted val="0"/>
    <c:plotArea>
      <c:layout>
        <c:manualLayout>
          <c:layoutTarget val="inner"/>
          <c:xMode val="edge"/>
          <c:yMode val="edge"/>
          <c:x val="0.18260340140434569"/>
          <c:y val="0.18779105832109969"/>
          <c:w val="0.50916585303802897"/>
          <c:h val="0.64531162418257038"/>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1.9655133779081079E-3"/>
                  <c:y val="-5.86324302682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96-489E-AFF9-F91B205AB48C}"/>
                </c:ext>
              </c:extLst>
            </c:dLbl>
            <c:dLbl>
              <c:idx val="1"/>
              <c:layout>
                <c:manualLayout>
                  <c:x val="2.3373704477161816E-2"/>
                  <c:y val="-6.8590524489523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96-489E-AFF9-F91B205AB48C}"/>
                </c:ext>
              </c:extLst>
            </c:dLbl>
            <c:dLbl>
              <c:idx val="2"/>
              <c:layout>
                <c:manualLayout>
                  <c:x val="3.8602305341980961E-2"/>
                  <c:y val="-7.0029307353529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96-489E-AFF9-F91B205AB48C}"/>
                </c:ext>
              </c:extLst>
            </c:dLbl>
            <c:dLbl>
              <c:idx val="3"/>
              <c:layout>
                <c:manualLayout>
                  <c:x val="5.7141749974095782E-2"/>
                  <c:y val="-8.4694301347924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96-489E-AFF9-F91B205AB48C}"/>
                </c:ext>
              </c:extLst>
            </c:dLbl>
            <c:dLbl>
              <c:idx val="4"/>
              <c:layout>
                <c:manualLayout>
                  <c:x val="7.5542028306694889E-2"/>
                  <c:y val="-7.2387775256906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96-489E-AFF9-F91B205AB48C}"/>
                </c:ext>
              </c:extLst>
            </c:dLbl>
            <c:dLbl>
              <c:idx val="5"/>
              <c:layout>
                <c:manualLayout>
                  <c:x val="8.5573205938323793E-2"/>
                  <c:y val="-6.0441692246096385E-2"/>
                </c:manualLayout>
              </c:layout>
              <c:showLegendKey val="0"/>
              <c:showVal val="1"/>
              <c:showCatName val="0"/>
              <c:showSerName val="0"/>
              <c:showPercent val="0"/>
              <c:showBubbleSize val="0"/>
              <c:extLst>
                <c:ext xmlns:c15="http://schemas.microsoft.com/office/drawing/2012/chart" uri="{CE6537A1-D6FC-4f65-9D91-7224C49458BB}">
                  <c15:layout>
                    <c:manualLayout>
                      <c:w val="5.1190569000657098E-2"/>
                      <c:h val="2.793715470880825E-2"/>
                    </c:manualLayout>
                  </c15:layout>
                </c:ext>
                <c:ext xmlns:c16="http://schemas.microsoft.com/office/drawing/2014/chart" uri="{C3380CC4-5D6E-409C-BE32-E72D297353CC}">
                  <c16:uniqueId val="{00000005-9696-489E-AFF9-F91B205AB48C}"/>
                </c:ext>
              </c:extLst>
            </c:dLbl>
            <c:dLbl>
              <c:idx val="6"/>
              <c:layout>
                <c:manualLayout>
                  <c:x val="0.10698956842441341"/>
                  <c:y val="-6.3048498598692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96-489E-AFF9-F91B205AB48C}"/>
                </c:ext>
              </c:extLst>
            </c:dLbl>
            <c:dLbl>
              <c:idx val="7"/>
              <c:layout>
                <c:manualLayout>
                  <c:x val="0.12031111923569733"/>
                  <c:y val="-6.6722754570932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96-489E-AFF9-F91B205AB48C}"/>
                </c:ext>
              </c:extLst>
            </c:dLbl>
            <c:dLbl>
              <c:idx val="8"/>
              <c:layout>
                <c:manualLayout>
                  <c:x val="0.12197420705957263"/>
                  <c:y val="-4.9772747898038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96-489E-AFF9-F91B205AB48C}"/>
                </c:ext>
              </c:extLst>
            </c:dLbl>
            <c:dLbl>
              <c:idx val="9"/>
              <c:layout>
                <c:manualLayout>
                  <c:x val="0.13668472515077051"/>
                  <c:y val="-3.8017776591485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96-489E-AFF9-F91B205AB48C}"/>
                </c:ext>
              </c:extLst>
            </c:dLbl>
            <c:dLbl>
              <c:idx val="10"/>
              <c:layout>
                <c:manualLayout>
                  <c:x val="0.14187869449880336"/>
                  <c:y val="-2.929411450687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96-489E-AFF9-F91B205AB48C}"/>
                </c:ext>
              </c:extLst>
            </c:dLbl>
            <c:dLbl>
              <c:idx val="11"/>
              <c:layout>
                <c:manualLayout>
                  <c:x val="0.1480122890918725"/>
                  <c:y val="-1.3205925530495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96-489E-AFF9-F91B205AB48C}"/>
                </c:ext>
              </c:extLst>
            </c:dLbl>
            <c:dLbl>
              <c:idx val="12"/>
              <c:layout>
                <c:manualLayout>
                  <c:x val="0.15129070640605038"/>
                  <c:y val="5.961380938735294E-3"/>
                </c:manualLayout>
              </c:layout>
              <c:showLegendKey val="0"/>
              <c:showVal val="1"/>
              <c:showCatName val="0"/>
              <c:showSerName val="0"/>
              <c:showPercent val="0"/>
              <c:showBubbleSize val="0"/>
              <c:extLst>
                <c:ext xmlns:c15="http://schemas.microsoft.com/office/drawing/2012/chart" uri="{CE6537A1-D6FC-4f65-9D91-7224C49458BB}">
                  <c15:layout>
                    <c:manualLayout>
                      <c:w val="5.1887800961864898E-2"/>
                      <c:h val="2.5283971706926457E-2"/>
                    </c:manualLayout>
                  </c15:layout>
                </c:ext>
                <c:ext xmlns:c16="http://schemas.microsoft.com/office/drawing/2014/chart" uri="{C3380CC4-5D6E-409C-BE32-E72D297353CC}">
                  <c16:uniqueId val="{0000000C-9696-489E-AFF9-F91B205AB48C}"/>
                </c:ext>
              </c:extLst>
            </c:dLbl>
            <c:dLbl>
              <c:idx val="13"/>
              <c:layout>
                <c:manualLayout>
                  <c:x val="0.15379948427597723"/>
                  <c:y val="2.2187107967436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96-489E-AFF9-F91B205AB48C}"/>
                </c:ext>
              </c:extLst>
            </c:dLbl>
            <c:dLbl>
              <c:idx val="14"/>
              <c:layout>
                <c:manualLayout>
                  <c:x val="0.15348122139488102"/>
                  <c:y val="3.7655838782864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96-489E-AFF9-F91B205AB48C}"/>
                </c:ext>
              </c:extLst>
            </c:dLbl>
            <c:dLbl>
              <c:idx val="15"/>
              <c:layout>
                <c:manualLayout>
                  <c:x val="0.14795719541155569"/>
                  <c:y val="5.396610169491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96-489E-AFF9-F91B205AB48C}"/>
                </c:ext>
              </c:extLst>
            </c:dLbl>
            <c:dLbl>
              <c:idx val="16"/>
              <c:layout>
                <c:manualLayout>
                  <c:x val="0.14383174019370384"/>
                  <c:y val="9.0583958361137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96-489E-AFF9-F91B205AB48C}"/>
                </c:ext>
              </c:extLst>
            </c:dLbl>
            <c:dLbl>
              <c:idx val="17"/>
              <c:layout>
                <c:manualLayout>
                  <c:x val="0.13539010790442679"/>
                  <c:y val="0.1162674496196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96-489E-AFF9-F91B205AB48C}"/>
                </c:ext>
              </c:extLst>
            </c:dLbl>
            <c:dLbl>
              <c:idx val="18"/>
              <c:layout>
                <c:manualLayout>
                  <c:x val="0.11111620301768474"/>
                  <c:y val="0.140366742292806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96-489E-AFF9-F91B205AB48C}"/>
                </c:ext>
              </c:extLst>
            </c:dLbl>
            <c:dLbl>
              <c:idx val="19"/>
              <c:layout>
                <c:manualLayout>
                  <c:x val="0.11064900186931004"/>
                  <c:y val="0.17389670359001724"/>
                </c:manualLayout>
              </c:layout>
              <c:showLegendKey val="0"/>
              <c:showVal val="1"/>
              <c:showCatName val="0"/>
              <c:showSerName val="0"/>
              <c:showPercent val="0"/>
              <c:showBubbleSize val="0"/>
              <c:extLst>
                <c:ext xmlns:c15="http://schemas.microsoft.com/office/drawing/2012/chart" uri="{CE6537A1-D6FC-4f65-9D91-7224C49458BB}">
                  <c15:layout>
                    <c:manualLayout>
                      <c:w val="3.6706880560439199E-2"/>
                      <c:h val="5.419671693580675E-2"/>
                    </c:manualLayout>
                  </c15:layout>
                </c:ext>
                <c:ext xmlns:c16="http://schemas.microsoft.com/office/drawing/2014/chart" uri="{C3380CC4-5D6E-409C-BE32-E72D297353CC}">
                  <c16:uniqueId val="{00000013-9696-489E-AFF9-F91B205AB48C}"/>
                </c:ext>
              </c:extLst>
            </c:dLbl>
            <c:dLbl>
              <c:idx val="20"/>
              <c:layout>
                <c:manualLayout>
                  <c:x val="9.5201879587454477E-2"/>
                  <c:y val="0.179192312825303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696-489E-AFF9-F91B205AB48C}"/>
                </c:ext>
              </c:extLst>
            </c:dLbl>
            <c:dLbl>
              <c:idx val="21"/>
              <c:layout>
                <c:manualLayout>
                  <c:x val="6.7665990772229748E-2"/>
                  <c:y val="0.17812147836968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696-489E-AFF9-F91B205AB48C}"/>
                </c:ext>
              </c:extLst>
            </c:dLbl>
            <c:dLbl>
              <c:idx val="22"/>
              <c:layout>
                <c:manualLayout>
                  <c:x val="3.2743673703887477E-2"/>
                  <c:y val="0.19751734367683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696-489E-AFF9-F91B205AB48C}"/>
                </c:ext>
              </c:extLst>
            </c:dLbl>
            <c:dLbl>
              <c:idx val="23"/>
              <c:layout>
                <c:manualLayout>
                  <c:x val="-2.2376121354361037E-3"/>
                  <c:y val="0.198777980184584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696-489E-AFF9-F91B205AB48C}"/>
                </c:ext>
              </c:extLst>
            </c:dLbl>
            <c:dLbl>
              <c:idx val="24"/>
              <c:layout>
                <c:manualLayout>
                  <c:x val="-3.4128428928731185E-2"/>
                  <c:y val="0.19605442066390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696-489E-AFF9-F91B205AB48C}"/>
                </c:ext>
              </c:extLst>
            </c:dLbl>
            <c:dLbl>
              <c:idx val="25"/>
              <c:layout>
                <c:manualLayout>
                  <c:x val="-6.4602141914244238E-2"/>
                  <c:y val="0.19411059351510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696-489E-AFF9-F91B205AB48C}"/>
                </c:ext>
              </c:extLst>
            </c:dLbl>
            <c:dLbl>
              <c:idx val="26"/>
              <c:layout>
                <c:manualLayout>
                  <c:x val="-8.9304328560513374E-2"/>
                  <c:y val="0.1849846029473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696-489E-AFF9-F91B205AB48C}"/>
                </c:ext>
              </c:extLst>
            </c:dLbl>
            <c:dLbl>
              <c:idx val="27"/>
              <c:layout>
                <c:manualLayout>
                  <c:x val="-0.11599696395070548"/>
                  <c:y val="0.17665853463232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696-489E-AFF9-F91B205AB48C}"/>
                </c:ext>
              </c:extLst>
            </c:dLbl>
            <c:dLbl>
              <c:idx val="28"/>
              <c:layout>
                <c:manualLayout>
                  <c:x val="-0.13792795532525912"/>
                  <c:y val="0.160918190310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696-489E-AFF9-F91B205AB48C}"/>
                </c:ext>
              </c:extLst>
            </c:dLbl>
            <c:dLbl>
              <c:idx val="29"/>
              <c:layout>
                <c:manualLayout>
                  <c:x val="-0.15406905580046318"/>
                  <c:y val="0.136082850660616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696-489E-AFF9-F91B205AB48C}"/>
                </c:ext>
              </c:extLst>
            </c:dLbl>
            <c:dLbl>
              <c:idx val="30"/>
              <c:layout>
                <c:manualLayout>
                  <c:x val="-0.1671240677669116"/>
                  <c:y val="0.110856319231282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696-489E-AFF9-F91B205AB48C}"/>
                </c:ext>
              </c:extLst>
            </c:dLbl>
            <c:dLbl>
              <c:idx val="31"/>
              <c:layout>
                <c:manualLayout>
                  <c:x val="-0.1805839424666974"/>
                  <c:y val="8.420488455892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696-489E-AFF9-F91B205AB48C}"/>
                </c:ext>
              </c:extLst>
            </c:dLbl>
            <c:dLbl>
              <c:idx val="32"/>
              <c:layout>
                <c:manualLayout>
                  <c:x val="-0.19635269727370525"/>
                  <c:y val="6.7444494861871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696-489E-AFF9-F91B205AB48C}"/>
                </c:ext>
              </c:extLst>
            </c:dLbl>
            <c:dLbl>
              <c:idx val="33"/>
              <c:layout>
                <c:manualLayout>
                  <c:x val="-0.19802522010093768"/>
                  <c:y val="3.9797571066328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696-489E-AFF9-F91B205AB48C}"/>
                </c:ext>
              </c:extLst>
            </c:dLbl>
            <c:dLbl>
              <c:idx val="34"/>
              <c:layout>
                <c:manualLayout>
                  <c:x val="-0.20328051697079108"/>
                  <c:y val="1.0292486320565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696-489E-AFF9-F91B205AB48C}"/>
                </c:ext>
              </c:extLst>
            </c:dLbl>
            <c:dLbl>
              <c:idx val="35"/>
              <c:layout>
                <c:manualLayout>
                  <c:x val="-0.20399184883102836"/>
                  <c:y val="-1.4572961430668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696-489E-AFF9-F91B205AB48C}"/>
                </c:ext>
              </c:extLst>
            </c:dLbl>
            <c:dLbl>
              <c:idx val="36"/>
              <c:layout>
                <c:manualLayout>
                  <c:x val="-0.20280960921395472"/>
                  <c:y val="-5.012059255304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696-489E-AFF9-F91B205AB48C}"/>
                </c:ext>
              </c:extLst>
            </c:dLbl>
            <c:dLbl>
              <c:idx val="37"/>
              <c:layout>
                <c:manualLayout>
                  <c:x val="-0.19746821793846861"/>
                  <c:y val="-7.777968770852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696-489E-AFF9-F91B205AB48C}"/>
                </c:ext>
              </c:extLst>
            </c:dLbl>
            <c:dLbl>
              <c:idx val="38"/>
              <c:layout>
                <c:manualLayout>
                  <c:x val="-0.19842334354616287"/>
                  <c:y val="-0.103221032964099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696-489E-AFF9-F91B205AB48C}"/>
                </c:ext>
              </c:extLst>
            </c:dLbl>
            <c:dLbl>
              <c:idx val="39"/>
              <c:layout>
                <c:manualLayout>
                  <c:x val="-0.18356809924275674"/>
                  <c:y val="-0.13113850260242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696-489E-AFF9-F91B205AB48C}"/>
                </c:ext>
              </c:extLst>
            </c:dLbl>
            <c:dLbl>
              <c:idx val="40"/>
              <c:layout>
                <c:manualLayout>
                  <c:x val="-0.17186616784702491"/>
                  <c:y val="-0.16396188442546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696-489E-AFF9-F91B205AB48C}"/>
                </c:ext>
              </c:extLst>
            </c:dLbl>
            <c:dLbl>
              <c:idx val="41"/>
              <c:layout>
                <c:manualLayout>
                  <c:x val="-0.14965970807088722"/>
                  <c:y val="-0.190463632723875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696-489E-AFF9-F91B205AB48C}"/>
                </c:ext>
              </c:extLst>
            </c:dLbl>
            <c:dLbl>
              <c:idx val="42"/>
              <c:layout>
                <c:manualLayout>
                  <c:x val="-0.1274490362396794"/>
                  <c:y val="-0.199377982530458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696-489E-AFF9-F91B205AB48C}"/>
                </c:ext>
              </c:extLst>
            </c:dLbl>
            <c:dLbl>
              <c:idx val="43"/>
              <c:layout>
                <c:manualLayout>
                  <c:x val="-0.10714726776623769"/>
                  <c:y val="-0.21599452870041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696-489E-AFF9-F91B205AB48C}"/>
                </c:ext>
              </c:extLst>
            </c:dLbl>
            <c:dLbl>
              <c:idx val="44"/>
              <c:layout>
                <c:manualLayout>
                  <c:x val="-6.8198563015292327E-2"/>
                  <c:y val="-0.22968225138925355"/>
                </c:manualLayout>
              </c:layout>
              <c:showLegendKey val="0"/>
              <c:showVal val="1"/>
              <c:showCatName val="0"/>
              <c:showSerName val="0"/>
              <c:showPercent val="0"/>
              <c:showBubbleSize val="0"/>
              <c:extLst>
                <c:ext xmlns:c15="http://schemas.microsoft.com/office/drawing/2012/chart" uri="{CE6537A1-D6FC-4f65-9D91-7224C49458BB}">
                  <c15:layout>
                    <c:manualLayout>
                      <c:w val="4.0991730872350626E-2"/>
                      <c:h val="3.2667686983928801E-2"/>
                    </c:manualLayout>
                  </c15:layout>
                </c:ext>
                <c:ext xmlns:c16="http://schemas.microsoft.com/office/drawing/2014/chart" uri="{C3380CC4-5D6E-409C-BE32-E72D297353CC}">
                  <c16:uniqueId val="{0000002C-9696-489E-AFF9-F91B205AB48C}"/>
                </c:ext>
              </c:extLst>
            </c:dLbl>
            <c:dLbl>
              <c:idx val="45"/>
              <c:layout>
                <c:manualLayout>
                  <c:x val="-3.9634595798559387E-2"/>
                  <c:y val="-0.2401102019346241"/>
                </c:manualLayout>
              </c:layout>
              <c:showLegendKey val="0"/>
              <c:showVal val="1"/>
              <c:showCatName val="0"/>
              <c:showSerName val="0"/>
              <c:showPercent val="0"/>
              <c:showBubbleSize val="0"/>
              <c:extLst>
                <c:ext xmlns:c15="http://schemas.microsoft.com/office/drawing/2012/chart" uri="{CE6537A1-D6FC-4f65-9D91-7224C49458BB}">
                  <c15:layout>
                    <c:manualLayout>
                      <c:w val="3.6706880560439199E-2"/>
                      <c:h val="4.8772988122247424E-2"/>
                    </c:manualLayout>
                  </c15:layout>
                </c:ext>
                <c:ext xmlns:c16="http://schemas.microsoft.com/office/drawing/2014/chart" uri="{C3380CC4-5D6E-409C-BE32-E72D297353CC}">
                  <c16:uniqueId val="{0000002D-9696-489E-AFF9-F91B205AB48C}"/>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'prehľad dohôd_2023'!$A$2:$A$47</c:f>
              <c:strCache>
                <c:ptCount val="46"/>
                <c:pt idx="0">
                  <c:v>MI</c:v>
                </c:pt>
                <c:pt idx="1">
                  <c:v>PP</c:v>
                </c:pt>
                <c:pt idx="2">
                  <c:v>PO</c:v>
                </c:pt>
                <c:pt idx="3">
                  <c:v>LC</c:v>
                </c:pt>
                <c:pt idx="4">
                  <c:v>SN</c:v>
                </c:pt>
                <c:pt idx="5">
                  <c:v>KE</c:v>
                </c:pt>
                <c:pt idx="6">
                  <c:v>PD</c:v>
                </c:pt>
                <c:pt idx="7">
                  <c:v>RS</c:v>
                </c:pt>
                <c:pt idx="8">
                  <c:v>BA</c:v>
                </c:pt>
                <c:pt idx="9">
                  <c:v>VT</c:v>
                </c:pt>
                <c:pt idx="10">
                  <c:v>SE</c:v>
                </c:pt>
                <c:pt idx="11">
                  <c:v>ZV</c:v>
                </c:pt>
                <c:pt idx="12">
                  <c:v>TV</c:v>
                </c:pt>
                <c:pt idx="13">
                  <c:v>BJ</c:v>
                </c:pt>
                <c:pt idx="14">
                  <c:v>KK</c:v>
                </c:pt>
                <c:pt idx="15">
                  <c:v>MT</c:v>
                </c:pt>
                <c:pt idx="16">
                  <c:v>ZA</c:v>
                </c:pt>
                <c:pt idx="17">
                  <c:v>NZ</c:v>
                </c:pt>
                <c:pt idx="18">
                  <c:v>TT</c:v>
                </c:pt>
                <c:pt idx="19">
                  <c:v>NO</c:v>
                </c:pt>
                <c:pt idx="20">
                  <c:v>LV</c:v>
                </c:pt>
                <c:pt idx="21">
                  <c:v>HE</c:v>
                </c:pt>
                <c:pt idx="22">
                  <c:v>BB</c:v>
                </c:pt>
                <c:pt idx="23">
                  <c:v>RV</c:v>
                </c:pt>
                <c:pt idx="24">
                  <c:v>TN</c:v>
                </c:pt>
                <c:pt idx="25">
                  <c:v>BS</c:v>
                </c:pt>
                <c:pt idx="26">
                  <c:v>KN</c:v>
                </c:pt>
                <c:pt idx="27">
                  <c:v>LM</c:v>
                </c:pt>
                <c:pt idx="28">
                  <c:v>PK</c:v>
                </c:pt>
                <c:pt idx="29">
                  <c:v>DS</c:v>
                </c:pt>
                <c:pt idx="30">
                  <c:v>RK</c:v>
                </c:pt>
                <c:pt idx="31">
                  <c:v>BR</c:v>
                </c:pt>
                <c:pt idx="32">
                  <c:v>MA</c:v>
                </c:pt>
                <c:pt idx="33">
                  <c:v>PE</c:v>
                </c:pt>
                <c:pt idx="34">
                  <c:v>PN</c:v>
                </c:pt>
                <c:pt idx="35">
                  <c:v>NR</c:v>
                </c:pt>
                <c:pt idx="36">
                  <c:v>VK</c:v>
                </c:pt>
                <c:pt idx="37">
                  <c:v>NM</c:v>
                </c:pt>
                <c:pt idx="38">
                  <c:v>RA</c:v>
                </c:pt>
                <c:pt idx="39">
                  <c:v>CA</c:v>
                </c:pt>
                <c:pt idx="40">
                  <c:v>ST</c:v>
                </c:pt>
                <c:pt idx="41">
                  <c:v>TO</c:v>
                </c:pt>
                <c:pt idx="42">
                  <c:v>SL</c:v>
                </c:pt>
                <c:pt idx="43">
                  <c:v>DK</c:v>
                </c:pt>
                <c:pt idx="44">
                  <c:v>GA</c:v>
                </c:pt>
                <c:pt idx="45">
                  <c:v>PB</c:v>
                </c:pt>
              </c:strCache>
            </c:strRef>
          </c:cat>
          <c:val>
            <c:numRef>
              <c:f>'prehľad dohôd_2023'!$B$2:$B$47</c:f>
              <c:numCache>
                <c:formatCode>#\ ##0;\-#\ ##0;\0</c:formatCode>
                <c:ptCount val="46"/>
                <c:pt idx="0">
                  <c:v>205</c:v>
                </c:pt>
                <c:pt idx="1">
                  <c:v>194</c:v>
                </c:pt>
                <c:pt idx="2">
                  <c:v>192</c:v>
                </c:pt>
                <c:pt idx="3">
                  <c:v>175</c:v>
                </c:pt>
                <c:pt idx="4">
                  <c:v>173</c:v>
                </c:pt>
                <c:pt idx="5">
                  <c:v>168</c:v>
                </c:pt>
                <c:pt idx="6">
                  <c:v>155</c:v>
                </c:pt>
                <c:pt idx="7" formatCode="#,##0">
                  <c:v>141</c:v>
                </c:pt>
                <c:pt idx="8">
                  <c:v>140</c:v>
                </c:pt>
                <c:pt idx="9">
                  <c:v>137</c:v>
                </c:pt>
                <c:pt idx="10">
                  <c:v>131</c:v>
                </c:pt>
                <c:pt idx="11">
                  <c:v>129</c:v>
                </c:pt>
                <c:pt idx="12">
                  <c:v>126</c:v>
                </c:pt>
                <c:pt idx="13">
                  <c:v>120</c:v>
                </c:pt>
                <c:pt idx="14">
                  <c:v>118</c:v>
                </c:pt>
                <c:pt idx="15">
                  <c:v>117</c:v>
                </c:pt>
                <c:pt idx="16">
                  <c:v>106</c:v>
                </c:pt>
                <c:pt idx="17" formatCode="#,##0">
                  <c:v>103</c:v>
                </c:pt>
                <c:pt idx="18">
                  <c:v>101</c:v>
                </c:pt>
                <c:pt idx="19">
                  <c:v>93</c:v>
                </c:pt>
                <c:pt idx="20">
                  <c:v>90</c:v>
                </c:pt>
                <c:pt idx="21">
                  <c:v>90</c:v>
                </c:pt>
                <c:pt idx="22">
                  <c:v>88</c:v>
                </c:pt>
                <c:pt idx="23">
                  <c:v>84</c:v>
                </c:pt>
                <c:pt idx="24">
                  <c:v>82</c:v>
                </c:pt>
                <c:pt idx="25">
                  <c:v>77</c:v>
                </c:pt>
                <c:pt idx="26">
                  <c:v>76</c:v>
                </c:pt>
                <c:pt idx="27">
                  <c:v>76</c:v>
                </c:pt>
                <c:pt idx="28">
                  <c:v>70</c:v>
                </c:pt>
                <c:pt idx="29">
                  <c:v>70</c:v>
                </c:pt>
                <c:pt idx="30">
                  <c:v>67</c:v>
                </c:pt>
                <c:pt idx="31">
                  <c:v>66</c:v>
                </c:pt>
                <c:pt idx="32">
                  <c:v>62</c:v>
                </c:pt>
                <c:pt idx="33">
                  <c:v>62</c:v>
                </c:pt>
                <c:pt idx="34">
                  <c:v>60</c:v>
                </c:pt>
                <c:pt idx="35">
                  <c:v>60</c:v>
                </c:pt>
                <c:pt idx="36">
                  <c:v>55</c:v>
                </c:pt>
                <c:pt idx="37" formatCode="#,##0">
                  <c:v>54</c:v>
                </c:pt>
                <c:pt idx="38">
                  <c:v>51</c:v>
                </c:pt>
                <c:pt idx="39">
                  <c:v>48</c:v>
                </c:pt>
                <c:pt idx="40">
                  <c:v>44</c:v>
                </c:pt>
                <c:pt idx="41">
                  <c:v>43</c:v>
                </c:pt>
                <c:pt idx="42">
                  <c:v>43</c:v>
                </c:pt>
                <c:pt idx="43">
                  <c:v>40</c:v>
                </c:pt>
                <c:pt idx="44">
                  <c:v>38</c:v>
                </c:pt>
                <c:pt idx="45">
                  <c:v>34</c:v>
                </c:pt>
              </c:numCache>
            </c:numRef>
          </c:val>
          <c:extLst>
            <c:ext xmlns:c16="http://schemas.microsoft.com/office/drawing/2014/chart" uri="{C3380CC4-5D6E-409C-BE32-E72D297353CC}">
              <c16:uniqueId val="{0000002E-9696-489E-AFF9-F91B205AB48C}"/>
            </c:ext>
          </c:extLst>
        </c:ser>
        <c:dLbls>
          <c:showLegendKey val="0"/>
          <c:showVal val="1"/>
          <c:showCatName val="0"/>
          <c:showSerName val="0"/>
          <c:showPercent val="0"/>
          <c:showBubbleSize val="0"/>
        </c:dLbls>
        <c:axId val="452542840"/>
        <c:axId val="452542056"/>
      </c:radarChart>
      <c:catAx>
        <c:axId val="452542840"/>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452542056"/>
        <c:crosses val="autoZero"/>
        <c:auto val="1"/>
        <c:lblAlgn val="ctr"/>
        <c:lblOffset val="100"/>
        <c:noMultiLvlLbl val="0"/>
      </c:catAx>
      <c:valAx>
        <c:axId val="452542056"/>
        <c:scaling>
          <c:orientation val="minMax"/>
        </c:scaling>
        <c:delete val="0"/>
        <c:axPos val="l"/>
        <c:majorGridlines/>
        <c:minorGridlines>
          <c:spPr>
            <a:ln>
              <a:noFill/>
            </a:ln>
          </c:spPr>
        </c:minorGridlines>
        <c:numFmt formatCode="#\ ##0;\-#\ ##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452542840"/>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solidFill>
                  <a:sysClr val="windowText" lastClr="000000"/>
                </a:solidFill>
              </a:rPr>
              <a:t>                   </a:t>
            </a:r>
            <a:r>
              <a:rPr lang="en-US" sz="1200">
                <a:solidFill>
                  <a:sysClr val="windowText" lastClr="000000"/>
                </a:solidFill>
              </a:rPr>
              <a:t>Štruktúra </a:t>
            </a:r>
            <a:r>
              <a:rPr lang="sk-SK" sz="1200">
                <a:solidFill>
                  <a:sysClr val="windowText" lastClr="000000"/>
                </a:solidFill>
              </a:rPr>
              <a:t>odídencov</a:t>
            </a:r>
            <a:r>
              <a:rPr lang="en-US" sz="1200">
                <a:solidFill>
                  <a:sysClr val="windowText" lastClr="000000"/>
                </a:solidFill>
              </a:rPr>
              <a:t> podľa SK ISCO -08</a:t>
            </a:r>
          </a:p>
        </c:rich>
      </c:tx>
      <c:layout>
        <c:manualLayout>
          <c:xMode val="edge"/>
          <c:yMode val="edge"/>
          <c:x val="0.13645778557819044"/>
          <c:y val="6.23300040662385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795698998162957"/>
          <c:y val="0.25150722456995822"/>
          <c:w val="0.43976070640779624"/>
          <c:h val="0.56569082429404671"/>
        </c:manualLayout>
      </c:layout>
      <c:pie3DChart>
        <c:varyColors val="1"/>
        <c:ser>
          <c:idx val="0"/>
          <c:order val="0"/>
          <c:tx>
            <c:strRef>
              <c:f>Hárok1!$B$1</c:f>
              <c:strCache>
                <c:ptCount val="1"/>
                <c:pt idx="0">
                  <c:v>Štruktúra odídencov podľa SK ISCO -08</c:v>
                </c:pt>
              </c:strCache>
            </c:strRef>
          </c:tx>
          <c:explosion val="6"/>
          <c:dLbls>
            <c:dLbl>
              <c:idx val="0"/>
              <c:layout>
                <c:manualLayout>
                  <c:x val="9.8641329771198688E-3"/>
                  <c:y val="-5.65241363856160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740-426F-8E23-A375EF79183F}"/>
                </c:ext>
              </c:extLst>
            </c:dLbl>
            <c:dLbl>
              <c:idx val="1"/>
              <c:layout>
                <c:manualLayout>
                  <c:x val="1.0187733471737542E-2"/>
                  <c:y val="-4.54914962934671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40-426F-8E23-A375EF79183F}"/>
                </c:ext>
              </c:extLst>
            </c:dLbl>
            <c:dLbl>
              <c:idx val="2"/>
              <c:layout>
                <c:manualLayout>
                  <c:x val="1.1817682048200176E-2"/>
                  <c:y val="-5.09988624409613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740-426F-8E23-A375EF79183F}"/>
                </c:ext>
              </c:extLst>
            </c:dLbl>
            <c:dLbl>
              <c:idx val="3"/>
              <c:layout>
                <c:manualLayout>
                  <c:x val="-9.3760542508075473E-2"/>
                  <c:y val="-0.17082218684612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40-426F-8E23-A375EF79183F}"/>
                </c:ext>
              </c:extLst>
            </c:dLbl>
            <c:dLbl>
              <c:idx val="4"/>
              <c:layout>
                <c:manualLayout>
                  <c:x val="-8.4322991716242904E-4"/>
                  <c:y val="7.33223473555456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740-426F-8E23-A375EF79183F}"/>
                </c:ext>
              </c:extLst>
            </c:dLbl>
            <c:dLbl>
              <c:idx val="5"/>
              <c:layout>
                <c:manualLayout>
                  <c:x val="0.17533855536054524"/>
                  <c:y val="-0.1117932441175357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40-426F-8E23-A375EF79183F}"/>
                </c:ext>
              </c:extLst>
            </c:dLbl>
            <c:dLbl>
              <c:idx val="6"/>
              <c:layout>
                <c:manualLayout>
                  <c:x val="0.14242501587778544"/>
                  <c:y val="-5.70880134860834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C57-4831-9EE1-4B73E77756BD}"/>
                </c:ext>
              </c:extLst>
            </c:dLbl>
            <c:numFmt formatCode="0.00%" sourceLinked="0"/>
            <c:spPr>
              <a:noFill/>
              <a:ln>
                <a:noFill/>
              </a:ln>
              <a:effectLst/>
            </c:spPr>
            <c:txPr>
              <a:bodyPr/>
              <a:lstStyle/>
              <a:p>
                <a:pPr>
                  <a:defRPr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Hárok1!$A$2:$A$8</c:f>
              <c:strCache>
                <c:ptCount val="7"/>
                <c:pt idx="0">
                  <c:v>špecialisti</c:v>
                </c:pt>
                <c:pt idx="1">
                  <c:v>technici a odborní pracovníci </c:v>
                </c:pt>
                <c:pt idx="2">
                  <c:v>administratívni pracovníci</c:v>
                </c:pt>
                <c:pt idx="3">
                  <c:v>pracovníci v službách a obchode</c:v>
                </c:pt>
                <c:pt idx="4">
                  <c:v>Kvalifikovaný pracovníci a remeselníci</c:v>
                </c:pt>
                <c:pt idx="5">
                  <c:v>kvalifikovaní pracovníci v poľnohospodárstve, lesníctve a rybárstve</c:v>
                </c:pt>
                <c:pt idx="6">
                  <c:v>pomocní a nekvalifikovaní pracovníci</c:v>
                </c:pt>
              </c:strCache>
            </c:strRef>
          </c:cat>
          <c:val>
            <c:numRef>
              <c:f>Hárok1!$B$2:$B$8</c:f>
              <c:numCache>
                <c:formatCode>General</c:formatCode>
                <c:ptCount val="7"/>
                <c:pt idx="0">
                  <c:v>20</c:v>
                </c:pt>
                <c:pt idx="1">
                  <c:v>41</c:v>
                </c:pt>
                <c:pt idx="2">
                  <c:v>52</c:v>
                </c:pt>
                <c:pt idx="3">
                  <c:v>50</c:v>
                </c:pt>
                <c:pt idx="4">
                  <c:v>2</c:v>
                </c:pt>
                <c:pt idx="5">
                  <c:v>2</c:v>
                </c:pt>
                <c:pt idx="6">
                  <c:v>176</c:v>
                </c:pt>
              </c:numCache>
            </c:numRef>
          </c:val>
          <c:extLst>
            <c:ext xmlns:c16="http://schemas.microsoft.com/office/drawing/2014/chart" uri="{C3380CC4-5D6E-409C-BE32-E72D297353CC}">
              <c16:uniqueId val="{00000006-F740-426F-8E23-A375EF79183F}"/>
            </c:ext>
          </c:extLst>
        </c:ser>
        <c:dLbls>
          <c:showLegendKey val="0"/>
          <c:showVal val="0"/>
          <c:showCatName val="0"/>
          <c:showSerName val="0"/>
          <c:showPercent val="0"/>
          <c:showBubbleSize val="0"/>
          <c:showLeaderLines val="1"/>
        </c:dLbls>
      </c:pie3DChart>
    </c:plotArea>
    <c:legend>
      <c:legendPos val="r"/>
      <c:layout>
        <c:manualLayout>
          <c:xMode val="edge"/>
          <c:yMode val="edge"/>
          <c:x val="0.65875634257773286"/>
          <c:y val="0.16939916798503885"/>
          <c:w val="0.28081212311600684"/>
          <c:h val="0.73807135178560557"/>
        </c:manualLayout>
      </c:layout>
      <c:overlay val="0"/>
      <c:txPr>
        <a:bodyPr/>
        <a:lstStyle/>
        <a:p>
          <a:pPr>
            <a:defRPr sz="9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200">
                <a:solidFill>
                  <a:sysClr val="windowText" lastClr="000000"/>
                </a:solidFill>
              </a:rPr>
              <a:t>Štruktúra zaradených </a:t>
            </a:r>
            <a:r>
              <a:rPr lang="sk-SK" sz="1200">
                <a:solidFill>
                  <a:sysClr val="windowText" lastClr="000000"/>
                </a:solidFill>
              </a:rPr>
              <a:t>odídencov</a:t>
            </a:r>
            <a:r>
              <a:rPr lang="en-US" sz="1200">
                <a:solidFill>
                  <a:sysClr val="windowText" lastClr="000000"/>
                </a:solidFill>
              </a:rPr>
              <a:t> podľa veku</a:t>
            </a:r>
          </a:p>
        </c:rich>
      </c:tx>
      <c:layout>
        <c:manualLayout>
          <c:xMode val="edge"/>
          <c:yMode val="edge"/>
          <c:x val="0.20581811665984862"/>
          <c:y val="8.749041878614731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060229965887153"/>
          <c:y val="0.25410855901076884"/>
          <c:w val="0.56774070855999159"/>
          <c:h val="0.59991734904104732"/>
        </c:manualLayout>
      </c:layout>
      <c:pie3DChart>
        <c:varyColors val="1"/>
        <c:ser>
          <c:idx val="0"/>
          <c:order val="0"/>
          <c:tx>
            <c:strRef>
              <c:f>Hárok1!$B$1</c:f>
              <c:strCache>
                <c:ptCount val="1"/>
                <c:pt idx="0">
                  <c:v>Štruktúra zaradených odídencov podľa veku</c:v>
                </c:pt>
              </c:strCache>
            </c:strRef>
          </c:tx>
          <c:explosion val="21"/>
          <c:dPt>
            <c:idx val="0"/>
            <c:bubble3D val="0"/>
            <c:explosion val="7"/>
            <c:extLst>
              <c:ext xmlns:c16="http://schemas.microsoft.com/office/drawing/2014/chart" uri="{C3380CC4-5D6E-409C-BE32-E72D297353CC}">
                <c16:uniqueId val="{00000001-EC9E-43B9-B0A6-4767F87D3D21}"/>
              </c:ext>
            </c:extLst>
          </c:dPt>
          <c:dPt>
            <c:idx val="1"/>
            <c:bubble3D val="0"/>
            <c:explosion val="9"/>
            <c:extLst>
              <c:ext xmlns:c16="http://schemas.microsoft.com/office/drawing/2014/chart" uri="{C3380CC4-5D6E-409C-BE32-E72D297353CC}">
                <c16:uniqueId val="{00000003-EC9E-43B9-B0A6-4767F87D3D21}"/>
              </c:ext>
            </c:extLst>
          </c:dPt>
          <c:dPt>
            <c:idx val="3"/>
            <c:bubble3D val="0"/>
            <c:explosion val="3"/>
            <c:extLst>
              <c:ext xmlns:c16="http://schemas.microsoft.com/office/drawing/2014/chart" uri="{C3380CC4-5D6E-409C-BE32-E72D297353CC}">
                <c16:uniqueId val="{00000005-EC9E-43B9-B0A6-4767F87D3D21}"/>
              </c:ext>
            </c:extLst>
          </c:dPt>
          <c:dLbls>
            <c:dLbl>
              <c:idx val="0"/>
              <c:layout>
                <c:manualLayout>
                  <c:x val="-4.6985627977267116E-2"/>
                  <c:y val="8.3429726151487665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9E-43B9-B0A6-4767F87D3D21}"/>
                </c:ext>
              </c:extLst>
            </c:dLbl>
            <c:dLbl>
              <c:idx val="1"/>
              <c:layout>
                <c:manualLayout>
                  <c:x val="-6.8811087858328568E-2"/>
                  <c:y val="3.6106543098041906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9E-43B9-B0A6-4767F87D3D21}"/>
                </c:ext>
              </c:extLst>
            </c:dLbl>
            <c:dLbl>
              <c:idx val="2"/>
              <c:layout>
                <c:manualLayout>
                  <c:x val="-0.13661552557111126"/>
                  <c:y val="-0.19679987457320056"/>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C9E-43B9-B0A6-4767F87D3D21}"/>
                </c:ext>
              </c:extLst>
            </c:dLbl>
            <c:dLbl>
              <c:idx val="3"/>
              <c:layout>
                <c:manualLayout>
                  <c:x val="0.10756551255481214"/>
                  <c:y val="4.7815831649362414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9E-43B9-B0A6-4767F87D3D21}"/>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18</c:v>
                </c:pt>
                <c:pt idx="1">
                  <c:v>15</c:v>
                </c:pt>
                <c:pt idx="2">
                  <c:v>87</c:v>
                </c:pt>
                <c:pt idx="3">
                  <c:v>69</c:v>
                </c:pt>
              </c:numCache>
            </c:numRef>
          </c:val>
          <c:extLst>
            <c:ext xmlns:c16="http://schemas.microsoft.com/office/drawing/2014/chart" uri="{C3380CC4-5D6E-409C-BE32-E72D297353CC}">
              <c16:uniqueId val="{00000007-EC9E-43B9-B0A6-4767F87D3D21}"/>
            </c:ext>
          </c:extLst>
        </c:ser>
        <c:dLbls>
          <c:showLegendKey val="0"/>
          <c:showVal val="0"/>
          <c:showCatName val="0"/>
          <c:showSerName val="0"/>
          <c:showPercent val="0"/>
          <c:showBubbleSize val="0"/>
          <c:showLeaderLines val="1"/>
        </c:dLbls>
      </c:pie3DChart>
    </c:plotArea>
    <c:legend>
      <c:legendPos val="r"/>
      <c:layout>
        <c:manualLayout>
          <c:xMode val="edge"/>
          <c:yMode val="edge"/>
          <c:x val="0.6908570016812321"/>
          <c:y val="0.2046800601537711"/>
          <c:w val="0.203786269562171"/>
          <c:h val="0.65747305780325838"/>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solidFill>
                  <a:sysClr val="windowText" lastClr="000000"/>
                </a:solidFill>
              </a:rPr>
              <a:t>                   </a:t>
            </a:r>
            <a:r>
              <a:rPr lang="en-US" sz="1200">
                <a:solidFill>
                  <a:sysClr val="windowText" lastClr="000000"/>
                </a:solidFill>
              </a:rPr>
              <a:t>Štruktúra </a:t>
            </a:r>
            <a:r>
              <a:rPr lang="sk-SK" sz="1200">
                <a:solidFill>
                  <a:sysClr val="windowText" lastClr="000000"/>
                </a:solidFill>
              </a:rPr>
              <a:t>odídencov</a:t>
            </a:r>
            <a:r>
              <a:rPr lang="en-US" sz="1200">
                <a:solidFill>
                  <a:sysClr val="windowText" lastClr="000000"/>
                </a:solidFill>
              </a:rPr>
              <a:t> podľa SK ISCO -</a:t>
            </a:r>
            <a:r>
              <a:rPr lang="sk-SK" sz="1200">
                <a:solidFill>
                  <a:sysClr val="windowText" lastClr="000000"/>
                </a:solidFill>
              </a:rPr>
              <a:t> </a:t>
            </a:r>
            <a:r>
              <a:rPr lang="en-US" sz="1200">
                <a:solidFill>
                  <a:sysClr val="windowText" lastClr="000000"/>
                </a:solidFill>
              </a:rPr>
              <a:t>08</a:t>
            </a:r>
          </a:p>
        </c:rich>
      </c:tx>
      <c:layout>
        <c:manualLayout>
          <c:xMode val="edge"/>
          <c:yMode val="edge"/>
          <c:x val="7.7851403803523914E-2"/>
          <c:y val="7.381893763990739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0610936208862874E-2"/>
          <c:y val="0.26723970076427672"/>
          <c:w val="0.45060199001577533"/>
          <c:h val="0.57726097968607315"/>
        </c:manualLayout>
      </c:layout>
      <c:pie3DChart>
        <c:varyColors val="1"/>
        <c:ser>
          <c:idx val="0"/>
          <c:order val="0"/>
          <c:tx>
            <c:strRef>
              <c:f>Hárok1!$B$1</c:f>
              <c:strCache>
                <c:ptCount val="1"/>
                <c:pt idx="0">
                  <c:v>Štruktúra odídencov podľa SK ISCO -08</c:v>
                </c:pt>
              </c:strCache>
            </c:strRef>
          </c:tx>
          <c:explosion val="6"/>
          <c:dLbls>
            <c:dLbl>
              <c:idx val="0"/>
              <c:layout>
                <c:manualLayout>
                  <c:x val="-8.1202580054769824E-2"/>
                  <c:y val="-2.71555262640628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AD7-4198-8BA2-6A04838760E5}"/>
                </c:ext>
              </c:extLst>
            </c:dLbl>
            <c:dLbl>
              <c:idx val="1"/>
              <c:layout>
                <c:manualLayout>
                  <c:x val="2.7533787244504237E-2"/>
                  <c:y val="-1.62211661868257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D7-4198-8BA2-6A04838760E5}"/>
                </c:ext>
              </c:extLst>
            </c:dLbl>
            <c:dLbl>
              <c:idx val="2"/>
              <c:layout>
                <c:manualLayout>
                  <c:x val="-0.11181290367790199"/>
                  <c:y val="3.17888784527823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AD7-4198-8BA2-6A04838760E5}"/>
                </c:ext>
              </c:extLst>
            </c:dLbl>
            <c:dLbl>
              <c:idx val="3"/>
              <c:layout>
                <c:manualLayout>
                  <c:x val="-2.9609341484799788E-2"/>
                  <c:y val="-0.2170146583739621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D7-4198-8BA2-6A04838760E5}"/>
                </c:ext>
              </c:extLst>
            </c:dLbl>
            <c:dLbl>
              <c:idx val="4"/>
              <c:layout>
                <c:manualLayout>
                  <c:x val="-2.2504610409698353E-2"/>
                  <c:y val="2.25944729881736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AD7-4198-8BA2-6A04838760E5}"/>
                </c:ext>
              </c:extLst>
            </c:dLbl>
            <c:dLbl>
              <c:idx val="5"/>
              <c:layout>
                <c:manualLayout>
                  <c:x val="0.13329930137744056"/>
                  <c:y val="2.64447263241031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D7-4198-8BA2-6A04838760E5}"/>
                </c:ext>
              </c:extLst>
            </c:dLbl>
            <c:numFmt formatCode="0.00%" sourceLinked="0"/>
            <c:spPr>
              <a:noFill/>
              <a:ln>
                <a:noFill/>
              </a:ln>
              <a:effectLst/>
            </c:spPr>
            <c:txPr>
              <a:bodyPr/>
              <a:lstStyle/>
              <a:p>
                <a:pPr>
                  <a:defRPr sz="1000" b="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Hárok1!$A$2:$A$7</c:f>
              <c:strCache>
                <c:ptCount val="6"/>
                <c:pt idx="0">
                  <c:v>špecialisti</c:v>
                </c:pt>
                <c:pt idx="1">
                  <c:v>technici a odborní pracovníci </c:v>
                </c:pt>
                <c:pt idx="2">
                  <c:v>administratívni pracovníci</c:v>
                </c:pt>
                <c:pt idx="3">
                  <c:v>pracovníci v službách a obchode</c:v>
                </c:pt>
                <c:pt idx="4">
                  <c:v>kvalifikovaní pracovníci a remeselníci</c:v>
                </c:pt>
                <c:pt idx="5">
                  <c:v>pomocní a nekvalifikovaní pracovníci</c:v>
                </c:pt>
              </c:strCache>
            </c:strRef>
          </c:cat>
          <c:val>
            <c:numRef>
              <c:f>Hárok1!$B$2:$B$7</c:f>
              <c:numCache>
                <c:formatCode>General</c:formatCode>
                <c:ptCount val="6"/>
                <c:pt idx="0">
                  <c:v>16</c:v>
                </c:pt>
                <c:pt idx="1">
                  <c:v>6</c:v>
                </c:pt>
                <c:pt idx="2">
                  <c:v>45</c:v>
                </c:pt>
                <c:pt idx="3">
                  <c:v>44</c:v>
                </c:pt>
                <c:pt idx="4">
                  <c:v>1</c:v>
                </c:pt>
                <c:pt idx="5">
                  <c:v>72</c:v>
                </c:pt>
              </c:numCache>
            </c:numRef>
          </c:val>
          <c:extLst>
            <c:ext xmlns:c16="http://schemas.microsoft.com/office/drawing/2014/chart" uri="{C3380CC4-5D6E-409C-BE32-E72D297353CC}">
              <c16:uniqueId val="{00000006-2AD7-4198-8BA2-6A04838760E5}"/>
            </c:ext>
          </c:extLst>
        </c:ser>
        <c:dLbls>
          <c:showLegendKey val="0"/>
          <c:showVal val="0"/>
          <c:showCatName val="0"/>
          <c:showSerName val="0"/>
          <c:showPercent val="0"/>
          <c:showBubbleSize val="0"/>
          <c:showLeaderLines val="1"/>
        </c:dLbls>
      </c:pie3DChart>
    </c:plotArea>
    <c:legend>
      <c:legendPos val="r"/>
      <c:layout>
        <c:manualLayout>
          <c:xMode val="edge"/>
          <c:yMode val="edge"/>
          <c:x val="0.68045305927816113"/>
          <c:y val="0.12244102488611398"/>
          <c:w val="0.23522694837879365"/>
          <c:h val="0.75890118998283107"/>
        </c:manualLayout>
      </c:layout>
      <c:overlay val="0"/>
      <c:txPr>
        <a:bodyPr/>
        <a:lstStyle/>
        <a:p>
          <a:pPr>
            <a:defRPr sz="10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0394272171626765"/>
          <c:y val="7.716535433070867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4241794453479517"/>
          <c:y val="0.27876443710060866"/>
          <c:w val="0.45140479502230529"/>
          <c:h val="0.58455276602202022"/>
        </c:manualLayout>
      </c:layout>
      <c:pie3DChart>
        <c:varyColors val="1"/>
        <c:ser>
          <c:idx val="0"/>
          <c:order val="0"/>
          <c:explosion val="25"/>
          <c:dPt>
            <c:idx val="0"/>
            <c:bubble3D val="0"/>
            <c:explosion val="14"/>
            <c:extLst>
              <c:ext xmlns:c16="http://schemas.microsoft.com/office/drawing/2014/chart" uri="{C3380CC4-5D6E-409C-BE32-E72D297353CC}">
                <c16:uniqueId val="{00000001-157F-4370-BD83-52362A51B9A4}"/>
              </c:ext>
            </c:extLst>
          </c:dPt>
          <c:dPt>
            <c:idx val="1"/>
            <c:bubble3D val="0"/>
            <c:explosion val="7"/>
            <c:extLst>
              <c:ext xmlns:c16="http://schemas.microsoft.com/office/drawing/2014/chart" uri="{C3380CC4-5D6E-409C-BE32-E72D297353CC}">
                <c16:uniqueId val="{00000003-157F-4370-BD83-52362A51B9A4}"/>
              </c:ext>
            </c:extLst>
          </c:dPt>
          <c:dPt>
            <c:idx val="2"/>
            <c:bubble3D val="0"/>
            <c:explosion val="12"/>
            <c:extLst>
              <c:ext xmlns:c16="http://schemas.microsoft.com/office/drawing/2014/chart" uri="{C3380CC4-5D6E-409C-BE32-E72D297353CC}">
                <c16:uniqueId val="{00000005-157F-4370-BD83-52362A51B9A4}"/>
              </c:ext>
            </c:extLst>
          </c:dPt>
          <c:dPt>
            <c:idx val="3"/>
            <c:bubble3D val="0"/>
            <c:explosion val="16"/>
            <c:extLst>
              <c:ext xmlns:c16="http://schemas.microsoft.com/office/drawing/2014/chart" uri="{C3380CC4-5D6E-409C-BE32-E72D297353CC}">
                <c16:uniqueId val="{00000007-157F-4370-BD83-52362A51B9A4}"/>
              </c:ext>
            </c:extLst>
          </c:dPt>
          <c:dPt>
            <c:idx val="4"/>
            <c:bubble3D val="0"/>
            <c:explosion val="5"/>
            <c:extLst>
              <c:ext xmlns:c16="http://schemas.microsoft.com/office/drawing/2014/chart" uri="{C3380CC4-5D6E-409C-BE32-E72D297353CC}">
                <c16:uniqueId val="{00000008-157F-4370-BD83-52362A51B9A4}"/>
              </c:ext>
            </c:extLst>
          </c:dPt>
          <c:dLbls>
            <c:dLbl>
              <c:idx val="0"/>
              <c:layout>
                <c:manualLayout>
                  <c:x val="-8.1404172469343533E-2"/>
                  <c:y val="-2.21469381244471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7F-4370-BD83-52362A51B9A4}"/>
                </c:ext>
              </c:extLst>
            </c:dLbl>
            <c:dLbl>
              <c:idx val="1"/>
              <c:layout>
                <c:manualLayout>
                  <c:x val="-1.1599952583637432E-3"/>
                  <c:y val="-3.89085860123838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7F-4370-BD83-52362A51B9A4}"/>
                </c:ext>
              </c:extLst>
            </c:dLbl>
            <c:dLbl>
              <c:idx val="2"/>
              <c:layout>
                <c:manualLayout>
                  <c:x val="3.2442343494023064E-2"/>
                  <c:y val="-4.92466756572555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7F-4370-BD83-52362A51B9A4}"/>
                </c:ext>
              </c:extLst>
            </c:dLbl>
            <c:dLbl>
              <c:idx val="3"/>
              <c:layout>
                <c:manualLayout>
                  <c:x val="-9.9931007486838974E-2"/>
                  <c:y val="2.43340438798741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7F-4370-BD83-52362A51B9A4}"/>
                </c:ext>
              </c:extLst>
            </c:dLbl>
            <c:dLbl>
              <c:idx val="4"/>
              <c:layout>
                <c:manualLayout>
                  <c:x val="0.15540115863075868"/>
                  <c:y val="-0.174082089876886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57F-4370-BD83-52362A51B9A4}"/>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587</c:v>
                </c:pt>
                <c:pt idx="1">
                  <c:v>978</c:v>
                </c:pt>
                <c:pt idx="2">
                  <c:v>2290</c:v>
                </c:pt>
                <c:pt idx="3">
                  <c:v>4066</c:v>
                </c:pt>
                <c:pt idx="4">
                  <c:v>20086</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9-157F-4370-BD83-52362A51B9A4}"/>
            </c:ext>
          </c:extLst>
        </c:ser>
        <c:dLbls>
          <c:showLegendKey val="0"/>
          <c:showVal val="1"/>
          <c:showCatName val="0"/>
          <c:showSerName val="0"/>
          <c:showPercent val="0"/>
          <c:showBubbleSize val="0"/>
          <c:showLeaderLines val="1"/>
        </c:dLbls>
      </c:pie3DChart>
    </c:plotArea>
    <c:legend>
      <c:legendPos val="r"/>
      <c:layout>
        <c:manualLayout>
          <c:xMode val="edge"/>
          <c:yMode val="edge"/>
          <c:x val="0.66759901790138254"/>
          <c:y val="0.18174294166267888"/>
          <c:w val="0.27649448655111553"/>
          <c:h val="0.7125918997694349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solidFill>
                  <a:sysClr val="windowText" lastClr="000000"/>
                </a:solidFill>
              </a:rPr>
              <a:t>Štruktúra zaradených </a:t>
            </a:r>
            <a:r>
              <a:rPr lang="sk-SK" sz="1200">
                <a:solidFill>
                  <a:sysClr val="windowText" lastClr="000000"/>
                </a:solidFill>
              </a:rPr>
              <a:t>UoZ</a:t>
            </a:r>
            <a:r>
              <a:rPr lang="en-US" sz="1200">
                <a:solidFill>
                  <a:sysClr val="windowText" lastClr="000000"/>
                </a:solidFill>
              </a:rPr>
              <a:t> podľa veku</a:t>
            </a:r>
          </a:p>
        </c:rich>
      </c:tx>
      <c:layout>
        <c:manualLayout>
          <c:xMode val="edge"/>
          <c:yMode val="edge"/>
          <c:x val="0.21171206431841993"/>
          <c:y val="7.79037475087398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657364947896817"/>
          <c:y val="0.30597575717973013"/>
          <c:w val="0.49176928638207179"/>
          <c:h val="0.51706841756601507"/>
        </c:manualLayout>
      </c:layout>
      <c:pie3DChart>
        <c:varyColors val="1"/>
        <c:ser>
          <c:idx val="0"/>
          <c:order val="0"/>
          <c:tx>
            <c:strRef>
              <c:f>Hárok1!$B$1</c:f>
              <c:strCache>
                <c:ptCount val="1"/>
                <c:pt idx="0">
                  <c:v>Štruktúra zaradených UoZ podľa veku</c:v>
                </c:pt>
              </c:strCache>
            </c:strRef>
          </c:tx>
          <c:dPt>
            <c:idx val="0"/>
            <c:bubble3D val="0"/>
            <c:explosion val="7"/>
            <c:extLst>
              <c:ext xmlns:c16="http://schemas.microsoft.com/office/drawing/2014/chart" uri="{C3380CC4-5D6E-409C-BE32-E72D297353CC}">
                <c16:uniqueId val="{00000001-EC02-403F-BAEF-8BC948B07F05}"/>
              </c:ext>
            </c:extLst>
          </c:dPt>
          <c:dPt>
            <c:idx val="1"/>
            <c:bubble3D val="0"/>
            <c:explosion val="9"/>
            <c:extLst>
              <c:ext xmlns:c16="http://schemas.microsoft.com/office/drawing/2014/chart" uri="{C3380CC4-5D6E-409C-BE32-E72D297353CC}">
                <c16:uniqueId val="{00000003-EC02-403F-BAEF-8BC948B07F05}"/>
              </c:ext>
            </c:extLst>
          </c:dPt>
          <c:dPt>
            <c:idx val="2"/>
            <c:bubble3D val="0"/>
            <c:explosion val="11"/>
            <c:extLst>
              <c:ext xmlns:c16="http://schemas.microsoft.com/office/drawing/2014/chart" uri="{C3380CC4-5D6E-409C-BE32-E72D297353CC}">
                <c16:uniqueId val="{00000006-EC02-403F-BAEF-8BC948B07F05}"/>
              </c:ext>
            </c:extLst>
          </c:dPt>
          <c:dPt>
            <c:idx val="3"/>
            <c:bubble3D val="0"/>
            <c:explosion val="3"/>
            <c:extLst>
              <c:ext xmlns:c16="http://schemas.microsoft.com/office/drawing/2014/chart" uri="{C3380CC4-5D6E-409C-BE32-E72D297353CC}">
                <c16:uniqueId val="{00000005-EC02-403F-BAEF-8BC948B07F05}"/>
              </c:ext>
            </c:extLst>
          </c:dPt>
          <c:dLbls>
            <c:dLbl>
              <c:idx val="0"/>
              <c:layout>
                <c:manualLayout>
                  <c:x val="-7.520360150336107E-2"/>
                  <c:y val="-1.22169765086418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C02-403F-BAEF-8BC948B07F05}"/>
                </c:ext>
              </c:extLst>
            </c:dLbl>
            <c:dLbl>
              <c:idx val="1"/>
              <c:layout>
                <c:manualLayout>
                  <c:x val="1.1239999384708993E-2"/>
                  <c:y val="-3.44309996394220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02-403F-BAEF-8BC948B07F05}"/>
                </c:ext>
              </c:extLst>
            </c:dLbl>
            <c:dLbl>
              <c:idx val="2"/>
              <c:layout>
                <c:manualLayout>
                  <c:x val="-0.15032841157499116"/>
                  <c:y val="-0.17011697818922794"/>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C02-403F-BAEF-8BC948B07F05}"/>
                </c:ext>
              </c:extLst>
            </c:dLbl>
            <c:dLbl>
              <c:idx val="3"/>
              <c:layout>
                <c:manualLayout>
                  <c:x val="0.11615070527731679"/>
                  <c:y val="4.0193011402620271E-2"/>
                </c:manualLayout>
              </c:layout>
              <c:numFmt formatCode="0.00%" sourceLinked="0"/>
              <c:spPr>
                <a:noFill/>
                <a:ln>
                  <a:noFill/>
                </a:ln>
                <a:effectLst/>
              </c:spPr>
              <c:txPr>
                <a:bodyPr/>
                <a:lstStyle/>
                <a:p>
                  <a:pPr>
                    <a:defRPr sz="10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02-403F-BAEF-8BC948B07F05}"/>
                </c:ext>
              </c:extLst>
            </c:dLbl>
            <c:numFmt formatCode="0.00%" sourceLinked="0"/>
            <c:spPr>
              <a:noFill/>
              <a:ln>
                <a:noFill/>
              </a:ln>
              <a:effectLst/>
            </c:spPr>
            <c:txPr>
              <a:bodyPr/>
              <a:lstStyle/>
              <a:p>
                <a:pPr>
                  <a:defRPr sz="9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 rokov</c:v>
                </c:pt>
                <c:pt idx="3">
                  <c:v>50 a viac rokov</c:v>
                </c:pt>
              </c:strCache>
            </c:strRef>
          </c:cat>
          <c:val>
            <c:numRef>
              <c:f>Hárok1!$B$2:$B$5</c:f>
              <c:numCache>
                <c:formatCode>General</c:formatCode>
                <c:ptCount val="4"/>
                <c:pt idx="0">
                  <c:v>1223</c:v>
                </c:pt>
                <c:pt idx="1">
                  <c:v>2021</c:v>
                </c:pt>
                <c:pt idx="2">
                  <c:v>14670</c:v>
                </c:pt>
                <c:pt idx="3">
                  <c:v>10093</c:v>
                </c:pt>
              </c:numCache>
            </c:numRef>
          </c:val>
          <c:extLst>
            <c:ext xmlns:c16="http://schemas.microsoft.com/office/drawing/2014/chart" uri="{C3380CC4-5D6E-409C-BE32-E72D297353CC}">
              <c16:uniqueId val="{00000007-EC02-403F-BAEF-8BC948B07F05}"/>
            </c:ext>
          </c:extLst>
        </c:ser>
        <c:dLbls>
          <c:showLegendKey val="0"/>
          <c:showVal val="0"/>
          <c:showCatName val="0"/>
          <c:showSerName val="0"/>
          <c:showPercent val="0"/>
          <c:showBubbleSize val="0"/>
          <c:showLeaderLines val="1"/>
        </c:dLbls>
      </c:pie3DChart>
    </c:plotArea>
    <c:legend>
      <c:legendPos val="r"/>
      <c:layout>
        <c:manualLayout>
          <c:xMode val="edge"/>
          <c:yMode val="edge"/>
          <c:x val="0.71039243602255386"/>
          <c:y val="0.20986661548011892"/>
          <c:w val="0.17799411713431629"/>
          <c:h val="0.59406957558728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628757171085228"/>
          <c:y val="3.0293074702326794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126122407557281"/>
          <c:y val="0.25500105740998491"/>
          <c:w val="0.50989066093804236"/>
          <c:h val="0.66068458923993245"/>
        </c:manualLayout>
      </c:layout>
      <c:pie3DChart>
        <c:varyColors val="1"/>
        <c:ser>
          <c:idx val="0"/>
          <c:order val="0"/>
          <c:explosion val="25"/>
          <c:dPt>
            <c:idx val="0"/>
            <c:bubble3D val="0"/>
            <c:explosion val="8"/>
            <c:extLst>
              <c:ext xmlns:c16="http://schemas.microsoft.com/office/drawing/2014/chart" uri="{C3380CC4-5D6E-409C-BE32-E72D297353CC}">
                <c16:uniqueId val="{00000001-A717-4E0E-BA4E-BAA5D148C24F}"/>
              </c:ext>
            </c:extLst>
          </c:dPt>
          <c:dPt>
            <c:idx val="1"/>
            <c:bubble3D val="0"/>
            <c:explosion val="10"/>
            <c:extLst>
              <c:ext xmlns:c16="http://schemas.microsoft.com/office/drawing/2014/chart" uri="{C3380CC4-5D6E-409C-BE32-E72D297353CC}">
                <c16:uniqueId val="{00000003-A717-4E0E-BA4E-BAA5D148C24F}"/>
              </c:ext>
            </c:extLst>
          </c:dPt>
          <c:dPt>
            <c:idx val="2"/>
            <c:bubble3D val="0"/>
            <c:explosion val="8"/>
            <c:extLst>
              <c:ext xmlns:c16="http://schemas.microsoft.com/office/drawing/2014/chart" uri="{C3380CC4-5D6E-409C-BE32-E72D297353CC}">
                <c16:uniqueId val="{00000005-A717-4E0E-BA4E-BAA5D148C24F}"/>
              </c:ext>
            </c:extLst>
          </c:dPt>
          <c:dPt>
            <c:idx val="3"/>
            <c:bubble3D val="0"/>
            <c:explosion val="10"/>
            <c:extLst>
              <c:ext xmlns:c16="http://schemas.microsoft.com/office/drawing/2014/chart" uri="{C3380CC4-5D6E-409C-BE32-E72D297353CC}">
                <c16:uniqueId val="{00000007-A717-4E0E-BA4E-BAA5D148C24F}"/>
              </c:ext>
            </c:extLst>
          </c:dPt>
          <c:dLbls>
            <c:dLbl>
              <c:idx val="1"/>
              <c:layout>
                <c:manualLayout>
                  <c:x val="-8.3083700966492119E-2"/>
                  <c:y val="-0.165030758893332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17-4E0E-BA4E-BAA5D148C24F}"/>
                </c:ext>
              </c:extLst>
            </c:dLbl>
            <c:dLbl>
              <c:idx val="2"/>
              <c:layout>
                <c:manualLayout>
                  <c:x val="-2.4216457400747574E-2"/>
                  <c:y val="-1.12031522157493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17-4E0E-BA4E-BAA5D148C24F}"/>
                </c:ext>
              </c:extLst>
            </c:dLbl>
            <c:dLbl>
              <c:idx val="3"/>
              <c:layout>
                <c:manualLayout>
                  <c:x val="9.104777369091184E-2"/>
                  <c:y val="3.30090221738024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17-4E0E-BA4E-BAA5D148C24F}"/>
                </c:ext>
              </c:extLst>
            </c:dLbl>
            <c:dLbl>
              <c:idx val="4"/>
              <c:layout>
                <c:manualLayout>
                  <c:x val="-6.0405972756059016E-2"/>
                  <c:y val="6.06488397732387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E22-4D54-BC50-7F962F1D4E59}"/>
                </c:ext>
              </c:extLst>
            </c:dLbl>
            <c:dLbl>
              <c:idx val="5"/>
              <c:layout>
                <c:manualLayout>
                  <c:x val="-8.1005653292580276E-2"/>
                  <c:y val="-4.54516631982725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E22-4D54-BC50-7F962F1D4E59}"/>
                </c:ext>
              </c:extLst>
            </c:dLbl>
            <c:dLbl>
              <c:idx val="6"/>
              <c:layout>
                <c:manualLayout>
                  <c:x val="-7.1090175517294601E-2"/>
                  <c:y val="-9.59901884675351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22-4D54-BC50-7F962F1D4E59}"/>
                </c:ext>
              </c:extLst>
            </c:dLbl>
            <c:dLbl>
              <c:idx val="7"/>
              <c:layout>
                <c:manualLayout>
                  <c:x val="5.2116211023281317E-3"/>
                  <c:y val="-9.10191859820339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491-407C-9E05-FB12FB0F19BB}"/>
                </c:ext>
              </c:extLst>
            </c:dLbl>
            <c:dLbl>
              <c:idx val="8"/>
              <c:layout>
                <c:manualLayout>
                  <c:x val="8.3845262329320283E-2"/>
                  <c:y val="-8.6876683910782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E22-4D54-BC50-7F962F1D4E59}"/>
                </c:ext>
              </c:extLst>
            </c:dLbl>
            <c:dLbl>
              <c:idx val="9"/>
              <c:layout>
                <c:manualLayout>
                  <c:x val="0.10491032252507482"/>
                  <c:y val="-2.0596650770766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E22-4D54-BC50-7F962F1D4E59}"/>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Hárok1!$A$1:$A$10</c:f>
              <c:strCache>
                <c:ptCount val="10"/>
                <c:pt idx="0">
                  <c:v>Neukončené základné vzdelanie</c:v>
                </c:pt>
                <c:pt idx="1">
                  <c:v>Základné vzdelanie</c:v>
                </c:pt>
                <c:pt idx="2">
                  <c:v>Nižšie stredné odborné vzdelanie</c:v>
                </c:pt>
                <c:pt idx="3">
                  <c:v>Stredné odborné vzdelanie</c:v>
                </c:pt>
                <c:pt idx="4">
                  <c:v>Úpné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Hárok1!$B$1:$B$10</c:f>
              <c:numCache>
                <c:formatCode>General</c:formatCode>
                <c:ptCount val="10"/>
                <c:pt idx="0">
                  <c:v>5175</c:v>
                </c:pt>
                <c:pt idx="1">
                  <c:v>14977</c:v>
                </c:pt>
                <c:pt idx="2">
                  <c:v>427</c:v>
                </c:pt>
                <c:pt idx="3">
                  <c:v>5856</c:v>
                </c:pt>
                <c:pt idx="4">
                  <c:v>1230</c:v>
                </c:pt>
                <c:pt idx="5">
                  <c:v>157</c:v>
                </c:pt>
                <c:pt idx="6">
                  <c:v>10</c:v>
                </c:pt>
                <c:pt idx="7">
                  <c:v>27</c:v>
                </c:pt>
                <c:pt idx="8">
                  <c:v>115</c:v>
                </c:pt>
                <c:pt idx="9">
                  <c:v>4</c:v>
                </c:pt>
              </c:numCache>
            </c:numRef>
          </c:val>
          <c:extLst>
            <c:ext xmlns:c16="http://schemas.microsoft.com/office/drawing/2014/chart" uri="{C3380CC4-5D6E-409C-BE32-E72D297353CC}">
              <c16:uniqueId val="{00000008-A717-4E0E-BA4E-BAA5D148C24F}"/>
            </c:ext>
          </c:extLst>
        </c:ser>
        <c:dLbls>
          <c:showLegendKey val="0"/>
          <c:showVal val="1"/>
          <c:showCatName val="0"/>
          <c:showSerName val="0"/>
          <c:showPercent val="0"/>
          <c:showBubbleSize val="0"/>
          <c:showLeaderLines val="1"/>
        </c:dLbls>
      </c:pie3DChart>
    </c:plotArea>
    <c:legend>
      <c:legendPos val="r"/>
      <c:layout>
        <c:manualLayout>
          <c:xMode val="edge"/>
          <c:yMode val="edge"/>
          <c:x val="0.67208481047526381"/>
          <c:y val="9.9246521276803945E-2"/>
          <c:w val="0.30192147133996422"/>
          <c:h val="0.87279217686852939"/>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znevýhodnenia</a:t>
            </a:r>
          </a:p>
        </c:rich>
      </c:tx>
      <c:layout>
        <c:manualLayout>
          <c:xMode val="edge"/>
          <c:yMode val="edge"/>
          <c:x val="0.21028927387124394"/>
          <c:y val="7.2841831082901695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0591412548885834"/>
          <c:y val="0.30023741804137599"/>
          <c:w val="0.48566178329700732"/>
          <c:h val="0.62921020328732669"/>
        </c:manualLayout>
      </c:layout>
      <c:pie3DChart>
        <c:varyColors val="1"/>
        <c:ser>
          <c:idx val="0"/>
          <c:order val="0"/>
          <c:explosion val="16"/>
          <c:dPt>
            <c:idx val="0"/>
            <c:bubble3D val="0"/>
            <c:extLst>
              <c:ext xmlns:c16="http://schemas.microsoft.com/office/drawing/2014/chart" uri="{C3380CC4-5D6E-409C-BE32-E72D297353CC}">
                <c16:uniqueId val="{00000000-CD1D-4DA1-9E9E-32FC55656BAF}"/>
              </c:ext>
            </c:extLst>
          </c:dPt>
          <c:dPt>
            <c:idx val="1"/>
            <c:bubble3D val="0"/>
            <c:extLst>
              <c:ext xmlns:c16="http://schemas.microsoft.com/office/drawing/2014/chart" uri="{C3380CC4-5D6E-409C-BE32-E72D297353CC}">
                <c16:uniqueId val="{00000001-CD1D-4DA1-9E9E-32FC55656BAF}"/>
              </c:ext>
            </c:extLst>
          </c:dPt>
          <c:dPt>
            <c:idx val="2"/>
            <c:bubble3D val="0"/>
            <c:explosion val="12"/>
            <c:extLst>
              <c:ext xmlns:c16="http://schemas.microsoft.com/office/drawing/2014/chart" uri="{C3380CC4-5D6E-409C-BE32-E72D297353CC}">
                <c16:uniqueId val="{00000002-CD1D-4DA1-9E9E-32FC55656BAF}"/>
              </c:ext>
            </c:extLst>
          </c:dPt>
          <c:dPt>
            <c:idx val="3"/>
            <c:bubble3D val="0"/>
            <c:explosion val="4"/>
            <c:extLst>
              <c:ext xmlns:c16="http://schemas.microsoft.com/office/drawing/2014/chart" uri="{C3380CC4-5D6E-409C-BE32-E72D297353CC}">
                <c16:uniqueId val="{00000003-CD1D-4DA1-9E9E-32FC55656BAF}"/>
              </c:ext>
            </c:extLst>
          </c:dPt>
          <c:dPt>
            <c:idx val="4"/>
            <c:bubble3D val="0"/>
            <c:explosion val="8"/>
            <c:extLst>
              <c:ext xmlns:c16="http://schemas.microsoft.com/office/drawing/2014/chart" uri="{C3380CC4-5D6E-409C-BE32-E72D297353CC}">
                <c16:uniqueId val="{00000004-2635-48CC-96F5-124E7825214E}"/>
              </c:ext>
            </c:extLst>
          </c:dPt>
          <c:dLbls>
            <c:dLbl>
              <c:idx val="0"/>
              <c:layout>
                <c:manualLayout>
                  <c:x val="7.8216308734783579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D1D-4DA1-9E9E-32FC55656BAF}"/>
                </c:ext>
              </c:extLst>
            </c:dLbl>
            <c:dLbl>
              <c:idx val="2"/>
              <c:layout>
                <c:manualLayout>
                  <c:x val="-0.13057332811084474"/>
                  <c:y val="-8.89419478458728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D1D-4DA1-9E9E-32FC55656BAF}"/>
                </c:ext>
              </c:extLst>
            </c:dLbl>
            <c:dLbl>
              <c:idx val="3"/>
              <c:layout>
                <c:manualLayout>
                  <c:x val="8.4551433084579464E-2"/>
                  <c:y val="-0.180688302745426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1D-4DA1-9E9E-32FC55656BAF}"/>
                </c:ext>
              </c:extLst>
            </c:dLbl>
            <c:dLbl>
              <c:idx val="4"/>
              <c:layout>
                <c:manualLayout>
                  <c:x val="0.10410919572247331"/>
                  <c:y val="4.9448818897637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635-48CC-96F5-124E7825214E}"/>
                </c:ext>
              </c:extLst>
            </c:dLbl>
            <c:dLbl>
              <c:idx val="5"/>
              <c:layout>
                <c:manualLayout>
                  <c:x val="-8.4516206999106058E-2"/>
                  <c:y val="3.327445286069244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35-48CC-96F5-124E7825214E}"/>
                </c:ext>
              </c:extLst>
            </c:dLbl>
            <c:dLbl>
              <c:idx val="6"/>
              <c:layout>
                <c:manualLayout>
                  <c:x val="-4.5674776665761016E-2"/>
                  <c:y val="-4.32505014819915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35-48CC-96F5-124E7825214E}"/>
                </c:ext>
              </c:extLst>
            </c:dLbl>
            <c:dLbl>
              <c:idx val="7"/>
              <c:layout>
                <c:manualLayout>
                  <c:x val="8.4787730694433454E-3"/>
                  <c:y val="-5.3706775246250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635-48CC-96F5-124E7825214E}"/>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Hárok1!$A$1:$A$8</c:f>
              <c:strCache>
                <c:ptCount val="8"/>
                <c:pt idx="0">
                  <c:v>absolventi škôl</c:v>
                </c:pt>
                <c:pt idx="1">
                  <c:v>občan starší ako 50 rokv veku</c:v>
                </c:pt>
                <c:pt idx="2">
                  <c:v>dlhodobo nezamestnaný občan</c:v>
                </c:pt>
                <c:pt idx="3">
                  <c:v>občan - vzdelanie nižšie ako str.odb.</c:v>
                </c:pt>
                <c:pt idx="4">
                  <c:v>občan - 12 kal.mesiacov nemal pravidelne plat.zam.</c:v>
                </c:pt>
                <c:pt idx="5">
                  <c:v>osamelý občan - starostlivosť o odkázanú osobu/starajúci sa o dieťa</c:v>
                </c:pt>
                <c:pt idx="6">
                  <c:v>občan so zdravotným postihnutím</c:v>
                </c:pt>
                <c:pt idx="7">
                  <c:v>ukončil poberanie materského alebo poberanie rodičovského príspevku</c:v>
                </c:pt>
              </c:strCache>
            </c:strRef>
          </c:cat>
          <c:val>
            <c:numRef>
              <c:f>Hárok1!$B$1:$B$8</c:f>
              <c:numCache>
                <c:formatCode>General</c:formatCode>
                <c:ptCount val="8"/>
                <c:pt idx="0">
                  <c:v>70</c:v>
                </c:pt>
                <c:pt idx="1">
                  <c:v>9954</c:v>
                </c:pt>
                <c:pt idx="2">
                  <c:v>24127</c:v>
                </c:pt>
                <c:pt idx="3">
                  <c:v>20547</c:v>
                </c:pt>
                <c:pt idx="4">
                  <c:v>22009</c:v>
                </c:pt>
                <c:pt idx="5">
                  <c:v>307</c:v>
                </c:pt>
                <c:pt idx="6">
                  <c:v>384</c:v>
                </c:pt>
                <c:pt idx="7">
                  <c:v>1088</c:v>
                </c:pt>
              </c:numCache>
            </c:numRef>
          </c:val>
          <c:extLst>
            <c:ext xmlns:c16="http://schemas.microsoft.com/office/drawing/2014/chart" uri="{C3380CC4-5D6E-409C-BE32-E72D297353CC}">
              <c16:uniqueId val="{00000004-CD1D-4DA1-9E9E-32FC55656BAF}"/>
            </c:ext>
          </c:extLst>
        </c:ser>
        <c:dLbls>
          <c:showLegendKey val="0"/>
          <c:showVal val="1"/>
          <c:showCatName val="0"/>
          <c:showSerName val="0"/>
          <c:showPercent val="0"/>
          <c:showBubbleSize val="0"/>
          <c:showLeaderLines val="1"/>
        </c:dLbls>
      </c:pie3DChart>
    </c:plotArea>
    <c:legend>
      <c:legendPos val="r"/>
      <c:layout>
        <c:manualLayout>
          <c:xMode val="edge"/>
          <c:yMode val="edge"/>
          <c:x val="0.6657382179029081"/>
          <c:y val="0.16162215321312309"/>
          <c:w val="0.28010823236188759"/>
          <c:h val="0.71686805784257956"/>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solidFill>
            <a:schemeClr val="tx1"/>
          </a:solidFill>
        </a:defRPr>
      </a:pPr>
      <a:endParaRPr lang="sk-SK"/>
    </a:p>
  </c:txPr>
  <c:externalData r:id="rId2">
    <c:autoUpdate val="0"/>
  </c:externalData>
  <c:extLst/>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podľa právnej formy zamestnávateľa</a:t>
            </a:r>
            <a:endParaRPr lang="sk-SK" sz="1200">
              <a:effectLst/>
            </a:endParaRPr>
          </a:p>
        </c:rich>
      </c:tx>
      <c:layout>
        <c:manualLayout>
          <c:xMode val="edge"/>
          <c:yMode val="edge"/>
          <c:x val="0.20827500887950132"/>
          <c:y val="8.9075299744948627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3632187891963493"/>
          <c:y val="0.23837370984530062"/>
          <c:w val="0.50135586124299292"/>
          <c:h val="0.64557195856502692"/>
        </c:manualLayout>
      </c:layout>
      <c:pie3DChart>
        <c:varyColors val="1"/>
        <c:ser>
          <c:idx val="0"/>
          <c:order val="0"/>
          <c:explosion val="25"/>
          <c:dPt>
            <c:idx val="0"/>
            <c:bubble3D val="0"/>
            <c:explosion val="37"/>
            <c:extLst>
              <c:ext xmlns:c16="http://schemas.microsoft.com/office/drawing/2014/chart" uri="{C3380CC4-5D6E-409C-BE32-E72D297353CC}">
                <c16:uniqueId val="{00000001-E898-489D-96A3-0FCC59EE9358}"/>
              </c:ext>
            </c:extLst>
          </c:dPt>
          <c:dPt>
            <c:idx val="1"/>
            <c:bubble3D val="0"/>
            <c:explosion val="7"/>
            <c:extLst>
              <c:ext xmlns:c16="http://schemas.microsoft.com/office/drawing/2014/chart" uri="{C3380CC4-5D6E-409C-BE32-E72D297353CC}">
                <c16:uniqueId val="{00000003-E898-489D-96A3-0FCC59EE9358}"/>
              </c:ext>
            </c:extLst>
          </c:dPt>
          <c:dPt>
            <c:idx val="2"/>
            <c:bubble3D val="0"/>
            <c:explosion val="12"/>
            <c:extLst>
              <c:ext xmlns:c16="http://schemas.microsoft.com/office/drawing/2014/chart" uri="{C3380CC4-5D6E-409C-BE32-E72D297353CC}">
                <c16:uniqueId val="{00000005-E898-489D-96A3-0FCC59EE9358}"/>
              </c:ext>
            </c:extLst>
          </c:dPt>
          <c:dLbls>
            <c:dLbl>
              <c:idx val="0"/>
              <c:layout>
                <c:manualLayout>
                  <c:x val="-3.5801977683711309E-2"/>
                  <c:y val="-0.29095521107288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98-489D-96A3-0FCC59EE9358}"/>
                </c:ext>
              </c:extLst>
            </c:dLbl>
            <c:dLbl>
              <c:idx val="1"/>
              <c:layout>
                <c:manualLayout>
                  <c:x val="-3.0529527130093704E-2"/>
                  <c:y val="2.8396513503420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98-489D-96A3-0FCC59EE9358}"/>
                </c:ext>
              </c:extLst>
            </c:dLbl>
            <c:dLbl>
              <c:idx val="2"/>
              <c:layout>
                <c:manualLayout>
                  <c:x val="7.4102741406615963E-2"/>
                  <c:y val="1.14538722518413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98-489D-96A3-0FCC59EE9358}"/>
                </c:ext>
              </c:extLst>
            </c:dLbl>
            <c:numFmt formatCode="0.00%" sourceLinked="0"/>
            <c:spPr>
              <a:noFill/>
              <a:ln>
                <a:noFill/>
              </a:ln>
              <a:effectLst/>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Hárok1!$A$1:$A$3</c:f>
              <c:strCache>
                <c:ptCount val="3"/>
                <c:pt idx="0">
                  <c:v>Obec a mesto</c:v>
                </c:pt>
                <c:pt idx="1">
                  <c:v>Príspevková organizácia</c:v>
                </c:pt>
                <c:pt idx="2">
                  <c:v>Rozpočtová organizácia</c:v>
                </c:pt>
              </c:strCache>
            </c:strRef>
          </c:cat>
          <c:val>
            <c:numRef>
              <c:f>Hárok1!$B$1:$B$3</c:f>
              <c:numCache>
                <c:formatCode>General</c:formatCode>
                <c:ptCount val="3"/>
                <c:pt idx="0">
                  <c:v>2977</c:v>
                </c:pt>
                <c:pt idx="1">
                  <c:v>21</c:v>
                </c:pt>
                <c:pt idx="2">
                  <c:v>77</c:v>
                </c:pt>
              </c:numCache>
            </c:numRef>
          </c:val>
          <c:extLst>
            <c:ext xmlns:c16="http://schemas.microsoft.com/office/drawing/2014/chart" uri="{C3380CC4-5D6E-409C-BE32-E72D297353CC}">
              <c16:uniqueId val="{00000006-E898-489D-96A3-0FCC59EE9358}"/>
            </c:ext>
          </c:extLst>
        </c:ser>
        <c:dLbls>
          <c:showLegendKey val="0"/>
          <c:showVal val="1"/>
          <c:showCatName val="0"/>
          <c:showSerName val="0"/>
          <c:showPercent val="0"/>
          <c:showBubbleSize val="0"/>
          <c:showLeaderLines val="1"/>
        </c:dLbls>
      </c:pie3DChart>
    </c:plotArea>
    <c:legend>
      <c:legendPos val="r"/>
      <c:layout>
        <c:manualLayout>
          <c:xMode val="edge"/>
          <c:yMode val="edge"/>
          <c:x val="0.68059585758301944"/>
          <c:y val="0.16439967582256051"/>
          <c:w val="0.28303183065289644"/>
          <c:h val="0.6746863503817826"/>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Veková štruktúra UoZ pred zaradením do projektu</a:t>
            </a:r>
          </a:p>
        </c:rich>
      </c:tx>
      <c:layout>
        <c:manualLayout>
          <c:xMode val="edge"/>
          <c:yMode val="edge"/>
          <c:x val="0.16115157480314959"/>
          <c:y val="5.429393346783201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4058374152458677"/>
          <c:y val="0.29013151016818362"/>
          <c:w val="0.48236553408148991"/>
          <c:h val="0.55307053425487251"/>
        </c:manualLayout>
      </c:layout>
      <c:pie3DChart>
        <c:varyColors val="1"/>
        <c:ser>
          <c:idx val="0"/>
          <c:order val="0"/>
          <c:dPt>
            <c:idx val="0"/>
            <c:bubble3D val="0"/>
            <c:explosion val="15"/>
            <c:extLst>
              <c:ext xmlns:c16="http://schemas.microsoft.com/office/drawing/2014/chart" uri="{C3380CC4-5D6E-409C-BE32-E72D297353CC}">
                <c16:uniqueId val="{00000000-CE85-48B1-946D-48F0C764E102}"/>
              </c:ext>
            </c:extLst>
          </c:dPt>
          <c:dPt>
            <c:idx val="1"/>
            <c:bubble3D val="0"/>
            <c:explosion val="15"/>
            <c:extLst>
              <c:ext xmlns:c16="http://schemas.microsoft.com/office/drawing/2014/chart" uri="{C3380CC4-5D6E-409C-BE32-E72D297353CC}">
                <c16:uniqueId val="{00000001-CE85-48B1-946D-48F0C764E102}"/>
              </c:ext>
            </c:extLst>
          </c:dPt>
          <c:dPt>
            <c:idx val="2"/>
            <c:bubble3D val="0"/>
            <c:explosion val="12"/>
            <c:extLst>
              <c:ext xmlns:c16="http://schemas.microsoft.com/office/drawing/2014/chart" uri="{C3380CC4-5D6E-409C-BE32-E72D297353CC}">
                <c16:uniqueId val="{00000002-CE85-48B1-946D-48F0C764E102}"/>
              </c:ext>
            </c:extLst>
          </c:dPt>
          <c:dPt>
            <c:idx val="3"/>
            <c:bubble3D val="0"/>
            <c:explosion val="3"/>
            <c:extLst>
              <c:ext xmlns:c16="http://schemas.microsoft.com/office/drawing/2014/chart" uri="{C3380CC4-5D6E-409C-BE32-E72D297353CC}">
                <c16:uniqueId val="{00000003-CE85-48B1-946D-48F0C764E102}"/>
              </c:ext>
            </c:extLst>
          </c:dPt>
          <c:dLbls>
            <c:dLbl>
              <c:idx val="2"/>
              <c:layout>
                <c:manualLayout>
                  <c:x val="-0.11126165381671049"/>
                  <c:y val="-0.1853306007981879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E85-48B1-946D-48F0C764E102}"/>
                </c:ext>
              </c:extLst>
            </c:dLbl>
            <c:dLbl>
              <c:idx val="3"/>
              <c:layout>
                <c:manualLayout>
                  <c:x val="0.13849846894138229"/>
                  <c:y val="5.237990493440603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85-48B1-946D-48F0C764E102}"/>
                </c:ext>
              </c:extLst>
            </c:dLbl>
            <c:numFmt formatCode="0.00%" sourceLinked="0"/>
            <c:spPr>
              <a:noFill/>
              <a:ln w="2540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'[Graf v programe Microsoft Word]Hárok1'!$A$6:$A$9</c:f>
              <c:strCache>
                <c:ptCount val="4"/>
                <c:pt idx="0">
                  <c:v>UoZ do 24 rokov</c:v>
                </c:pt>
                <c:pt idx="1">
                  <c:v>UoZ od 25 do 29 rokov</c:v>
                </c:pt>
                <c:pt idx="2">
                  <c:v>UoZ od 30 do 49 rokov</c:v>
                </c:pt>
                <c:pt idx="3">
                  <c:v>UoZ od 50 a viac rokov</c:v>
                </c:pt>
              </c:strCache>
            </c:strRef>
          </c:cat>
          <c:val>
            <c:numRef>
              <c:f>'[Graf v programe Microsoft Word]Hárok1'!$B$6:$B$9</c:f>
              <c:numCache>
                <c:formatCode>#,##0</c:formatCode>
                <c:ptCount val="4"/>
                <c:pt idx="0">
                  <c:v>6</c:v>
                </c:pt>
                <c:pt idx="1">
                  <c:v>5</c:v>
                </c:pt>
                <c:pt idx="2" formatCode="General">
                  <c:v>25</c:v>
                </c:pt>
                <c:pt idx="3">
                  <c:v>22</c:v>
                </c:pt>
              </c:numCache>
            </c:numRef>
          </c:val>
          <c:extLst>
            <c:ext xmlns:c16="http://schemas.microsoft.com/office/drawing/2014/chart" uri="{C3380CC4-5D6E-409C-BE32-E72D297353CC}">
              <c16:uniqueId val="{00000004-CE85-48B1-946D-48F0C764E102}"/>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73148275736366297"/>
          <c:y val="0.22763947937324072"/>
          <c:w val="0.22916703120443271"/>
          <c:h val="0.6117504852123368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4957750072907552"/>
          <c:y val="3.301897607626633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024312069436933"/>
          <c:y val="0.27612108450023354"/>
          <c:w val="0.51522783610382039"/>
          <c:h val="0.59100529100529087"/>
        </c:manualLayout>
      </c:layout>
      <c:pie3DChart>
        <c:varyColors val="1"/>
        <c:ser>
          <c:idx val="0"/>
          <c:order val="0"/>
          <c:explosion val="12"/>
          <c:dPt>
            <c:idx val="0"/>
            <c:bubble3D val="0"/>
            <c:explosion val="4"/>
            <c:extLst>
              <c:ext xmlns:c16="http://schemas.microsoft.com/office/drawing/2014/chart" uri="{C3380CC4-5D6E-409C-BE32-E72D297353CC}">
                <c16:uniqueId val="{00000001-2C07-4248-8BAC-8141977EA65C}"/>
              </c:ext>
            </c:extLst>
          </c:dPt>
          <c:dPt>
            <c:idx val="1"/>
            <c:bubble3D val="0"/>
            <c:explosion val="8"/>
            <c:extLst>
              <c:ext xmlns:c16="http://schemas.microsoft.com/office/drawing/2014/chart" uri="{C3380CC4-5D6E-409C-BE32-E72D297353CC}">
                <c16:uniqueId val="{00000002-2C07-4248-8BAC-8141977EA65C}"/>
              </c:ext>
            </c:extLst>
          </c:dPt>
          <c:dPt>
            <c:idx val="2"/>
            <c:bubble3D val="0"/>
            <c:explosion val="7"/>
            <c:extLst>
              <c:ext xmlns:c16="http://schemas.microsoft.com/office/drawing/2014/chart" uri="{C3380CC4-5D6E-409C-BE32-E72D297353CC}">
                <c16:uniqueId val="{00000003-2C07-4248-8BAC-8141977EA65C}"/>
              </c:ext>
            </c:extLst>
          </c:dPt>
          <c:dPt>
            <c:idx val="3"/>
            <c:bubble3D val="0"/>
            <c:explosion val="6"/>
            <c:extLst>
              <c:ext xmlns:c16="http://schemas.microsoft.com/office/drawing/2014/chart" uri="{C3380CC4-5D6E-409C-BE32-E72D297353CC}">
                <c16:uniqueId val="{00000004-2C07-4248-8BAC-8141977EA65C}"/>
              </c:ext>
            </c:extLst>
          </c:dPt>
          <c:dPt>
            <c:idx val="4"/>
            <c:bubble3D val="0"/>
            <c:explosion val="8"/>
            <c:extLst>
              <c:ext xmlns:c16="http://schemas.microsoft.com/office/drawing/2014/chart" uri="{C3380CC4-5D6E-409C-BE32-E72D297353CC}">
                <c16:uniqueId val="{00000005-2C07-4248-8BAC-8141977EA65C}"/>
              </c:ext>
            </c:extLst>
          </c:dPt>
          <c:dLbls>
            <c:dLbl>
              <c:idx val="0"/>
              <c:layout>
                <c:manualLayout>
                  <c:x val="-0.11073734908999018"/>
                  <c:y val="6.8038952206936676E-2"/>
                </c:manualLayout>
              </c:layout>
              <c:tx>
                <c:rich>
                  <a:bodyPr/>
                  <a:lstStyle/>
                  <a:p>
                    <a:r>
                      <a:rPr lang="en-US" sz="1000"/>
                      <a:t>53,00 %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07-4248-8BAC-8141977EA65C}"/>
                </c:ext>
              </c:extLst>
            </c:dLbl>
            <c:dLbl>
              <c:idx val="1"/>
              <c:layout>
                <c:manualLayout>
                  <c:x val="-8.5997810904593214E-2"/>
                  <c:y val="-0.1646823667862966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C07-4248-8BAC-8141977EA65C}"/>
                </c:ext>
              </c:extLst>
            </c:dLbl>
            <c:dLbl>
              <c:idx val="2"/>
              <c:layout>
                <c:manualLayout>
                  <c:x val="7.647671218225556E-2"/>
                  <c:y val="-0.157374010507671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07-4248-8BAC-8141977EA65C}"/>
                </c:ext>
              </c:extLst>
            </c:dLbl>
            <c:dLbl>
              <c:idx val="3"/>
              <c:layout>
                <c:manualLayout>
                  <c:x val="0.10799278581797385"/>
                  <c:y val="-0.10322611556042667"/>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C07-4248-8BAC-8141977EA65C}"/>
                </c:ext>
              </c:extLst>
            </c:dLbl>
            <c:dLbl>
              <c:idx val="4"/>
              <c:layout>
                <c:manualLayout>
                  <c:x val="0.10320558434960664"/>
                  <c:y val="6.85546936410472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07-4248-8BAC-8141977EA65C}"/>
                </c:ext>
              </c:extLst>
            </c:dLbl>
            <c:numFmt formatCode="0.00%" sourceLinked="0"/>
            <c:spPr>
              <a:noFill/>
              <a:ln w="25400">
                <a:noFill/>
              </a:ln>
            </c:spPr>
            <c:txPr>
              <a:bodyPr wrap="square" lIns="38100" tIns="19050" rIns="38100" bIns="19050" anchor="ctr">
                <a:spAutoFit/>
              </a:bodyPr>
              <a:lstStyle/>
              <a:p>
                <a:pPr>
                  <a:defRPr sz="100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18</c:v>
                </c:pt>
                <c:pt idx="1">
                  <c:v>11</c:v>
                </c:pt>
                <c:pt idx="2">
                  <c:v>8</c:v>
                </c:pt>
                <c:pt idx="3">
                  <c:v>7</c:v>
                </c:pt>
                <c:pt idx="4">
                  <c:v>14</c:v>
                </c:pt>
              </c:numCache>
            </c:numRef>
          </c:val>
          <c:extLst>
            <c:ext xmlns:c16="http://schemas.microsoft.com/office/drawing/2014/chart" uri="{C3380CC4-5D6E-409C-BE32-E72D297353CC}">
              <c16:uniqueId val="{00000006-2C07-4248-8BAC-8141977EA65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251001339676296"/>
          <c:y val="0.21581840204943006"/>
          <c:w val="0.30555610236220476"/>
          <c:h val="0.71993058768395524"/>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UoZ zaradených na rekvalifikačný kurz (REPAS+) v roku 2023</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v štruktúre podľa znevýhodnenia</a:t>
            </a:r>
            <a:endParaRPr lang="en-US" sz="1200" b="1" i="0" u="none" strike="noStrike" kern="1200" baseline="0">
              <a:solidFill>
                <a:srgbClr val="002060"/>
              </a:solidFill>
              <a:latin typeface="+mn-lt"/>
              <a:ea typeface="+mn-ea"/>
              <a:cs typeface="+mn-cs"/>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62868612011734"/>
          <c:y val="0.20475704785606463"/>
          <c:w val="0.87928852492537046"/>
          <c:h val="0.59308939323761001"/>
        </c:manualLayout>
      </c:layout>
      <c:bar3DChart>
        <c:barDir val="col"/>
        <c:grouping val="clustered"/>
        <c:varyColors val="0"/>
        <c:ser>
          <c:idx val="0"/>
          <c:order val="0"/>
          <c:tx>
            <c:v>Počet UoZ</c:v>
          </c:tx>
          <c:invertIfNegative val="0"/>
          <c:cat>
            <c:strRef>
              <c:f>znevýhodnenie_2023!$A$3:$H$3</c:f>
              <c:strCache>
                <c:ptCount val="8"/>
                <c:pt idx="0">
                  <c:v>absolvent školy</c:v>
                </c:pt>
                <c:pt idx="1">
                  <c:v>UoZ nad 50 rokov</c:v>
                </c:pt>
                <c:pt idx="2">
                  <c:v>dlhodobo nezamestnaný UoZ</c:v>
                </c:pt>
                <c:pt idx="3">
                  <c:v>UoZ s nižším vzdelaním ako stredné odborné</c:v>
                </c:pt>
                <c:pt idx="4">
                  <c:v>UoZ, ktorý nemal pravidelné platené zamestnanie</c:v>
                </c:pt>
                <c:pt idx="5">
                  <c:v>UoZ, ktorý žije ako osamelý rodič</c:v>
                </c:pt>
                <c:pt idx="6">
                  <c:v>UoZ so zdravotným postihnutím</c:v>
                </c:pt>
                <c:pt idx="7">
                  <c:v>UoZ ukončil poberanie mater./rodič. príspevku menej ako 2 roky pred zaradením...</c:v>
                </c:pt>
              </c:strCache>
            </c:strRef>
          </c:cat>
          <c:val>
            <c:numRef>
              <c:f>znevýhodnenie_2023!$A$4:$H$4</c:f>
              <c:numCache>
                <c:formatCode>#,##0</c:formatCode>
                <c:ptCount val="8"/>
                <c:pt idx="0">
                  <c:v>220</c:v>
                </c:pt>
                <c:pt idx="1">
                  <c:v>967</c:v>
                </c:pt>
                <c:pt idx="2">
                  <c:v>948</c:v>
                </c:pt>
                <c:pt idx="3">
                  <c:v>513</c:v>
                </c:pt>
                <c:pt idx="4">
                  <c:v>1831</c:v>
                </c:pt>
                <c:pt idx="5">
                  <c:v>54</c:v>
                </c:pt>
                <c:pt idx="6">
                  <c:v>255</c:v>
                </c:pt>
                <c:pt idx="7">
                  <c:v>88</c:v>
                </c:pt>
              </c:numCache>
            </c:numRef>
          </c:val>
          <c:extLst>
            <c:ext xmlns:c16="http://schemas.microsoft.com/office/drawing/2014/chart" uri="{C3380CC4-5D6E-409C-BE32-E72D297353CC}">
              <c16:uniqueId val="{00000000-DE04-49EC-BB63-D09E7B105562}"/>
            </c:ext>
          </c:extLst>
        </c:ser>
        <c:dLbls>
          <c:showLegendKey val="0"/>
          <c:showVal val="0"/>
          <c:showCatName val="0"/>
          <c:showSerName val="0"/>
          <c:showPercent val="0"/>
          <c:showBubbleSize val="0"/>
        </c:dLbls>
        <c:gapWidth val="150"/>
        <c:shape val="box"/>
        <c:axId val="459666784"/>
        <c:axId val="459664432"/>
        <c:axId val="0"/>
      </c:bar3DChart>
      <c:catAx>
        <c:axId val="459666784"/>
        <c:scaling>
          <c:orientation val="minMax"/>
        </c:scaling>
        <c:delete val="0"/>
        <c:axPos val="b"/>
        <c:numFmt formatCode="General" sourceLinked="1"/>
        <c:majorTickMark val="none"/>
        <c:minorTickMark val="none"/>
        <c:tickLblPos val="nextTo"/>
        <c:txPr>
          <a:bodyPr/>
          <a:lstStyle/>
          <a:p>
            <a:pPr>
              <a:defRPr lang="sk-SK"/>
            </a:pPr>
            <a:endParaRPr lang="sk-SK"/>
          </a:p>
        </c:txPr>
        <c:crossAx val="459664432"/>
        <c:crosses val="autoZero"/>
        <c:auto val="1"/>
        <c:lblAlgn val="ctr"/>
        <c:lblOffset val="100"/>
        <c:noMultiLvlLbl val="0"/>
      </c:catAx>
      <c:valAx>
        <c:axId val="459664432"/>
        <c:scaling>
          <c:orientation val="minMax"/>
        </c:scaling>
        <c:delete val="0"/>
        <c:axPos val="l"/>
        <c:numFmt formatCode="#,##0" sourceLinked="1"/>
        <c:majorTickMark val="none"/>
        <c:minorTickMark val="none"/>
        <c:tickLblPos val="nextTo"/>
        <c:txPr>
          <a:bodyPr/>
          <a:lstStyle/>
          <a:p>
            <a:pPr>
              <a:defRPr lang="sk-SK" sz="800"/>
            </a:pPr>
            <a:endParaRPr lang="sk-SK"/>
          </a:p>
        </c:txPr>
        <c:crossAx val="459666784"/>
        <c:crosses val="autoZero"/>
        <c:crossBetween val="between"/>
      </c:valAx>
      <c:dTable>
        <c:showHorzBorder val="1"/>
        <c:showVertBorder val="1"/>
        <c:showOutline val="1"/>
        <c:showKeys val="1"/>
        <c:txPr>
          <a:bodyPr/>
          <a:lstStyle/>
          <a:p>
            <a:pPr rtl="0">
              <a:defRPr lang="sk-SK" sz="700"/>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Vyhodnotenie AOTP za rok 2021" edit="true"/>
    <f:field ref="objsubject" par="" text="" edit="true"/>
    <f:field ref="objcreatedby" par="" text="Petrakovičová, Eva, RNDr., PhD."/>
    <f:field ref="objcreatedat" par="" date="2022-05-31T10:09:48" text="31.5.2022 10:09:48"/>
    <f:field ref="objchangedby" par="" text="Petrakovičová, Eva, RNDr., PhD."/>
    <f:field ref="objmodifiedat" par="" date="2022-05-31T10:26:33" text="31.5.2022 10:26:33"/>
    <f:field ref="doc_FSCFOLIO_1_1001_FieldDocumentNumber" par="" text=""/>
    <f:field ref="doc_FSCFOLIO_1_1001_FieldSubject" par="" text="" edit="true"/>
    <f:field ref="FSCFOLIO_1_1001_FieldCurrentUser" par="" text="Mgr. František Brezovský"/>
    <f:field ref="CCAPRECONFIG_15_1001_Objektname" par="" text="Vyhodnotenie AOTP za rok 2021"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F4DD84CA-6ED7-4A7C-A484-8CD0F718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96</Pages>
  <Words>31546</Words>
  <Characters>179817</Characters>
  <Application>Microsoft Office Word</Application>
  <DocSecurity>0</DocSecurity>
  <Lines>1498</Lines>
  <Paragraphs>421</Paragraphs>
  <ScaleCrop>false</ScaleCrop>
  <HeadingPairs>
    <vt:vector size="2" baseType="variant">
      <vt:variant>
        <vt:lpstr>Názov</vt:lpstr>
      </vt:variant>
      <vt:variant>
        <vt:i4>1</vt:i4>
      </vt:variant>
    </vt:vector>
  </HeadingPairs>
  <TitlesOfParts>
    <vt:vector size="1" baseType="lpstr">
      <vt:lpstr/>
    </vt:vector>
  </TitlesOfParts>
  <Company>UPSVR SR</Company>
  <LinksUpToDate>false</LinksUpToDate>
  <CharactersWithSpaces>210942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Petrakovičová Eva</dc:creator>
  <cp:keywords/>
  <dc:description/>
  <cp:lastModifiedBy>Brezovský František</cp:lastModifiedBy>
  <cp:revision>26</cp:revision>
  <cp:lastPrinted>2024-08-05T07:25:00Z</cp:lastPrinted>
  <dcterms:created xsi:type="dcterms:W3CDTF">2024-05-31T04:57:00Z</dcterms:created>
  <dcterms:modified xsi:type="dcterms:W3CDTF">2024-08-05T10:06:00Z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PSVRVREG@103.510:mp_org_city">
    <vt:lpwstr/>
  </property>
  <property fmtid="{D5CDD505-2E9C-101B-9397-08002B2CF9AE}" pid="3" name="FSC#SKMPSVRVREG@103.510:zaz_vnut_adresati_1_MP">
    <vt:lpwstr/>
  </property>
  <property fmtid="{D5CDD505-2E9C-101B-9397-08002B2CF9AE}" pid="4" name="FSC#SKMPSVRVREG@103.510:zaz_vnut_adresati_2_MP">
    <vt:lpwstr/>
  </property>
  <property fmtid="{D5CDD505-2E9C-101B-9397-08002B2CF9AE}" pid="5" name="FSC#SKMPSVRVREG@103.510:zaz_vnut_adresati_3_MP">
    <vt:lpwstr/>
  </property>
  <property fmtid="{D5CDD505-2E9C-101B-9397-08002B2CF9AE}" pid="6" name="FSC#SKMPSVRVREG@103.510:zaz_vnut_adresati_4_MP">
    <vt:lpwstr/>
  </property>
  <property fmtid="{D5CDD505-2E9C-101B-9397-08002B2CF9AE}" pid="7" name="FSC#SKMPSVRVREG@103.510:zaz_vnut_adresati_5_MP">
    <vt:lpwstr/>
  </property>
  <property fmtid="{D5CDD505-2E9C-101B-9397-08002B2CF9AE}" pid="8" name="FSC#SKMPSVRVREG@103.510:zaz_vnut_adresati_6_MP">
    <vt:lpwstr/>
  </property>
  <property fmtid="{D5CDD505-2E9C-101B-9397-08002B2CF9AE}" pid="9" name="FSC#SKMPSVRVREG@103.510:zaz_vnut_adresati_7_MP">
    <vt:lpwstr/>
  </property>
  <property fmtid="{D5CDD505-2E9C-101B-9397-08002B2CF9AE}" pid="10" name="FSC#SKMPSVRVREG@103.510:zaz_vnut_adresati_8_MP">
    <vt:lpwstr/>
  </property>
  <property fmtid="{D5CDD505-2E9C-101B-9397-08002B2CF9AE}" pid="11" name="FSC#SKMPSVRVREG@103.510:zaz_vnut_adresati_9_MP">
    <vt:lpwstr/>
  </property>
  <property fmtid="{D5CDD505-2E9C-101B-9397-08002B2CF9AE}" pid="12" name="FSC#SKMPSVRVREG@103.510:zaz_vnut_adresati_10_MP">
    <vt:lpwstr/>
  </property>
  <property fmtid="{D5CDD505-2E9C-101B-9397-08002B2CF9AE}" pid="13" name="FSC#SKMPSVRVREG@103.510:zaz_vnut_adresati_11_MP">
    <vt:lpwstr/>
  </property>
  <property fmtid="{D5CDD505-2E9C-101B-9397-08002B2CF9AE}" pid="14" name="FSC#SKMPSVRVREG@103.510:zaz_vnut_adresati_12_MP">
    <vt:lpwstr/>
  </property>
  <property fmtid="{D5CDD505-2E9C-101B-9397-08002B2CF9AE}" pid="15" name="FSC#SKMPSVRVREG@103.510:zaz_vnut_adresati_13_MP">
    <vt:lpwstr/>
  </property>
  <property fmtid="{D5CDD505-2E9C-101B-9397-08002B2CF9AE}" pid="16" name="FSC#SKMPSVRVREG@103.510:zaz_vnut_adresati_14_MP">
    <vt:lpwstr/>
  </property>
  <property fmtid="{D5CDD505-2E9C-101B-9397-08002B2CF9AE}" pid="17" name="FSC#SKMPSVRVREG@103.510:zaz_vnut_adresati_15_MP">
    <vt:lpwstr/>
  </property>
  <property fmtid="{D5CDD505-2E9C-101B-9397-08002B2CF9AE}" pid="18" name="FSC#SKMPSVRVREG@103.510:zaz_vnut_adresati_16_MP">
    <vt:lpwstr/>
  </property>
  <property fmtid="{D5CDD505-2E9C-101B-9397-08002B2CF9AE}" pid="19" name="FSC#SKMPSVRVREG@103.510:zaz_vnut_adresati_17_MP">
    <vt:lpwstr/>
  </property>
  <property fmtid="{D5CDD505-2E9C-101B-9397-08002B2CF9AE}" pid="20" name="FSC#SKMPSVRVREG@103.510:zaz_vnut_adresati_18_MP">
    <vt:lpwstr/>
  </property>
  <property fmtid="{D5CDD505-2E9C-101B-9397-08002B2CF9AE}" pid="21" name="FSC#SKMPSVRVREG@103.510:zaz_vnut_adresati_19_MP">
    <vt:lpwstr/>
  </property>
  <property fmtid="{D5CDD505-2E9C-101B-9397-08002B2CF9AE}" pid="22" name="FSC#SKMPSVRVREG@103.510:zaz_vnut_adresati_20_MP">
    <vt:lpwstr/>
  </property>
  <property fmtid="{D5CDD505-2E9C-101B-9397-08002B2CF9AE}" pid="23" name="FSC#SKMPSVRVREG@103.510:zaz_vnut_adresati_21_MP">
    <vt:lpwstr/>
  </property>
  <property fmtid="{D5CDD505-2E9C-101B-9397-08002B2CF9AE}" pid="24" name="FSC#SKMPSVRVREG@103.510:zaz_vnut_adresati_22_MP">
    <vt:lpwstr/>
  </property>
  <property fmtid="{D5CDD505-2E9C-101B-9397-08002B2CF9AE}" pid="25" name="FSC#SKMPSVRVREG@103.510:zaz_vnut_adresati_23_MP">
    <vt:lpwstr/>
  </property>
  <property fmtid="{D5CDD505-2E9C-101B-9397-08002B2CF9AE}" pid="26" name="FSC#SKMPSVRVREG@103.510:zaz_vnut_adresati_24_MP">
    <vt:lpwstr/>
  </property>
  <property fmtid="{D5CDD505-2E9C-101B-9397-08002B2CF9AE}" pid="27" name="FSC#SKMPSVRVREG@103.510:zaz_vnut_adresati_25_MP">
    <vt:lpwstr/>
  </property>
  <property fmtid="{D5CDD505-2E9C-101B-9397-08002B2CF9AE}" pid="28" name="FSC#SKMPSVRVREG@103.510:zaz_vnut_adresati_26_MP">
    <vt:lpwstr/>
  </property>
  <property fmtid="{D5CDD505-2E9C-101B-9397-08002B2CF9AE}" pid="29" name="FSC#SKMPSVRVREG@103.510:zaz_vnut_adresati_27_MP">
    <vt:lpwstr/>
  </property>
  <property fmtid="{D5CDD505-2E9C-101B-9397-08002B2CF9AE}" pid="30" name="FSC#SKMPSVRVREG@103.510:zaz_vnut_adresati_28_MP">
    <vt:lpwstr/>
  </property>
  <property fmtid="{D5CDD505-2E9C-101B-9397-08002B2CF9AE}" pid="31" name="FSC#SKMPSVRVREG@103.510:zaz_vnut_adresati_29_MP">
    <vt:lpwstr/>
  </property>
  <property fmtid="{D5CDD505-2E9C-101B-9397-08002B2CF9AE}" pid="32" name="FSC#SKMPSVRVREG@103.510:zaz_vnut_adresati_30_MP">
    <vt:lpwstr/>
  </property>
  <property fmtid="{D5CDD505-2E9C-101B-9397-08002B2CF9AE}" pid="33" name="FSC#SKMPSVRVREG@103.510:zaz_vnut_adresati_31_MP">
    <vt:lpwstr/>
  </property>
  <property fmtid="{D5CDD505-2E9C-101B-9397-08002B2CF9AE}" pid="34" name="FSC#SKMPSVRVREG@103.510:zaz_vnut_adresati_32_MP">
    <vt:lpwstr/>
  </property>
  <property fmtid="{D5CDD505-2E9C-101B-9397-08002B2CF9AE}" pid="35" name="FSC#SKMPSVRVREG@103.510:zaz_vnut_adresati_33_MP">
    <vt:lpwstr/>
  </property>
  <property fmtid="{D5CDD505-2E9C-101B-9397-08002B2CF9AE}" pid="36" name="FSC#SKMPSVRVREG@103.510:zaz_vnut_adresati_34_MP">
    <vt:lpwstr/>
  </property>
  <property fmtid="{D5CDD505-2E9C-101B-9397-08002B2CF9AE}" pid="37" name="FSC#SKMPSVRVREG@103.510:zaz_vnut_adresati_35_MP">
    <vt:lpwstr/>
  </property>
  <property fmtid="{D5CDD505-2E9C-101B-9397-08002B2CF9AE}" pid="38" name="FSC#SKMPSVRVREG@103.510:zaz_vnut_adresati_36_MP">
    <vt:lpwstr/>
  </property>
  <property fmtid="{D5CDD505-2E9C-101B-9397-08002B2CF9AE}" pid="39" name="FSC#SKMPSVRVREG@103.510:zaz_vnut_adresati_37_MP">
    <vt:lpwstr/>
  </property>
  <property fmtid="{D5CDD505-2E9C-101B-9397-08002B2CF9AE}" pid="40" name="FSC#SKMPSVRVREG@103.510:zaz_vnut_adresati_38_MP">
    <vt:lpwstr/>
  </property>
  <property fmtid="{D5CDD505-2E9C-101B-9397-08002B2CF9AE}" pid="41" name="FSC#SKMPSVRVREG@103.510:zaz_vnut_adresati_39_MP">
    <vt:lpwstr/>
  </property>
  <property fmtid="{D5CDD505-2E9C-101B-9397-08002B2CF9AE}" pid="42" name="FSC#SKMPSVRVREG@103.510:zaz_vnut_adresati_40_MP">
    <vt:lpwstr/>
  </property>
  <property fmtid="{D5CDD505-2E9C-101B-9397-08002B2CF9AE}" pid="43" name="FSC#SKMPSVRVREG@103.510:zaz_vnut_adresati_41_MP">
    <vt:lpwstr/>
  </property>
  <property fmtid="{D5CDD505-2E9C-101B-9397-08002B2CF9AE}" pid="44" name="FSC#SKMPSVRVREG@103.510:zaz_vnut_adresati_42_MP">
    <vt:lpwstr/>
  </property>
  <property fmtid="{D5CDD505-2E9C-101B-9397-08002B2CF9AE}" pid="45" name="FSC#SKMPSVRVREG@103.510:zaz_vnut_adresati_43_MP">
    <vt:lpwstr/>
  </property>
  <property fmtid="{D5CDD505-2E9C-101B-9397-08002B2CF9AE}" pid="46" name="FSC#SKMPSVRVREG@103.510:zaz_vnut_adresati_44_MP">
    <vt:lpwstr/>
  </property>
  <property fmtid="{D5CDD505-2E9C-101B-9397-08002B2CF9AE}" pid="47" name="FSC#SKMPSVRVREG@103.510:zaz_vnut_adresati_45_MP">
    <vt:lpwstr/>
  </property>
  <property fmtid="{D5CDD505-2E9C-101B-9397-08002B2CF9AE}" pid="48" name="FSC#SKMPSVRVREG@103.510:zaz_vnut_adresati_46_MP">
    <vt:lpwstr/>
  </property>
  <property fmtid="{D5CDD505-2E9C-101B-9397-08002B2CF9AE}" pid="49" name="FSC#SKMPSVRVREG@103.510:zaz_vnut_adresati_47_MP">
    <vt:lpwstr/>
  </property>
  <property fmtid="{D5CDD505-2E9C-101B-9397-08002B2CF9AE}" pid="50" name="FSC#SKMPSVRVREG@103.510:zaz_vnut_adresati_48_MP">
    <vt:lpwstr/>
  </property>
  <property fmtid="{D5CDD505-2E9C-101B-9397-08002B2CF9AE}" pid="51" name="FSC#SKMPSVRVREG@103.510:zaz_vnut_adresati_49_MP">
    <vt:lpwstr/>
  </property>
  <property fmtid="{D5CDD505-2E9C-101B-9397-08002B2CF9AE}" pid="52" name="FSC#SKMPSVRVREG@103.510:zaz_vnut_adresati_50_MP">
    <vt:lpwstr/>
  </property>
  <property fmtid="{D5CDD505-2E9C-101B-9397-08002B2CF9AE}" pid="53" name="FSC#SKMPSVRVREG@103.510:zaznam_jeden_adresatMPSVR">
    <vt:lpwstr/>
  </property>
  <property fmtid="{D5CDD505-2E9C-101B-9397-08002B2CF9AE}" pid="54" name="FSC#SKMPSVRVREG@103.510:AttrStrBarCode">
    <vt:lpwstr/>
  </property>
  <property fmtid="{D5CDD505-2E9C-101B-9397-08002B2CF9AE}" pid="55" name="FSC#SKMPSVRVREG@103.510:IntAdresatiHlavicka">
    <vt:lpwstr/>
  </property>
  <property fmtid="{D5CDD505-2E9C-101B-9397-08002B2CF9AE}" pid="56" name="FSC#SKMPSVRVREG@103.510:VeduciORGOddelenie">
    <vt:lpwstr/>
  </property>
  <property fmtid="{D5CDD505-2E9C-101B-9397-08002B2CF9AE}" pid="57" name="FSC#SKMPSVRVREG@103.510:VeduciORGOdbor">
    <vt:lpwstr/>
  </property>
  <property fmtid="{D5CDD505-2E9C-101B-9397-08002B2CF9AE}" pid="58" name="FSC#SKMPSVRVREG@103.510:VeduciORGsekcia">
    <vt:lpwstr/>
  </property>
  <property fmtid="{D5CDD505-2E9C-101B-9397-08002B2CF9AE}" pid="59" name="FSC#SKMPSVRVREG@103.510:VeduciOS">
    <vt:lpwstr>Zimmer, Karol, Ing.</vt:lpwstr>
  </property>
  <property fmtid="{D5CDD505-2E9C-101B-9397-08002B2CF9AE}" pid="60" name="FSC#SKMPSVRVREG@103.510:VeduciOS_titul_pred">
    <vt:lpwstr>Ing. Karol Zimmer</vt:lpwstr>
  </property>
  <property fmtid="{D5CDD505-2E9C-101B-9397-08002B2CF9AE}" pid="61" name="FSC#SKMPSVRVREG@103.510:VeduciORGOddelenieOrg">
    <vt:lpwstr/>
  </property>
  <property fmtid="{D5CDD505-2E9C-101B-9397-08002B2CF9AE}" pid="62" name="FSC#SKMPSVRVREG@103.510:VeduciORGOdborOrg">
    <vt:lpwstr/>
  </property>
  <property fmtid="{D5CDD505-2E9C-101B-9397-08002B2CF9AE}" pid="63" name="FSC#SKMPSVRVREG@103.510:VeduciORGsekciaOrg">
    <vt:lpwstr/>
  </property>
  <property fmtid="{D5CDD505-2E9C-101B-9397-08002B2CF9AE}" pid="64" name="FSC#SKMPSVRVREG@103.510:VeduciOSOrg">
    <vt:lpwstr>US1/GR (Generálny riaditeľ)</vt:lpwstr>
  </property>
  <property fmtid="{D5CDD505-2E9C-101B-9397-08002B2CF9AE}" pid="65" name="FSC#SKMPSVRVREG@103.510:sk_org_fullname_MPSVR">
    <vt:lpwstr>Ústredie práce, sociálnych vecí a rodiny</vt:lpwstr>
  </property>
  <property fmtid="{D5CDD505-2E9C-101B-9397-08002B2CF9AE}" pid="66" name="FSC#SKMPSVR@103.510:Adresa_klienta_zo_spisu">
    <vt:lpwstr/>
  </property>
  <property fmtid="{D5CDD505-2E9C-101B-9397-08002B2CF9AE}" pid="67" name="FSC#SKMPSVR@103.510:Spis_AttrPtrSpisZiadatel">
    <vt:lpwstr/>
  </property>
  <property fmtid="{D5CDD505-2E9C-101B-9397-08002B2CF9AE}" pid="68" name="FSC#SKMPSVR@103.510:Rodne_cislo_osoby_zo_spisu">
    <vt:lpwstr/>
  </property>
  <property fmtid="{D5CDD505-2E9C-101B-9397-08002B2CF9AE}" pid="69" name="FSC#SKMPSVR@103.510:Datum_narodenia_ziadatela_zo_spisu">
    <vt:lpwstr/>
  </property>
  <property fmtid="{D5CDD505-2E9C-101B-9397-08002B2CF9AE}" pid="70" name="FSC#SKMPSVR@103.510:ICO_osoby_zo_spisu">
    <vt:lpwstr/>
  </property>
  <property fmtid="{D5CDD505-2E9C-101B-9397-08002B2CF9AE}" pid="71" name="FSC#SKMPSVR@103.510:ICO_osoby_zo_zaznamu">
    <vt:lpwstr/>
  </property>
  <property fmtid="{D5CDD505-2E9C-101B-9397-08002B2CF9AE}" pid="72" name="FSC#SKMPSVR@103.510:Zaznam_utvar_sprac_skratka">
    <vt:lpwstr/>
  </property>
  <property fmtid="{D5CDD505-2E9C-101B-9397-08002B2CF9AE}" pid="73" name="FSC#SKMPSVR@103.510:DU_utvar_sprac_skratka">
    <vt:lpwstr/>
  </property>
  <property fmtid="{D5CDD505-2E9C-101B-9397-08002B2CF9AE}" pid="74" name="FSC#SKMPSVR@103.510:ZaznamDU_sprac_skratka">
    <vt:lpwstr/>
  </property>
  <property fmtid="{D5CDD505-2E9C-101B-9397-08002B2CF9AE}" pid="75" name="FSC#SKMPSVR@103.510:ZaznamDU_meno spisu">
    <vt:lpwstr/>
  </property>
  <property fmtid="{D5CDD505-2E9C-101B-9397-08002B2CF9AE}" pid="76" name="FSC#SKMPSVR@103.510:viz_DU_org_ulica">
    <vt:lpwstr/>
  </property>
  <property fmtid="{D5CDD505-2E9C-101B-9397-08002B2CF9AE}" pid="77" name="FSC#SKMPSVR@103.510:viz_DU_org_psc">
    <vt:lpwstr/>
  </property>
  <property fmtid="{D5CDD505-2E9C-101B-9397-08002B2CF9AE}" pid="78" name="FSC#SKMPSVR@103.510:viz_DU_org_mesto">
    <vt:lpwstr/>
  </property>
  <property fmtid="{D5CDD505-2E9C-101B-9397-08002B2CF9AE}" pid="79" name="FSC#SKMPSVR@103.510:viz_cislo_konania">
    <vt:lpwstr/>
  </property>
  <property fmtid="{D5CDD505-2E9C-101B-9397-08002B2CF9AE}" pid="80" name="FSC#SKEDITIONREG@103.510:a_acceptor">
    <vt:lpwstr/>
  </property>
  <property fmtid="{D5CDD505-2E9C-101B-9397-08002B2CF9AE}" pid="81" name="FSC#SKEDITIONREG@103.510:a_clearedat">
    <vt:lpwstr/>
  </property>
  <property fmtid="{D5CDD505-2E9C-101B-9397-08002B2CF9AE}" pid="82" name="FSC#SKEDITIONREG@103.510:a_clearedby">
    <vt:lpwstr/>
  </property>
  <property fmtid="{D5CDD505-2E9C-101B-9397-08002B2CF9AE}" pid="83" name="FSC#SKEDITIONREG@103.510:a_comm">
    <vt:lpwstr/>
  </property>
  <property fmtid="{D5CDD505-2E9C-101B-9397-08002B2CF9AE}" pid="84" name="FSC#SKEDITIONREG@103.510:a_decisionattachments">
    <vt:lpwstr/>
  </property>
  <property fmtid="{D5CDD505-2E9C-101B-9397-08002B2CF9AE}" pid="85" name="FSC#SKEDITIONREG@103.510:a_deliveredat">
    <vt:lpwstr/>
  </property>
  <property fmtid="{D5CDD505-2E9C-101B-9397-08002B2CF9AE}" pid="86" name="FSC#SKEDITIONREG@103.510:a_delivery">
    <vt:lpwstr/>
  </property>
  <property fmtid="{D5CDD505-2E9C-101B-9397-08002B2CF9AE}" pid="87" name="FSC#SKEDITIONREG@103.510:a_extension">
    <vt:lpwstr/>
  </property>
  <property fmtid="{D5CDD505-2E9C-101B-9397-08002B2CF9AE}" pid="88" name="FSC#SKEDITIONREG@103.510:a_filenumber">
    <vt:lpwstr/>
  </property>
  <property fmtid="{D5CDD505-2E9C-101B-9397-08002B2CF9AE}" pid="89" name="FSC#SKEDITIONREG@103.510:a_fileresponsible">
    <vt:lpwstr/>
  </property>
  <property fmtid="{D5CDD505-2E9C-101B-9397-08002B2CF9AE}" pid="90" name="FSC#SKEDITIONREG@103.510:a_fileresporg">
    <vt:lpwstr/>
  </property>
  <property fmtid="{D5CDD505-2E9C-101B-9397-08002B2CF9AE}" pid="91" name="FSC#SKEDITIONREG@103.510:a_fileresporg_email_OU">
    <vt:lpwstr/>
  </property>
  <property fmtid="{D5CDD505-2E9C-101B-9397-08002B2CF9AE}" pid="92" name="FSC#SKEDITIONREG@103.510:a_fileresporg_emailaddress">
    <vt:lpwstr/>
  </property>
  <property fmtid="{D5CDD505-2E9C-101B-9397-08002B2CF9AE}" pid="93" name="FSC#SKEDITIONREG@103.510:a_fileresporg_fax">
    <vt:lpwstr/>
  </property>
  <property fmtid="{D5CDD505-2E9C-101B-9397-08002B2CF9AE}" pid="94" name="FSC#SKEDITIONREG@103.510:a_fileresporg_fax_OU">
    <vt:lpwstr/>
  </property>
  <property fmtid="{D5CDD505-2E9C-101B-9397-08002B2CF9AE}" pid="95" name="FSC#SKEDITIONREG@103.510:a_fileresporg_function">
    <vt:lpwstr/>
  </property>
  <property fmtid="{D5CDD505-2E9C-101B-9397-08002B2CF9AE}" pid="96" name="FSC#SKEDITIONREG@103.510:a_fileresporg_function_OU">
    <vt:lpwstr/>
  </property>
  <property fmtid="{D5CDD505-2E9C-101B-9397-08002B2CF9AE}" pid="97" name="FSC#SKEDITIONREG@103.510:a_fileresporg_head">
    <vt:lpwstr/>
  </property>
  <property fmtid="{D5CDD505-2E9C-101B-9397-08002B2CF9AE}" pid="98" name="FSC#SKEDITIONREG@103.510:a_fileresporg_head_OU">
    <vt:lpwstr/>
  </property>
  <property fmtid="{D5CDD505-2E9C-101B-9397-08002B2CF9AE}" pid="99" name="FSC#SKEDITIONREG@103.510:a_fileresporg_OU">
    <vt:lpwstr/>
  </property>
  <property fmtid="{D5CDD505-2E9C-101B-9397-08002B2CF9AE}" pid="100" name="FSC#SKEDITIONREG@103.510:a_fileresporg_phone">
    <vt:lpwstr/>
  </property>
  <property fmtid="{D5CDD505-2E9C-101B-9397-08002B2CF9AE}" pid="101" name="FSC#SKEDITIONREG@103.510:a_fileresporg_phone_OU">
    <vt:lpwstr/>
  </property>
  <property fmtid="{D5CDD505-2E9C-101B-9397-08002B2CF9AE}" pid="102" name="FSC#SKEDITIONREG@103.510:a_incattachments">
    <vt:lpwstr/>
  </property>
  <property fmtid="{D5CDD505-2E9C-101B-9397-08002B2CF9AE}" pid="103" name="FSC#SKEDITIONREG@103.510:a_incnr">
    <vt:lpwstr/>
  </property>
  <property fmtid="{D5CDD505-2E9C-101B-9397-08002B2CF9AE}" pid="104" name="FSC#SKEDITIONREG@103.510:a_objcreatedstr">
    <vt:lpwstr/>
  </property>
  <property fmtid="{D5CDD505-2E9C-101B-9397-08002B2CF9AE}" pid="105" name="FSC#SKEDITIONREG@103.510:a_ordernumber">
    <vt:lpwstr/>
  </property>
  <property fmtid="{D5CDD505-2E9C-101B-9397-08002B2CF9AE}" pid="106" name="FSC#SKEDITIONREG@103.510:a_oursign">
    <vt:lpwstr/>
  </property>
  <property fmtid="{D5CDD505-2E9C-101B-9397-08002B2CF9AE}" pid="107" name="FSC#SKEDITIONREG@103.510:a_sendersign">
    <vt:lpwstr/>
  </property>
  <property fmtid="{D5CDD505-2E9C-101B-9397-08002B2CF9AE}" pid="108" name="FSC#SKEDITIONREG@103.510:a_shortou">
    <vt:lpwstr/>
  </property>
  <property fmtid="{D5CDD505-2E9C-101B-9397-08002B2CF9AE}" pid="109" name="FSC#SKEDITIONREG@103.510:a_testsalutation">
    <vt:lpwstr/>
  </property>
  <property fmtid="{D5CDD505-2E9C-101B-9397-08002B2CF9AE}" pid="110" name="FSC#SKEDITIONREG@103.510:a_validfrom">
    <vt:lpwstr/>
  </property>
  <property fmtid="{D5CDD505-2E9C-101B-9397-08002B2CF9AE}" pid="111" name="FSC#SKEDITIONREG@103.510:as_activity">
    <vt:lpwstr/>
  </property>
  <property fmtid="{D5CDD505-2E9C-101B-9397-08002B2CF9AE}" pid="112" name="FSC#SKEDITIONREG@103.510:as_docdate">
    <vt:lpwstr/>
  </property>
  <property fmtid="{D5CDD505-2E9C-101B-9397-08002B2CF9AE}" pid="113" name="FSC#SKEDITIONREG@103.510:as_establishdate">
    <vt:lpwstr/>
  </property>
  <property fmtid="{D5CDD505-2E9C-101B-9397-08002B2CF9AE}" pid="114" name="FSC#SKEDITIONREG@103.510:as_fileresphead">
    <vt:lpwstr/>
  </property>
  <property fmtid="{D5CDD505-2E9C-101B-9397-08002B2CF9AE}" pid="115" name="FSC#SKEDITIONREG@103.510:as_filerespheadfnct">
    <vt:lpwstr/>
  </property>
  <property fmtid="{D5CDD505-2E9C-101B-9397-08002B2CF9AE}" pid="116" name="FSC#SKEDITIONREG@103.510:as_fileresponsible">
    <vt:lpwstr/>
  </property>
  <property fmtid="{D5CDD505-2E9C-101B-9397-08002B2CF9AE}" pid="117" name="FSC#SKEDITIONREG@103.510:as_filesubj">
    <vt:lpwstr/>
  </property>
  <property fmtid="{D5CDD505-2E9C-101B-9397-08002B2CF9AE}" pid="118" name="FSC#SKEDITIONREG@103.510:as_objname">
    <vt:lpwstr/>
  </property>
  <property fmtid="{D5CDD505-2E9C-101B-9397-08002B2CF9AE}" pid="119" name="FSC#SKEDITIONREG@103.510:as_ou">
    <vt:lpwstr/>
  </property>
  <property fmtid="{D5CDD505-2E9C-101B-9397-08002B2CF9AE}" pid="120" name="FSC#SKEDITIONREG@103.510:as_owner">
    <vt:lpwstr>RNDr. Eva Petrakovičová, PhD.</vt:lpwstr>
  </property>
  <property fmtid="{D5CDD505-2E9C-101B-9397-08002B2CF9AE}" pid="121" name="FSC#SKEDITIONREG@103.510:as_phonelink">
    <vt:lpwstr/>
  </property>
  <property fmtid="{D5CDD505-2E9C-101B-9397-08002B2CF9AE}" pid="122" name="FSC#SKEDITIONREG@103.510:oz_externAdr">
    <vt:lpwstr/>
  </property>
  <property fmtid="{D5CDD505-2E9C-101B-9397-08002B2CF9AE}" pid="123" name="FSC#SKEDITIONREG@103.510:a_depositperiod">
    <vt:lpwstr/>
  </property>
  <property fmtid="{D5CDD505-2E9C-101B-9397-08002B2CF9AE}" pid="124" name="FSC#SKEDITIONREG@103.510:a_disposestate">
    <vt:lpwstr/>
  </property>
  <property fmtid="{D5CDD505-2E9C-101B-9397-08002B2CF9AE}" pid="125" name="FSC#SKEDITIONREG@103.510:a_fileresponsiblefnct">
    <vt:lpwstr/>
  </property>
  <property fmtid="{D5CDD505-2E9C-101B-9397-08002B2CF9AE}" pid="126" name="FSC#SKEDITIONREG@103.510:a_fileresporg_position">
    <vt:lpwstr/>
  </property>
  <property fmtid="{D5CDD505-2E9C-101B-9397-08002B2CF9AE}" pid="127" name="FSC#SKEDITIONREG@103.510:a_fileresporg_position_OU">
    <vt:lpwstr/>
  </property>
  <property fmtid="{D5CDD505-2E9C-101B-9397-08002B2CF9AE}" pid="128" name="FSC#SKEDITIONREG@103.510:a_osobnecislosprac">
    <vt:lpwstr/>
  </property>
  <property fmtid="{D5CDD505-2E9C-101B-9397-08002B2CF9AE}" pid="129" name="FSC#SKEDITIONREG@103.510:a_registrysign">
    <vt:lpwstr/>
  </property>
  <property fmtid="{D5CDD505-2E9C-101B-9397-08002B2CF9AE}" pid="130" name="FSC#SKEDITIONREG@103.510:a_subfileatt">
    <vt:lpwstr/>
  </property>
  <property fmtid="{D5CDD505-2E9C-101B-9397-08002B2CF9AE}" pid="131" name="FSC#SKEDITIONREG@103.510:as_filesubjall">
    <vt:lpwstr/>
  </property>
  <property fmtid="{D5CDD505-2E9C-101B-9397-08002B2CF9AE}" pid="132" name="FSC#SKEDITIONREG@103.510:CreatedAt">
    <vt:lpwstr>31. 5. 2022, 10:09</vt:lpwstr>
  </property>
  <property fmtid="{D5CDD505-2E9C-101B-9397-08002B2CF9AE}" pid="133" name="FSC#SKEDITIONREG@103.510:curruserrolegroup">
    <vt:lpwstr>Oddelenie aktívnych opatrení na trhu práce a štátna pomoc</vt:lpwstr>
  </property>
  <property fmtid="{D5CDD505-2E9C-101B-9397-08002B2CF9AE}" pid="134" name="FSC#SKEDITIONREG@103.510:currusersubst">
    <vt:lpwstr/>
  </property>
  <property fmtid="{D5CDD505-2E9C-101B-9397-08002B2CF9AE}" pid="135" name="FSC#SKEDITIONREG@103.510:emailsprac">
    <vt:lpwstr/>
  </property>
  <property fmtid="{D5CDD505-2E9C-101B-9397-08002B2CF9AE}" pid="136" name="FSC#SKEDITIONREG@103.510:ms_VyskladaniePoznamok">
    <vt:lpwstr/>
  </property>
  <property fmtid="{D5CDD505-2E9C-101B-9397-08002B2CF9AE}" pid="137" name="FSC#SKEDITIONREG@103.510:oumlname_fnct">
    <vt:lpwstr/>
  </property>
  <property fmtid="{D5CDD505-2E9C-101B-9397-08002B2CF9AE}" pid="138" name="FSC#SKEDITIONREG@103.510:sk_org_city">
    <vt:lpwstr>Bratislava-Staré Mesto</vt:lpwstr>
  </property>
  <property fmtid="{D5CDD505-2E9C-101B-9397-08002B2CF9AE}" pid="139" name="FSC#SKEDITIONREG@103.510:sk_org_dic">
    <vt:lpwstr/>
  </property>
  <property fmtid="{D5CDD505-2E9C-101B-9397-08002B2CF9AE}" pid="140" name="FSC#SKEDITIONREG@103.510:sk_org_email">
    <vt:lpwstr/>
  </property>
  <property fmtid="{D5CDD505-2E9C-101B-9397-08002B2CF9AE}" pid="141" name="FSC#SKEDITIONREG@103.510:sk_org_fax">
    <vt:lpwstr/>
  </property>
  <property fmtid="{D5CDD505-2E9C-101B-9397-08002B2CF9AE}" pid="142" name="FSC#SKEDITIONREG@103.510:sk_org_fullname">
    <vt:lpwstr>Ústredie práce, sociálnych vecí a rodiny</vt:lpwstr>
  </property>
  <property fmtid="{D5CDD505-2E9C-101B-9397-08002B2CF9AE}" pid="143" name="FSC#SKEDITIONREG@103.510:sk_org_ico">
    <vt:lpwstr>30794536</vt:lpwstr>
  </property>
  <property fmtid="{D5CDD505-2E9C-101B-9397-08002B2CF9AE}" pid="144" name="FSC#SKEDITIONREG@103.510:sk_org_phone">
    <vt:lpwstr/>
  </property>
  <property fmtid="{D5CDD505-2E9C-101B-9397-08002B2CF9AE}" pid="145" name="FSC#SKEDITIONREG@103.510:sk_org_shortname">
    <vt:lpwstr/>
  </property>
  <property fmtid="{D5CDD505-2E9C-101B-9397-08002B2CF9AE}" pid="146" name="FSC#SKEDITIONREG@103.510:sk_org_state">
    <vt:lpwstr>Bratislava I</vt:lpwstr>
  </property>
  <property fmtid="{D5CDD505-2E9C-101B-9397-08002B2CF9AE}" pid="147" name="FSC#SKEDITIONREG@103.510:sk_org_street">
    <vt:lpwstr>Špitálska 8</vt:lpwstr>
  </property>
  <property fmtid="{D5CDD505-2E9C-101B-9397-08002B2CF9AE}" pid="148" name="FSC#SKEDITIONREG@103.510:sk_org_zip">
    <vt:lpwstr>812 67</vt:lpwstr>
  </property>
  <property fmtid="{D5CDD505-2E9C-101B-9397-08002B2CF9AE}" pid="149" name="FSC#SKEDITIONREG@103.510:viz_clearedat">
    <vt:lpwstr/>
  </property>
  <property fmtid="{D5CDD505-2E9C-101B-9397-08002B2CF9AE}" pid="150" name="FSC#SKEDITIONREG@103.510:viz_clearedby">
    <vt:lpwstr/>
  </property>
  <property fmtid="{D5CDD505-2E9C-101B-9397-08002B2CF9AE}" pid="151" name="FSC#SKEDITIONREG@103.510:viz_comm">
    <vt:lpwstr/>
  </property>
  <property fmtid="{D5CDD505-2E9C-101B-9397-08002B2CF9AE}" pid="152" name="FSC#SKEDITIONREG@103.510:viz_decisionattachments">
    <vt:lpwstr/>
  </property>
  <property fmtid="{D5CDD505-2E9C-101B-9397-08002B2CF9AE}" pid="153" name="FSC#SKEDITIONREG@103.510:viz_deliveredat">
    <vt:lpwstr/>
  </property>
  <property fmtid="{D5CDD505-2E9C-101B-9397-08002B2CF9AE}" pid="154" name="FSC#SKEDITIONREG@103.510:viz_delivery">
    <vt:lpwstr/>
  </property>
  <property fmtid="{D5CDD505-2E9C-101B-9397-08002B2CF9AE}" pid="155" name="FSC#SKEDITIONREG@103.510:viz_extension">
    <vt:lpwstr/>
  </property>
  <property fmtid="{D5CDD505-2E9C-101B-9397-08002B2CF9AE}" pid="156" name="FSC#SKEDITIONREG@103.510:viz_filenumber">
    <vt:lpwstr/>
  </property>
  <property fmtid="{D5CDD505-2E9C-101B-9397-08002B2CF9AE}" pid="157" name="FSC#SKEDITIONREG@103.510:viz_fileresponsible">
    <vt:lpwstr/>
  </property>
  <property fmtid="{D5CDD505-2E9C-101B-9397-08002B2CF9AE}" pid="158" name="FSC#SKEDITIONREG@103.510:viz_fileresporg">
    <vt:lpwstr/>
  </property>
  <property fmtid="{D5CDD505-2E9C-101B-9397-08002B2CF9AE}" pid="159" name="FSC#SKEDITIONREG@103.510:viz_fileresporg_email_OU">
    <vt:lpwstr/>
  </property>
  <property fmtid="{D5CDD505-2E9C-101B-9397-08002B2CF9AE}" pid="160" name="FSC#SKEDITIONREG@103.510:viz_fileresporg_emailaddress">
    <vt:lpwstr/>
  </property>
  <property fmtid="{D5CDD505-2E9C-101B-9397-08002B2CF9AE}" pid="161" name="FSC#SKEDITIONREG@103.510:viz_fileresporg_fax">
    <vt:lpwstr/>
  </property>
  <property fmtid="{D5CDD505-2E9C-101B-9397-08002B2CF9AE}" pid="162" name="FSC#SKEDITIONREG@103.510:viz_fileresporg_fax_OU">
    <vt:lpwstr/>
  </property>
  <property fmtid="{D5CDD505-2E9C-101B-9397-08002B2CF9AE}" pid="163" name="FSC#SKEDITIONREG@103.510:viz_fileresporg_function">
    <vt:lpwstr/>
  </property>
  <property fmtid="{D5CDD505-2E9C-101B-9397-08002B2CF9AE}" pid="164" name="FSC#SKEDITIONREG@103.510:viz_fileresporg_function_OU">
    <vt:lpwstr/>
  </property>
  <property fmtid="{D5CDD505-2E9C-101B-9397-08002B2CF9AE}" pid="165" name="FSC#SKEDITIONREG@103.510:viz_fileresporg_head">
    <vt:lpwstr/>
  </property>
  <property fmtid="{D5CDD505-2E9C-101B-9397-08002B2CF9AE}" pid="166" name="FSC#SKEDITIONREG@103.510:viz_fileresporg_head_OU">
    <vt:lpwstr/>
  </property>
  <property fmtid="{D5CDD505-2E9C-101B-9397-08002B2CF9AE}" pid="167" name="FSC#SKEDITIONREG@103.510:viz_fileresporg_longname">
    <vt:lpwstr/>
  </property>
  <property fmtid="{D5CDD505-2E9C-101B-9397-08002B2CF9AE}" pid="168" name="FSC#SKEDITIONREG@103.510:viz_fileresporg_mesto">
    <vt:lpwstr/>
  </property>
  <property fmtid="{D5CDD505-2E9C-101B-9397-08002B2CF9AE}" pid="169" name="FSC#SKEDITIONREG@103.510:viz_fileresporg_odbor">
    <vt:lpwstr/>
  </property>
  <property fmtid="{D5CDD505-2E9C-101B-9397-08002B2CF9AE}" pid="170" name="FSC#SKEDITIONREG@103.510:viz_fileresporg_odbor_function">
    <vt:lpwstr/>
  </property>
  <property fmtid="{D5CDD505-2E9C-101B-9397-08002B2CF9AE}" pid="171" name="FSC#SKEDITIONREG@103.510:viz_fileresporg_odbor_head">
    <vt:lpwstr/>
  </property>
  <property fmtid="{D5CDD505-2E9C-101B-9397-08002B2CF9AE}" pid="172" name="FSC#SKEDITIONREG@103.510:viz_fileresporg_OU">
    <vt:lpwstr/>
  </property>
  <property fmtid="{D5CDD505-2E9C-101B-9397-08002B2CF9AE}" pid="173" name="FSC#SKEDITIONREG@103.510:viz_fileresporg_phone">
    <vt:lpwstr/>
  </property>
  <property fmtid="{D5CDD505-2E9C-101B-9397-08002B2CF9AE}" pid="174" name="FSC#SKEDITIONREG@103.510:viz_fileresporg_phone_OU">
    <vt:lpwstr/>
  </property>
  <property fmtid="{D5CDD505-2E9C-101B-9397-08002B2CF9AE}" pid="175" name="FSC#SKEDITIONREG@103.510:viz_fileresporg_position">
    <vt:lpwstr/>
  </property>
  <property fmtid="{D5CDD505-2E9C-101B-9397-08002B2CF9AE}" pid="176" name="FSC#SKEDITIONREG@103.510:viz_fileresporg_position_OU">
    <vt:lpwstr/>
  </property>
  <property fmtid="{D5CDD505-2E9C-101B-9397-08002B2CF9AE}" pid="177" name="FSC#SKEDITIONREG@103.510:viz_fileresporg_psc">
    <vt:lpwstr/>
  </property>
  <property fmtid="{D5CDD505-2E9C-101B-9397-08002B2CF9AE}" pid="178" name="FSC#SKEDITIONREG@103.510:viz_fileresporg_sekcia">
    <vt:lpwstr/>
  </property>
  <property fmtid="{D5CDD505-2E9C-101B-9397-08002B2CF9AE}" pid="179" name="FSC#SKEDITIONREG@103.510:viz_fileresporg_sekcia_function">
    <vt:lpwstr/>
  </property>
  <property fmtid="{D5CDD505-2E9C-101B-9397-08002B2CF9AE}" pid="180" name="FSC#SKEDITIONREG@103.510:viz_fileresporg_sekcia_head">
    <vt:lpwstr/>
  </property>
  <property fmtid="{D5CDD505-2E9C-101B-9397-08002B2CF9AE}" pid="181" name="FSC#SKEDITIONREG@103.510:viz_fileresporg_stat">
    <vt:lpwstr/>
  </property>
  <property fmtid="{D5CDD505-2E9C-101B-9397-08002B2CF9AE}" pid="182" name="FSC#SKEDITIONREG@103.510:viz_fileresporg_ulica">
    <vt:lpwstr/>
  </property>
  <property fmtid="{D5CDD505-2E9C-101B-9397-08002B2CF9AE}" pid="183" name="FSC#SKEDITIONREG@103.510:viz_fileresporgknazov">
    <vt:lpwstr/>
  </property>
  <property fmtid="{D5CDD505-2E9C-101B-9397-08002B2CF9AE}" pid="184" name="FSC#SKEDITIONREG@103.510:viz_filesubj">
    <vt:lpwstr/>
  </property>
  <property fmtid="{D5CDD505-2E9C-101B-9397-08002B2CF9AE}" pid="185" name="FSC#SKEDITIONREG@103.510:viz_incattachments">
    <vt:lpwstr/>
  </property>
  <property fmtid="{D5CDD505-2E9C-101B-9397-08002B2CF9AE}" pid="186" name="FSC#SKEDITIONREG@103.510:viz_incnr">
    <vt:lpwstr/>
  </property>
  <property fmtid="{D5CDD505-2E9C-101B-9397-08002B2CF9AE}" pid="187" name="FSC#SKEDITIONREG@103.510:viz_intletterrecivers">
    <vt:lpwstr/>
  </property>
  <property fmtid="{D5CDD505-2E9C-101B-9397-08002B2CF9AE}" pid="188" name="FSC#SKEDITIONREG@103.510:viz_objcreatedstr">
    <vt:lpwstr/>
  </property>
  <property fmtid="{D5CDD505-2E9C-101B-9397-08002B2CF9AE}" pid="189" name="FSC#SKEDITIONREG@103.510:viz_ordernumber">
    <vt:lpwstr/>
  </property>
  <property fmtid="{D5CDD505-2E9C-101B-9397-08002B2CF9AE}" pid="190" name="FSC#SKEDITIONREG@103.510:viz_oursign">
    <vt:lpwstr/>
  </property>
  <property fmtid="{D5CDD505-2E9C-101B-9397-08002B2CF9AE}" pid="191" name="FSC#SKEDITIONREG@103.510:viz_responseto_createdby">
    <vt:lpwstr/>
  </property>
  <property fmtid="{D5CDD505-2E9C-101B-9397-08002B2CF9AE}" pid="192" name="FSC#SKEDITIONREG@103.510:viz_sendersign">
    <vt:lpwstr/>
  </property>
  <property fmtid="{D5CDD505-2E9C-101B-9397-08002B2CF9AE}" pid="193" name="FSC#SKEDITIONREG@103.510:viz_shortfileresporg">
    <vt:lpwstr/>
  </property>
  <property fmtid="{D5CDD505-2E9C-101B-9397-08002B2CF9AE}" pid="194" name="FSC#SKEDITIONREG@103.510:viz_tel_number">
    <vt:lpwstr/>
  </property>
  <property fmtid="{D5CDD505-2E9C-101B-9397-08002B2CF9AE}" pid="195" name="FSC#SKEDITIONREG@103.510:viz_tel_number2">
    <vt:lpwstr/>
  </property>
  <property fmtid="{D5CDD505-2E9C-101B-9397-08002B2CF9AE}" pid="196" name="FSC#SKEDITIONREG@103.510:viz_testsalutation">
    <vt:lpwstr/>
  </property>
  <property fmtid="{D5CDD505-2E9C-101B-9397-08002B2CF9AE}" pid="197" name="FSC#SKEDITIONREG@103.510:viz_validfrom">
    <vt:lpwstr/>
  </property>
  <property fmtid="{D5CDD505-2E9C-101B-9397-08002B2CF9AE}" pid="198" name="FSC#SKEDITIONREG@103.510:zaznam_jeden_adresat">
    <vt:lpwstr/>
  </property>
  <property fmtid="{D5CDD505-2E9C-101B-9397-08002B2CF9AE}" pid="199" name="FSC#SKEDITIONREG@103.510:zaznam_vnut_adresati_1">
    <vt:lpwstr/>
  </property>
  <property fmtid="{D5CDD505-2E9C-101B-9397-08002B2CF9AE}" pid="200" name="FSC#SKEDITIONREG@103.510:zaznam_vnut_adresati_10">
    <vt:lpwstr/>
  </property>
  <property fmtid="{D5CDD505-2E9C-101B-9397-08002B2CF9AE}" pid="201" name="FSC#SKEDITIONREG@103.510:zaznam_vnut_adresati_11">
    <vt:lpwstr/>
  </property>
  <property fmtid="{D5CDD505-2E9C-101B-9397-08002B2CF9AE}" pid="202" name="FSC#SKEDITIONREG@103.510:zaznam_vnut_adresati_12">
    <vt:lpwstr/>
  </property>
  <property fmtid="{D5CDD505-2E9C-101B-9397-08002B2CF9AE}" pid="203" name="FSC#SKEDITIONREG@103.510:zaznam_vnut_adresati_13">
    <vt:lpwstr/>
  </property>
  <property fmtid="{D5CDD505-2E9C-101B-9397-08002B2CF9AE}" pid="204" name="FSC#SKEDITIONREG@103.510:zaznam_vnut_adresati_14">
    <vt:lpwstr/>
  </property>
  <property fmtid="{D5CDD505-2E9C-101B-9397-08002B2CF9AE}" pid="205" name="FSC#SKEDITIONREG@103.510:zaznam_vnut_adresati_15">
    <vt:lpwstr/>
  </property>
  <property fmtid="{D5CDD505-2E9C-101B-9397-08002B2CF9AE}" pid="206" name="FSC#SKEDITIONREG@103.510:zaznam_vnut_adresati_16">
    <vt:lpwstr/>
  </property>
  <property fmtid="{D5CDD505-2E9C-101B-9397-08002B2CF9AE}" pid="207" name="FSC#SKEDITIONREG@103.510:zaznam_vnut_adresati_17">
    <vt:lpwstr/>
  </property>
  <property fmtid="{D5CDD505-2E9C-101B-9397-08002B2CF9AE}" pid="208" name="FSC#SKEDITIONREG@103.510:zaznam_vnut_adresati_18">
    <vt:lpwstr/>
  </property>
  <property fmtid="{D5CDD505-2E9C-101B-9397-08002B2CF9AE}" pid="209" name="FSC#SKEDITIONREG@103.510:zaznam_vnut_adresati_19">
    <vt:lpwstr/>
  </property>
  <property fmtid="{D5CDD505-2E9C-101B-9397-08002B2CF9AE}" pid="210" name="FSC#SKEDITIONREG@103.510:zaznam_vnut_adresati_2">
    <vt:lpwstr/>
  </property>
  <property fmtid="{D5CDD505-2E9C-101B-9397-08002B2CF9AE}" pid="211" name="FSC#SKEDITIONREG@103.510:zaznam_vnut_adresati_20">
    <vt:lpwstr/>
  </property>
  <property fmtid="{D5CDD505-2E9C-101B-9397-08002B2CF9AE}" pid="212" name="FSC#SKEDITIONREG@103.510:zaznam_vnut_adresati_21">
    <vt:lpwstr/>
  </property>
  <property fmtid="{D5CDD505-2E9C-101B-9397-08002B2CF9AE}" pid="213" name="FSC#SKEDITIONREG@103.510:zaznam_vnut_adresati_22">
    <vt:lpwstr/>
  </property>
  <property fmtid="{D5CDD505-2E9C-101B-9397-08002B2CF9AE}" pid="214" name="FSC#SKEDITIONREG@103.510:zaznam_vnut_adresati_23">
    <vt:lpwstr/>
  </property>
  <property fmtid="{D5CDD505-2E9C-101B-9397-08002B2CF9AE}" pid="215" name="FSC#SKEDITIONREG@103.510:zaznam_vnut_adresati_24">
    <vt:lpwstr/>
  </property>
  <property fmtid="{D5CDD505-2E9C-101B-9397-08002B2CF9AE}" pid="216" name="FSC#SKEDITIONREG@103.510:zaznam_vnut_adresati_25">
    <vt:lpwstr/>
  </property>
  <property fmtid="{D5CDD505-2E9C-101B-9397-08002B2CF9AE}" pid="217" name="FSC#SKEDITIONREG@103.510:zaznam_vnut_adresati_26">
    <vt:lpwstr/>
  </property>
  <property fmtid="{D5CDD505-2E9C-101B-9397-08002B2CF9AE}" pid="218" name="FSC#SKEDITIONREG@103.510:zaznam_vnut_adresati_27">
    <vt:lpwstr/>
  </property>
  <property fmtid="{D5CDD505-2E9C-101B-9397-08002B2CF9AE}" pid="219" name="FSC#SKEDITIONREG@103.510:zaznam_vnut_adresati_28">
    <vt:lpwstr/>
  </property>
  <property fmtid="{D5CDD505-2E9C-101B-9397-08002B2CF9AE}" pid="220" name="FSC#SKEDITIONREG@103.510:zaznam_vnut_adresati_29">
    <vt:lpwstr/>
  </property>
  <property fmtid="{D5CDD505-2E9C-101B-9397-08002B2CF9AE}" pid="221" name="FSC#SKEDITIONREG@103.510:zaznam_vnut_adresati_3">
    <vt:lpwstr/>
  </property>
  <property fmtid="{D5CDD505-2E9C-101B-9397-08002B2CF9AE}" pid="222" name="FSC#SKEDITIONREG@103.510:zaznam_vnut_adresati_30">
    <vt:lpwstr/>
  </property>
  <property fmtid="{D5CDD505-2E9C-101B-9397-08002B2CF9AE}" pid="223" name="FSC#SKEDITIONREG@103.510:zaznam_vnut_adresati_31">
    <vt:lpwstr/>
  </property>
  <property fmtid="{D5CDD505-2E9C-101B-9397-08002B2CF9AE}" pid="224" name="FSC#SKEDITIONREG@103.510:zaznam_vnut_adresati_32">
    <vt:lpwstr/>
  </property>
  <property fmtid="{D5CDD505-2E9C-101B-9397-08002B2CF9AE}" pid="225" name="FSC#SKEDITIONREG@103.510:zaznam_vnut_adresati_33">
    <vt:lpwstr/>
  </property>
  <property fmtid="{D5CDD505-2E9C-101B-9397-08002B2CF9AE}" pid="226" name="FSC#SKEDITIONREG@103.510:zaznam_vnut_adresati_34">
    <vt:lpwstr/>
  </property>
  <property fmtid="{D5CDD505-2E9C-101B-9397-08002B2CF9AE}" pid="227" name="FSC#SKEDITIONREG@103.510:zaznam_vnut_adresati_35">
    <vt:lpwstr/>
  </property>
  <property fmtid="{D5CDD505-2E9C-101B-9397-08002B2CF9AE}" pid="228" name="FSC#SKEDITIONREG@103.510:zaznam_vnut_adresati_36">
    <vt:lpwstr/>
  </property>
  <property fmtid="{D5CDD505-2E9C-101B-9397-08002B2CF9AE}" pid="229" name="FSC#SKEDITIONREG@103.510:zaznam_vnut_adresati_37">
    <vt:lpwstr/>
  </property>
  <property fmtid="{D5CDD505-2E9C-101B-9397-08002B2CF9AE}" pid="230" name="FSC#SKEDITIONREG@103.510:zaznam_vnut_adresati_38">
    <vt:lpwstr/>
  </property>
  <property fmtid="{D5CDD505-2E9C-101B-9397-08002B2CF9AE}" pid="231" name="FSC#SKEDITIONREG@103.510:zaznam_vnut_adresati_39">
    <vt:lpwstr/>
  </property>
  <property fmtid="{D5CDD505-2E9C-101B-9397-08002B2CF9AE}" pid="232" name="FSC#SKEDITIONREG@103.510:zaznam_vnut_adresati_4">
    <vt:lpwstr/>
  </property>
  <property fmtid="{D5CDD505-2E9C-101B-9397-08002B2CF9AE}" pid="233" name="FSC#SKEDITIONREG@103.510:zaznam_vnut_adresati_40">
    <vt:lpwstr/>
  </property>
  <property fmtid="{D5CDD505-2E9C-101B-9397-08002B2CF9AE}" pid="234" name="FSC#SKEDITIONREG@103.510:zaznam_vnut_adresati_41">
    <vt:lpwstr/>
  </property>
  <property fmtid="{D5CDD505-2E9C-101B-9397-08002B2CF9AE}" pid="235" name="FSC#SKEDITIONREG@103.510:zaznam_vnut_adresati_42">
    <vt:lpwstr/>
  </property>
  <property fmtid="{D5CDD505-2E9C-101B-9397-08002B2CF9AE}" pid="236" name="FSC#SKEDITIONREG@103.510:zaznam_vnut_adresati_43">
    <vt:lpwstr/>
  </property>
  <property fmtid="{D5CDD505-2E9C-101B-9397-08002B2CF9AE}" pid="237" name="FSC#SKEDITIONREG@103.510:zaznam_vnut_adresati_44">
    <vt:lpwstr/>
  </property>
  <property fmtid="{D5CDD505-2E9C-101B-9397-08002B2CF9AE}" pid="238" name="FSC#SKEDITIONREG@103.510:zaznam_vnut_adresati_45">
    <vt:lpwstr/>
  </property>
  <property fmtid="{D5CDD505-2E9C-101B-9397-08002B2CF9AE}" pid="239" name="FSC#SKEDITIONREG@103.510:zaznam_vnut_adresati_46">
    <vt:lpwstr/>
  </property>
  <property fmtid="{D5CDD505-2E9C-101B-9397-08002B2CF9AE}" pid="240" name="FSC#SKEDITIONREG@103.510:zaznam_vnut_adresati_47">
    <vt:lpwstr/>
  </property>
  <property fmtid="{D5CDD505-2E9C-101B-9397-08002B2CF9AE}" pid="241" name="FSC#SKEDITIONREG@103.510:zaznam_vnut_adresati_48">
    <vt:lpwstr/>
  </property>
  <property fmtid="{D5CDD505-2E9C-101B-9397-08002B2CF9AE}" pid="242" name="FSC#SKEDITIONREG@103.510:zaznam_vnut_adresati_49">
    <vt:lpwstr/>
  </property>
  <property fmtid="{D5CDD505-2E9C-101B-9397-08002B2CF9AE}" pid="243" name="FSC#SKEDITIONREG@103.510:zaznam_vnut_adresati_5">
    <vt:lpwstr/>
  </property>
  <property fmtid="{D5CDD505-2E9C-101B-9397-08002B2CF9AE}" pid="244" name="FSC#SKEDITIONREG@103.510:zaznam_vnut_adresati_50">
    <vt:lpwstr/>
  </property>
  <property fmtid="{D5CDD505-2E9C-101B-9397-08002B2CF9AE}" pid="245" name="FSC#SKEDITIONREG@103.510:zaznam_vnut_adresati_51">
    <vt:lpwstr/>
  </property>
  <property fmtid="{D5CDD505-2E9C-101B-9397-08002B2CF9AE}" pid="246" name="FSC#SKEDITIONREG@103.510:zaznam_vnut_adresati_52">
    <vt:lpwstr/>
  </property>
  <property fmtid="{D5CDD505-2E9C-101B-9397-08002B2CF9AE}" pid="247" name="FSC#SKEDITIONREG@103.510:zaznam_vnut_adresati_53">
    <vt:lpwstr/>
  </property>
  <property fmtid="{D5CDD505-2E9C-101B-9397-08002B2CF9AE}" pid="248" name="FSC#SKEDITIONREG@103.510:zaznam_vnut_adresati_54">
    <vt:lpwstr/>
  </property>
  <property fmtid="{D5CDD505-2E9C-101B-9397-08002B2CF9AE}" pid="249" name="FSC#SKEDITIONREG@103.510:zaznam_vnut_adresati_55">
    <vt:lpwstr/>
  </property>
  <property fmtid="{D5CDD505-2E9C-101B-9397-08002B2CF9AE}" pid="250" name="FSC#SKEDITIONREG@103.510:zaznam_vnut_adresati_56">
    <vt:lpwstr/>
  </property>
  <property fmtid="{D5CDD505-2E9C-101B-9397-08002B2CF9AE}" pid="251" name="FSC#SKEDITIONREG@103.510:zaznam_vnut_adresati_57">
    <vt:lpwstr/>
  </property>
  <property fmtid="{D5CDD505-2E9C-101B-9397-08002B2CF9AE}" pid="252" name="FSC#SKEDITIONREG@103.510:zaznam_vnut_adresati_58">
    <vt:lpwstr/>
  </property>
  <property fmtid="{D5CDD505-2E9C-101B-9397-08002B2CF9AE}" pid="253" name="FSC#SKEDITIONREG@103.510:zaznam_vnut_adresati_59">
    <vt:lpwstr/>
  </property>
  <property fmtid="{D5CDD505-2E9C-101B-9397-08002B2CF9AE}" pid="254" name="FSC#SKEDITIONREG@103.510:zaznam_vnut_adresati_6">
    <vt:lpwstr/>
  </property>
  <property fmtid="{D5CDD505-2E9C-101B-9397-08002B2CF9AE}" pid="255" name="FSC#SKEDITIONREG@103.510:zaznam_vnut_adresati_60">
    <vt:lpwstr/>
  </property>
  <property fmtid="{D5CDD505-2E9C-101B-9397-08002B2CF9AE}" pid="256" name="FSC#SKEDITIONREG@103.510:zaznam_vnut_adresati_61">
    <vt:lpwstr/>
  </property>
  <property fmtid="{D5CDD505-2E9C-101B-9397-08002B2CF9AE}" pid="257" name="FSC#SKEDITIONREG@103.510:zaznam_vnut_adresati_62">
    <vt:lpwstr/>
  </property>
  <property fmtid="{D5CDD505-2E9C-101B-9397-08002B2CF9AE}" pid="258" name="FSC#SKEDITIONREG@103.510:zaznam_vnut_adresati_63">
    <vt:lpwstr/>
  </property>
  <property fmtid="{D5CDD505-2E9C-101B-9397-08002B2CF9AE}" pid="259" name="FSC#SKEDITIONREG@103.510:zaznam_vnut_adresati_64">
    <vt:lpwstr/>
  </property>
  <property fmtid="{D5CDD505-2E9C-101B-9397-08002B2CF9AE}" pid="260" name="FSC#SKEDITIONREG@103.510:zaznam_vnut_adresati_65">
    <vt:lpwstr/>
  </property>
  <property fmtid="{D5CDD505-2E9C-101B-9397-08002B2CF9AE}" pid="261" name="FSC#SKEDITIONREG@103.510:zaznam_vnut_adresati_66">
    <vt:lpwstr/>
  </property>
  <property fmtid="{D5CDD505-2E9C-101B-9397-08002B2CF9AE}" pid="262" name="FSC#SKEDITIONREG@103.510:zaznam_vnut_adresati_67">
    <vt:lpwstr/>
  </property>
  <property fmtid="{D5CDD505-2E9C-101B-9397-08002B2CF9AE}" pid="263" name="FSC#SKEDITIONREG@103.510:zaznam_vnut_adresati_68">
    <vt:lpwstr/>
  </property>
  <property fmtid="{D5CDD505-2E9C-101B-9397-08002B2CF9AE}" pid="264" name="FSC#SKEDITIONREG@103.510:zaznam_vnut_adresati_69">
    <vt:lpwstr/>
  </property>
  <property fmtid="{D5CDD505-2E9C-101B-9397-08002B2CF9AE}" pid="265" name="FSC#SKEDITIONREG@103.510:zaznam_vnut_adresati_7">
    <vt:lpwstr/>
  </property>
  <property fmtid="{D5CDD505-2E9C-101B-9397-08002B2CF9AE}" pid="266" name="FSC#SKEDITIONREG@103.510:zaznam_vnut_adresati_70">
    <vt:lpwstr/>
  </property>
  <property fmtid="{D5CDD505-2E9C-101B-9397-08002B2CF9AE}" pid="267" name="FSC#SKEDITIONREG@103.510:zaznam_vnut_adresati_8">
    <vt:lpwstr/>
  </property>
  <property fmtid="{D5CDD505-2E9C-101B-9397-08002B2CF9AE}" pid="268" name="FSC#SKEDITIONREG@103.510:zaznam_vnut_adresati_9">
    <vt:lpwstr/>
  </property>
  <property fmtid="{D5CDD505-2E9C-101B-9397-08002B2CF9AE}" pid="269" name="FSC#SKEDITIONREG@103.510:zaznam_vonk_adresati_1">
    <vt:lpwstr/>
  </property>
  <property fmtid="{D5CDD505-2E9C-101B-9397-08002B2CF9AE}" pid="270" name="FSC#SKEDITIONREG@103.510:zaznam_vonk_adresati_2">
    <vt:lpwstr/>
  </property>
  <property fmtid="{D5CDD505-2E9C-101B-9397-08002B2CF9AE}" pid="271" name="FSC#SKEDITIONREG@103.510:zaznam_vonk_adresati_3">
    <vt:lpwstr/>
  </property>
  <property fmtid="{D5CDD505-2E9C-101B-9397-08002B2CF9AE}" pid="272" name="FSC#SKEDITIONREG@103.510:zaznam_vonk_adresati_4">
    <vt:lpwstr/>
  </property>
  <property fmtid="{D5CDD505-2E9C-101B-9397-08002B2CF9AE}" pid="273" name="FSC#SKEDITIONREG@103.510:zaznam_vonk_adresati_5">
    <vt:lpwstr/>
  </property>
  <property fmtid="{D5CDD505-2E9C-101B-9397-08002B2CF9AE}" pid="274" name="FSC#SKEDITIONREG@103.510:zaznam_vonk_adresati_6">
    <vt:lpwstr/>
  </property>
  <property fmtid="{D5CDD505-2E9C-101B-9397-08002B2CF9AE}" pid="275" name="FSC#SKEDITIONREG@103.510:zaznam_vonk_adresati_7">
    <vt:lpwstr/>
  </property>
  <property fmtid="{D5CDD505-2E9C-101B-9397-08002B2CF9AE}" pid="276" name="FSC#SKEDITIONREG@103.510:zaznam_vonk_adresati_8">
    <vt:lpwstr/>
  </property>
  <property fmtid="{D5CDD505-2E9C-101B-9397-08002B2CF9AE}" pid="277" name="FSC#SKEDITIONREG@103.510:zaznam_vonk_adresati_9">
    <vt:lpwstr/>
  </property>
  <property fmtid="{D5CDD505-2E9C-101B-9397-08002B2CF9AE}" pid="278" name="FSC#SKEDITIONREG@103.510:zaznam_vonk_adresati_10">
    <vt:lpwstr/>
  </property>
  <property fmtid="{D5CDD505-2E9C-101B-9397-08002B2CF9AE}" pid="279" name="FSC#SKEDITIONREG@103.510:zaznam_vonk_adresati_11">
    <vt:lpwstr/>
  </property>
  <property fmtid="{D5CDD505-2E9C-101B-9397-08002B2CF9AE}" pid="280" name="FSC#SKEDITIONREG@103.510:zaznam_vonk_adresati_12">
    <vt:lpwstr/>
  </property>
  <property fmtid="{D5CDD505-2E9C-101B-9397-08002B2CF9AE}" pid="281" name="FSC#SKEDITIONREG@103.510:zaznam_vonk_adresati_13">
    <vt:lpwstr/>
  </property>
  <property fmtid="{D5CDD505-2E9C-101B-9397-08002B2CF9AE}" pid="282" name="FSC#SKEDITIONREG@103.510:zaznam_vonk_adresati_14">
    <vt:lpwstr/>
  </property>
  <property fmtid="{D5CDD505-2E9C-101B-9397-08002B2CF9AE}" pid="283" name="FSC#SKEDITIONREG@103.510:zaznam_vonk_adresati_15">
    <vt:lpwstr/>
  </property>
  <property fmtid="{D5CDD505-2E9C-101B-9397-08002B2CF9AE}" pid="284" name="FSC#SKEDITIONREG@103.510:zaznam_vonk_adresati_16">
    <vt:lpwstr/>
  </property>
  <property fmtid="{D5CDD505-2E9C-101B-9397-08002B2CF9AE}" pid="285" name="FSC#SKEDITIONREG@103.510:zaznam_vonk_adresati_17">
    <vt:lpwstr/>
  </property>
  <property fmtid="{D5CDD505-2E9C-101B-9397-08002B2CF9AE}" pid="286" name="FSC#SKEDITIONREG@103.510:zaznam_vonk_adresati_18">
    <vt:lpwstr/>
  </property>
  <property fmtid="{D5CDD505-2E9C-101B-9397-08002B2CF9AE}" pid="287" name="FSC#SKEDITIONREG@103.510:zaznam_vonk_adresati_19">
    <vt:lpwstr/>
  </property>
  <property fmtid="{D5CDD505-2E9C-101B-9397-08002B2CF9AE}" pid="288" name="FSC#SKEDITIONREG@103.510:zaznam_vonk_adresati_20">
    <vt:lpwstr/>
  </property>
  <property fmtid="{D5CDD505-2E9C-101B-9397-08002B2CF9AE}" pid="289" name="FSC#SKEDITIONREG@103.510:zaznam_vonk_adresati_21">
    <vt:lpwstr/>
  </property>
  <property fmtid="{D5CDD505-2E9C-101B-9397-08002B2CF9AE}" pid="290" name="FSC#SKEDITIONREG@103.510:zaznam_vonk_adresati_22">
    <vt:lpwstr/>
  </property>
  <property fmtid="{D5CDD505-2E9C-101B-9397-08002B2CF9AE}" pid="291" name="FSC#SKEDITIONREG@103.510:zaznam_vonk_adresati_23">
    <vt:lpwstr/>
  </property>
  <property fmtid="{D5CDD505-2E9C-101B-9397-08002B2CF9AE}" pid="292" name="FSC#SKEDITIONREG@103.510:zaznam_vonk_adresati_24">
    <vt:lpwstr/>
  </property>
  <property fmtid="{D5CDD505-2E9C-101B-9397-08002B2CF9AE}" pid="293" name="FSC#SKEDITIONREG@103.510:zaznam_vonk_adresati_25">
    <vt:lpwstr/>
  </property>
  <property fmtid="{D5CDD505-2E9C-101B-9397-08002B2CF9AE}" pid="294" name="FSC#SKEDITIONREG@103.510:zaznam_vonk_adresati_26">
    <vt:lpwstr/>
  </property>
  <property fmtid="{D5CDD505-2E9C-101B-9397-08002B2CF9AE}" pid="295" name="FSC#SKEDITIONREG@103.510:zaznam_vonk_adresati_27">
    <vt:lpwstr/>
  </property>
  <property fmtid="{D5CDD505-2E9C-101B-9397-08002B2CF9AE}" pid="296" name="FSC#SKEDITIONREG@103.510:zaznam_vonk_adresati_28">
    <vt:lpwstr/>
  </property>
  <property fmtid="{D5CDD505-2E9C-101B-9397-08002B2CF9AE}" pid="297" name="FSC#SKEDITIONREG@103.510:zaznam_vonk_adresati_29">
    <vt:lpwstr/>
  </property>
  <property fmtid="{D5CDD505-2E9C-101B-9397-08002B2CF9AE}" pid="298" name="FSC#SKEDITIONREG@103.510:zaznam_vonk_adresati_30">
    <vt:lpwstr/>
  </property>
  <property fmtid="{D5CDD505-2E9C-101B-9397-08002B2CF9AE}" pid="299" name="FSC#SKEDITIONREG@103.510:zaznam_vonk_adresati_31">
    <vt:lpwstr/>
  </property>
  <property fmtid="{D5CDD505-2E9C-101B-9397-08002B2CF9AE}" pid="300" name="FSC#SKEDITIONREG@103.510:zaznam_vonk_adresati_32">
    <vt:lpwstr/>
  </property>
  <property fmtid="{D5CDD505-2E9C-101B-9397-08002B2CF9AE}" pid="301" name="FSC#SKEDITIONREG@103.510:zaznam_vonk_adresati_33">
    <vt:lpwstr/>
  </property>
  <property fmtid="{D5CDD505-2E9C-101B-9397-08002B2CF9AE}" pid="302" name="FSC#SKEDITIONREG@103.510:zaznam_vonk_adresati_34">
    <vt:lpwstr/>
  </property>
  <property fmtid="{D5CDD505-2E9C-101B-9397-08002B2CF9AE}" pid="303" name="FSC#SKEDITIONREG@103.510:zaznam_vonk_adresati_35">
    <vt:lpwstr/>
  </property>
  <property fmtid="{D5CDD505-2E9C-101B-9397-08002B2CF9AE}" pid="304" name="FSC#SKEDITIONREG@103.510:Stazovatel">
    <vt:lpwstr/>
  </property>
  <property fmtid="{D5CDD505-2E9C-101B-9397-08002B2CF9AE}" pid="305" name="FSC#SKEDITIONREG@103.510:ProtiKomu">
    <vt:lpwstr/>
  </property>
  <property fmtid="{D5CDD505-2E9C-101B-9397-08002B2CF9AE}" pid="306" name="FSC#SKEDITIONREG@103.510:EvCisloStaz">
    <vt:lpwstr/>
  </property>
  <property fmtid="{D5CDD505-2E9C-101B-9397-08002B2CF9AE}" pid="307" name="FSC#SKEDITIONREG@103.510:jod_AttrDateSkutocnyDatumVydania">
    <vt:lpwstr/>
  </property>
  <property fmtid="{D5CDD505-2E9C-101B-9397-08002B2CF9AE}" pid="308" name="FSC#SKEDITIONREG@103.510:jod_AttrNumCisloZmeny">
    <vt:lpwstr/>
  </property>
  <property fmtid="{D5CDD505-2E9C-101B-9397-08002B2CF9AE}" pid="309" name="FSC#SKEDITIONREG@103.510:jod_AttrStrRegCisloZaznamu">
    <vt:lpwstr/>
  </property>
  <property fmtid="{D5CDD505-2E9C-101B-9397-08002B2CF9AE}" pid="310" name="FSC#SKEDITIONREG@103.510:jod_cislodoc">
    <vt:lpwstr/>
  </property>
  <property fmtid="{D5CDD505-2E9C-101B-9397-08002B2CF9AE}" pid="311" name="FSC#SKEDITIONREG@103.510:jod_druh">
    <vt:lpwstr/>
  </property>
  <property fmtid="{D5CDD505-2E9C-101B-9397-08002B2CF9AE}" pid="312" name="FSC#SKEDITIONREG@103.510:jod_lu">
    <vt:lpwstr/>
  </property>
  <property fmtid="{D5CDD505-2E9C-101B-9397-08002B2CF9AE}" pid="313" name="FSC#SKEDITIONREG@103.510:jod_nazov">
    <vt:lpwstr/>
  </property>
  <property fmtid="{D5CDD505-2E9C-101B-9397-08002B2CF9AE}" pid="314" name="FSC#SKEDITIONREG@103.510:jod_typ">
    <vt:lpwstr/>
  </property>
  <property fmtid="{D5CDD505-2E9C-101B-9397-08002B2CF9AE}" pid="315" name="FSC#SKEDITIONREG@103.510:jod_zh">
    <vt:lpwstr/>
  </property>
  <property fmtid="{D5CDD505-2E9C-101B-9397-08002B2CF9AE}" pid="316" name="FSC#SKEDITIONREG@103.510:jod_sAttrDatePlatnostDo">
    <vt:lpwstr/>
  </property>
  <property fmtid="{D5CDD505-2E9C-101B-9397-08002B2CF9AE}" pid="317" name="FSC#SKEDITIONREG@103.510:jod_sAttrDatePlatnostOd">
    <vt:lpwstr/>
  </property>
  <property fmtid="{D5CDD505-2E9C-101B-9397-08002B2CF9AE}" pid="318" name="FSC#SKEDITIONREG@103.510:jod_sAttrDateUcinnostDoc">
    <vt:lpwstr/>
  </property>
  <property fmtid="{D5CDD505-2E9C-101B-9397-08002B2CF9AE}" pid="319" name="FSC#SKEDITIONREG@103.510:a_telephone">
    <vt:lpwstr/>
  </property>
  <property fmtid="{D5CDD505-2E9C-101B-9397-08002B2CF9AE}" pid="320" name="FSC#SKEDITIONREG@103.510:a_email">
    <vt:lpwstr/>
  </property>
  <property fmtid="{D5CDD505-2E9C-101B-9397-08002B2CF9AE}" pid="321" name="FSC#SKEDITIONREG@103.510:a_nazovOU">
    <vt:lpwstr/>
  </property>
  <property fmtid="{D5CDD505-2E9C-101B-9397-08002B2CF9AE}" pid="322" name="FSC#SKEDITIONREG@103.510:a_veduciOU">
    <vt:lpwstr/>
  </property>
  <property fmtid="{D5CDD505-2E9C-101B-9397-08002B2CF9AE}" pid="323" name="FSC#SKEDITIONREG@103.510:a_nadradeneOU">
    <vt:lpwstr/>
  </property>
  <property fmtid="{D5CDD505-2E9C-101B-9397-08002B2CF9AE}" pid="324" name="FSC#SKEDITIONREG@103.510:a_veduciOd">
    <vt:lpwstr/>
  </property>
  <property fmtid="{D5CDD505-2E9C-101B-9397-08002B2CF9AE}" pid="325" name="FSC#SKEDITIONREG@103.510:a_komu">
    <vt:lpwstr/>
  </property>
  <property fmtid="{D5CDD505-2E9C-101B-9397-08002B2CF9AE}" pid="326" name="FSC#SKEDITIONREG@103.510:a_nasecislo">
    <vt:lpwstr/>
  </property>
  <property fmtid="{D5CDD505-2E9C-101B-9397-08002B2CF9AE}" pid="327" name="FSC#SKEDITIONREG@103.510:a_riaditelOdboru">
    <vt:lpwstr/>
  </property>
  <property fmtid="{D5CDD505-2E9C-101B-9397-08002B2CF9AE}" pid="328" name="FSC#SKEDITIONREG@103.510:zaz_fileresporg_addrstreet">
    <vt:lpwstr/>
  </property>
  <property fmtid="{D5CDD505-2E9C-101B-9397-08002B2CF9AE}" pid="329" name="FSC#SKEDITIONREG@103.510:zaz_fileresporg_addrzipcode">
    <vt:lpwstr/>
  </property>
  <property fmtid="{D5CDD505-2E9C-101B-9397-08002B2CF9AE}" pid="330" name="FSC#SKEDITIONREG@103.510:zaz_fileresporg_addrcity">
    <vt:lpwstr/>
  </property>
  <property fmtid="{D5CDD505-2E9C-101B-9397-08002B2CF9AE}" pid="331" name="FSC#SKMODSYS@103.500:mdnazov">
    <vt:lpwstr/>
  </property>
  <property fmtid="{D5CDD505-2E9C-101B-9397-08002B2CF9AE}" pid="332" name="FSC#SKMODSYS@103.500:mdfileresp">
    <vt:lpwstr/>
  </property>
  <property fmtid="{D5CDD505-2E9C-101B-9397-08002B2CF9AE}" pid="333" name="FSC#SKMODSYS@103.500:mdfileresporg">
    <vt:lpwstr/>
  </property>
  <property fmtid="{D5CDD505-2E9C-101B-9397-08002B2CF9AE}" pid="334" name="FSC#SKMODSYS@103.500:mdcreateat">
    <vt:lpwstr>31. 5. 2022</vt:lpwstr>
  </property>
  <property fmtid="{D5CDD505-2E9C-101B-9397-08002B2CF9AE}" pid="335" name="FSC#SKCP@103.500:cp_AttrPtrOrgUtvar">
    <vt:lpwstr/>
  </property>
  <property fmtid="{D5CDD505-2E9C-101B-9397-08002B2CF9AE}" pid="336" name="FSC#SKCP@103.500:cp_AttrStrEvCisloCP">
    <vt:lpwstr> </vt:lpwstr>
  </property>
  <property fmtid="{D5CDD505-2E9C-101B-9397-08002B2CF9AE}" pid="337" name="FSC#SKCP@103.500:cp_zamestnanec">
    <vt:lpwstr/>
  </property>
  <property fmtid="{D5CDD505-2E9C-101B-9397-08002B2CF9AE}" pid="338" name="FSC#SKCP@103.500:cpt_miestoRokovania">
    <vt:lpwstr/>
  </property>
  <property fmtid="{D5CDD505-2E9C-101B-9397-08002B2CF9AE}" pid="339" name="FSC#SKCP@103.500:cpt_datumCesty">
    <vt:lpwstr/>
  </property>
  <property fmtid="{D5CDD505-2E9C-101B-9397-08002B2CF9AE}" pid="340" name="FSC#SKCP@103.500:cpt_ucelCesty">
    <vt:lpwstr/>
  </property>
  <property fmtid="{D5CDD505-2E9C-101B-9397-08002B2CF9AE}" pid="341" name="FSC#SKCP@103.500:cpz_miestoRokovania">
    <vt:lpwstr/>
  </property>
  <property fmtid="{D5CDD505-2E9C-101B-9397-08002B2CF9AE}" pid="342" name="FSC#SKCP@103.500:cpz_datumCesty">
    <vt:lpwstr> - </vt:lpwstr>
  </property>
  <property fmtid="{D5CDD505-2E9C-101B-9397-08002B2CF9AE}" pid="343" name="FSC#SKCP@103.500:cpz_ucelCesty">
    <vt:lpwstr/>
  </property>
  <property fmtid="{D5CDD505-2E9C-101B-9397-08002B2CF9AE}" pid="344" name="FSC#SKCP@103.500:cpz_datumVypracovania">
    <vt:lpwstr/>
  </property>
  <property fmtid="{D5CDD505-2E9C-101B-9397-08002B2CF9AE}" pid="345" name="FSC#SKCP@103.500:cpz_datPodpSchv1">
    <vt:lpwstr/>
  </property>
  <property fmtid="{D5CDD505-2E9C-101B-9397-08002B2CF9AE}" pid="346" name="FSC#SKCP@103.500:cpz_datPodpSchv2">
    <vt:lpwstr/>
  </property>
  <property fmtid="{D5CDD505-2E9C-101B-9397-08002B2CF9AE}" pid="347" name="FSC#SKCP@103.500:cpz_datPodpSchv3">
    <vt:lpwstr/>
  </property>
  <property fmtid="{D5CDD505-2E9C-101B-9397-08002B2CF9AE}" pid="348" name="FSC#SKCP@103.500:cpz_PodpSchv1">
    <vt:lpwstr/>
  </property>
  <property fmtid="{D5CDD505-2E9C-101B-9397-08002B2CF9AE}" pid="349" name="FSC#SKCP@103.500:cpz_PodpSchv2">
    <vt:lpwstr/>
  </property>
  <property fmtid="{D5CDD505-2E9C-101B-9397-08002B2CF9AE}" pid="350" name="FSC#SKCP@103.500:cpz_PodpSchv3">
    <vt:lpwstr/>
  </property>
  <property fmtid="{D5CDD505-2E9C-101B-9397-08002B2CF9AE}" pid="351" name="FSC#SKCP@103.500:cpz_Funkcia">
    <vt:lpwstr/>
  </property>
  <property fmtid="{D5CDD505-2E9C-101B-9397-08002B2CF9AE}" pid="352" name="FSC#SKCP@103.500:cp_Spolucestujuci">
    <vt:lpwstr/>
  </property>
  <property fmtid="{D5CDD505-2E9C-101B-9397-08002B2CF9AE}" pid="353" name="FSC#SKNAD@103.500:nad_objname">
    <vt:lpwstr/>
  </property>
  <property fmtid="{D5CDD505-2E9C-101B-9397-08002B2CF9AE}" pid="354" name="FSC#SKNAD@103.500:nad_AttrStrNazov">
    <vt:lpwstr/>
  </property>
  <property fmtid="{D5CDD505-2E9C-101B-9397-08002B2CF9AE}" pid="355" name="FSC#SKNAD@103.500:nad_AttrPtrSpracovatel">
    <vt:lpwstr/>
  </property>
  <property fmtid="{D5CDD505-2E9C-101B-9397-08002B2CF9AE}" pid="356" name="FSC#SKNAD@103.500:nad_AttrPtrGestor1">
    <vt:lpwstr/>
  </property>
  <property fmtid="{D5CDD505-2E9C-101B-9397-08002B2CF9AE}" pid="357" name="FSC#SKNAD@103.500:nad_AttrPtrGestor1Funkcia">
    <vt:lpwstr/>
  </property>
  <property fmtid="{D5CDD505-2E9C-101B-9397-08002B2CF9AE}" pid="358" name="FSC#SKNAD@103.500:nad_AttrPtrGestor1OU">
    <vt:lpwstr/>
  </property>
  <property fmtid="{D5CDD505-2E9C-101B-9397-08002B2CF9AE}" pid="359" name="FSC#SKNAD@103.500:nad_AttrPtrGestor2">
    <vt:lpwstr/>
  </property>
  <property fmtid="{D5CDD505-2E9C-101B-9397-08002B2CF9AE}" pid="360" name="FSC#SKNAD@103.500:nad_AttrPtrGestor2Funkcia">
    <vt:lpwstr/>
  </property>
  <property fmtid="{D5CDD505-2E9C-101B-9397-08002B2CF9AE}" pid="361" name="FSC#SKNAD@103.500:nad_schvalil">
    <vt:lpwstr/>
  </property>
  <property fmtid="{D5CDD505-2E9C-101B-9397-08002B2CF9AE}" pid="362" name="FSC#SKNAD@103.500:nad_schvalilfunkcia">
    <vt:lpwstr/>
  </property>
  <property fmtid="{D5CDD505-2E9C-101B-9397-08002B2CF9AE}" pid="363" name="FSC#SKNAD@103.500:nad_vr">
    <vt:lpwstr/>
  </property>
  <property fmtid="{D5CDD505-2E9C-101B-9397-08002B2CF9AE}" pid="364" name="FSC#SKNAD@103.500:nad_AttrDateDatumPodpisania">
    <vt:lpwstr/>
  </property>
  <property fmtid="{D5CDD505-2E9C-101B-9397-08002B2CF9AE}" pid="365" name="FSC#SKNAD@103.500:nad_pripobjname">
    <vt:lpwstr/>
  </property>
  <property fmtid="{D5CDD505-2E9C-101B-9397-08002B2CF9AE}" pid="366" name="FSC#SKNAD@103.500:nad_pripVytvorilKto">
    <vt:lpwstr/>
  </property>
  <property fmtid="{D5CDD505-2E9C-101B-9397-08002B2CF9AE}" pid="367" name="FSC#SKNAD@103.500:nad_pripVytvorilKedy">
    <vt:lpwstr>31.5.2022, 10:09</vt:lpwstr>
  </property>
  <property fmtid="{D5CDD505-2E9C-101B-9397-08002B2CF9AE}" pid="368" name="FSC#SKNAD@103.500:nad_AttrStrCisloNA">
    <vt:lpwstr/>
  </property>
  <property fmtid="{D5CDD505-2E9C-101B-9397-08002B2CF9AE}" pid="369" name="FSC#SKNAD@103.500:nad_AttrDateUcinnaOd">
    <vt:lpwstr/>
  </property>
  <property fmtid="{D5CDD505-2E9C-101B-9397-08002B2CF9AE}" pid="370" name="FSC#SKNAD@103.500:nad_AttrDateUcinnaDo">
    <vt:lpwstr/>
  </property>
  <property fmtid="{D5CDD505-2E9C-101B-9397-08002B2CF9AE}" pid="371" name="FSC#SKNAD@103.500:nad_AttrPtrPredchadzajuceNA">
    <vt:lpwstr/>
  </property>
  <property fmtid="{D5CDD505-2E9C-101B-9397-08002B2CF9AE}" pid="372" name="FSC#SKNAD@103.500:nad_AttrPtrSpracovatelOU">
    <vt:lpwstr/>
  </property>
  <property fmtid="{D5CDD505-2E9C-101B-9397-08002B2CF9AE}" pid="373" name="FSC#SKNAD@103.500:nad_AttrPtrPatriKNA">
    <vt:lpwstr/>
  </property>
  <property fmtid="{D5CDD505-2E9C-101B-9397-08002B2CF9AE}" pid="374" name="FSC#SKNAD@103.500:nad_AttrIntCisloDodatku">
    <vt:lpwstr/>
  </property>
  <property fmtid="{D5CDD505-2E9C-101B-9397-08002B2CF9AE}" pid="375" name="FSC#SKNAD@103.500:nad_AttrPtrSpracVeduci">
    <vt:lpwstr/>
  </property>
  <property fmtid="{D5CDD505-2E9C-101B-9397-08002B2CF9AE}" pid="376" name="FSC#SKNAD@103.500:nad_AttrPtrSpracVeduciOU">
    <vt:lpwstr/>
  </property>
  <property fmtid="{D5CDD505-2E9C-101B-9397-08002B2CF9AE}" pid="377" name="FSC#SKNAD@103.500:nad_spis">
    <vt:lpwstr/>
  </property>
  <property fmtid="{D5CDD505-2E9C-101B-9397-08002B2CF9AE}" pid="378" name="FSC#SKPUPP@103.500:pupp_riaditelPorady">
    <vt:lpwstr/>
  </property>
  <property fmtid="{D5CDD505-2E9C-101B-9397-08002B2CF9AE}" pid="379" name="FSC#SKPUPP@103.500:pupp_cisloporady">
    <vt:lpwstr/>
  </property>
  <property fmtid="{D5CDD505-2E9C-101B-9397-08002B2CF9AE}" pid="380" name="FSC#SKPUPP@103.500:pupp_konanieOHodine">
    <vt:lpwstr/>
  </property>
  <property fmtid="{D5CDD505-2E9C-101B-9397-08002B2CF9AE}" pid="381" name="FSC#SKPUPP@103.500:pupp_datPorMesiacString">
    <vt:lpwstr/>
  </property>
  <property fmtid="{D5CDD505-2E9C-101B-9397-08002B2CF9AE}" pid="382" name="FSC#SKPUPP@103.500:pupp_datumporady">
    <vt:lpwstr/>
  </property>
  <property fmtid="{D5CDD505-2E9C-101B-9397-08002B2CF9AE}" pid="383" name="FSC#SKPUPP@103.500:pupp_konaniedo">
    <vt:lpwstr/>
  </property>
  <property fmtid="{D5CDD505-2E9C-101B-9397-08002B2CF9AE}" pid="384" name="FSC#SKPUPP@103.500:pupp_konanieod">
    <vt:lpwstr/>
  </property>
  <property fmtid="{D5CDD505-2E9C-101B-9397-08002B2CF9AE}" pid="385" name="FSC#SKPUPP@103.500:pupp_menopp">
    <vt:lpwstr/>
  </property>
  <property fmtid="{D5CDD505-2E9C-101B-9397-08002B2CF9AE}" pid="386" name="FSC#SKPUPP@103.500:pupp_miestokonania">
    <vt:lpwstr/>
  </property>
  <property fmtid="{D5CDD505-2E9C-101B-9397-08002B2CF9AE}" pid="387" name="FSC#SKPUPP@103.500:pupp_temaporady">
    <vt:lpwstr/>
  </property>
  <property fmtid="{D5CDD505-2E9C-101B-9397-08002B2CF9AE}" pid="388" name="FSC#SKPUPP@103.500:pupp_ucastnici">
    <vt:lpwstr/>
  </property>
  <property fmtid="{D5CDD505-2E9C-101B-9397-08002B2CF9AE}" pid="389" name="FSC#SKPUPP@103.500:pupp_ulohy">
    <vt:lpwstr>test</vt:lpwstr>
  </property>
  <property fmtid="{D5CDD505-2E9C-101B-9397-08002B2CF9AE}" pid="390" name="FSC#SKPUPP@103.500:pupp_ucastnici_funkcie">
    <vt:lpwstr/>
  </property>
  <property fmtid="{D5CDD505-2E9C-101B-9397-08002B2CF9AE}" pid="391" name="FSC#SKPUPP@103.500:pupp_nazov_ulohy">
    <vt:lpwstr/>
  </property>
  <property fmtid="{D5CDD505-2E9C-101B-9397-08002B2CF9AE}" pid="392" name="FSC#SKPUPP@103.500:pupp_cislo_ulohy">
    <vt:lpwstr/>
  </property>
  <property fmtid="{D5CDD505-2E9C-101B-9397-08002B2CF9AE}" pid="393" name="FSC#SKPUPP@103.500:pupp_riesitel_ulohy">
    <vt:lpwstr/>
  </property>
  <property fmtid="{D5CDD505-2E9C-101B-9397-08002B2CF9AE}" pid="394" name="FSC#SKPUPP@103.500:pupp_vybavit_ulohy">
    <vt:lpwstr/>
  </property>
  <property fmtid="{D5CDD505-2E9C-101B-9397-08002B2CF9AE}" pid="395" name="FSC#SKPUPP@103.500:pupp_orgutvar">
    <vt:lpwstr/>
  </property>
  <property fmtid="{D5CDD505-2E9C-101B-9397-08002B2CF9AE}" pid="396" name="FSC#COOELAK@1.1001:Subject">
    <vt:lpwstr/>
  </property>
  <property fmtid="{D5CDD505-2E9C-101B-9397-08002B2CF9AE}" pid="397" name="FSC#COOELAK@1.1001:FileReference">
    <vt:lpwstr/>
  </property>
  <property fmtid="{D5CDD505-2E9C-101B-9397-08002B2CF9AE}" pid="398" name="FSC#COOELAK@1.1001:FileRefYear">
    <vt:lpwstr/>
  </property>
  <property fmtid="{D5CDD505-2E9C-101B-9397-08002B2CF9AE}" pid="399" name="FSC#COOELAK@1.1001:FileRefOrdinal">
    <vt:lpwstr/>
  </property>
  <property fmtid="{D5CDD505-2E9C-101B-9397-08002B2CF9AE}" pid="400" name="FSC#COOELAK@1.1001:FileRefOU">
    <vt:lpwstr/>
  </property>
  <property fmtid="{D5CDD505-2E9C-101B-9397-08002B2CF9AE}" pid="401" name="FSC#COOELAK@1.1001:Organization">
    <vt:lpwstr/>
  </property>
  <property fmtid="{D5CDD505-2E9C-101B-9397-08002B2CF9AE}" pid="402" name="FSC#COOELAK@1.1001:Owner">
    <vt:lpwstr>Petrakovičová, Eva, RNDr., PhD.</vt:lpwstr>
  </property>
  <property fmtid="{D5CDD505-2E9C-101B-9397-08002B2CF9AE}" pid="403" name="FSC#COOELAK@1.1001:OwnerExtension">
    <vt:lpwstr/>
  </property>
  <property fmtid="{D5CDD505-2E9C-101B-9397-08002B2CF9AE}" pid="404" name="FSC#COOELAK@1.1001:OwnerFaxExtension">
    <vt:lpwstr/>
  </property>
  <property fmtid="{D5CDD505-2E9C-101B-9397-08002B2CF9AE}" pid="405" name="FSC#COOELAK@1.1001:DispatchedBy">
    <vt:lpwstr/>
  </property>
  <property fmtid="{D5CDD505-2E9C-101B-9397-08002B2CF9AE}" pid="406" name="FSC#COOELAK@1.1001:DispatchedAt">
    <vt:lpwstr/>
  </property>
  <property fmtid="{D5CDD505-2E9C-101B-9397-08002B2CF9AE}" pid="407" name="FSC#COOELAK@1.1001:ApprovedBy">
    <vt:lpwstr/>
  </property>
  <property fmtid="{D5CDD505-2E9C-101B-9397-08002B2CF9AE}" pid="408" name="FSC#COOELAK@1.1001:ApprovedAt">
    <vt:lpwstr/>
  </property>
  <property fmtid="{D5CDD505-2E9C-101B-9397-08002B2CF9AE}" pid="409" name="FSC#COOELAK@1.1001:Department">
    <vt:lpwstr>US1/SSZODAOTPSP (Oddelenie aktívnych opatrení na trhu práce a štátna pomoc)</vt:lpwstr>
  </property>
  <property fmtid="{D5CDD505-2E9C-101B-9397-08002B2CF9AE}" pid="410" name="FSC#COOELAK@1.1001:CreatedAt">
    <vt:lpwstr>31.05.2022</vt:lpwstr>
  </property>
  <property fmtid="{D5CDD505-2E9C-101B-9397-08002B2CF9AE}" pid="411" name="FSC#COOELAK@1.1001:OU">
    <vt:lpwstr>US1/SSZODAOTPSP (Oddelenie aktívnych opatrení na trhu práce a štátna pomoc)</vt:lpwstr>
  </property>
  <property fmtid="{D5CDD505-2E9C-101B-9397-08002B2CF9AE}" pid="412" name="FSC#COOELAK@1.1001:Priority">
    <vt:lpwstr> ()</vt:lpwstr>
  </property>
  <property fmtid="{D5CDD505-2E9C-101B-9397-08002B2CF9AE}" pid="413" name="FSC#COOELAK@1.1001:ObjBarCode">
    <vt:lpwstr>*COO.2195.102.3.14025226*</vt:lpwstr>
  </property>
  <property fmtid="{D5CDD505-2E9C-101B-9397-08002B2CF9AE}" pid="414" name="FSC#COOELAK@1.1001:RefBarCode">
    <vt:lpwstr/>
  </property>
  <property fmtid="{D5CDD505-2E9C-101B-9397-08002B2CF9AE}" pid="415" name="FSC#COOELAK@1.1001:FileRefBarCode">
    <vt:lpwstr>**</vt:lpwstr>
  </property>
  <property fmtid="{D5CDD505-2E9C-101B-9397-08002B2CF9AE}" pid="416" name="FSC#COOELAK@1.1001:ExternalRef">
    <vt:lpwstr/>
  </property>
  <property fmtid="{D5CDD505-2E9C-101B-9397-08002B2CF9AE}" pid="417" name="FSC#COOELAK@1.1001:IncomingNumber">
    <vt:lpwstr/>
  </property>
  <property fmtid="{D5CDD505-2E9C-101B-9397-08002B2CF9AE}" pid="418" name="FSC#COOELAK@1.1001:IncomingSubject">
    <vt:lpwstr/>
  </property>
  <property fmtid="{D5CDD505-2E9C-101B-9397-08002B2CF9AE}" pid="419" name="FSC#COOELAK@1.1001:ProcessResponsible">
    <vt:lpwstr/>
  </property>
  <property fmtid="{D5CDD505-2E9C-101B-9397-08002B2CF9AE}" pid="420" name="FSC#COOELAK@1.1001:ProcessResponsiblePhone">
    <vt:lpwstr/>
  </property>
  <property fmtid="{D5CDD505-2E9C-101B-9397-08002B2CF9AE}" pid="421" name="FSC#COOELAK@1.1001:ProcessResponsibleMail">
    <vt:lpwstr/>
  </property>
  <property fmtid="{D5CDD505-2E9C-101B-9397-08002B2CF9AE}" pid="422" name="FSC#COOELAK@1.1001:ProcessResponsibleFax">
    <vt:lpwstr/>
  </property>
  <property fmtid="{D5CDD505-2E9C-101B-9397-08002B2CF9AE}" pid="423" name="FSC#COOELAK@1.1001:ApproverFirstName">
    <vt:lpwstr/>
  </property>
  <property fmtid="{D5CDD505-2E9C-101B-9397-08002B2CF9AE}" pid="424" name="FSC#COOELAK@1.1001:ApproverSurName">
    <vt:lpwstr/>
  </property>
  <property fmtid="{D5CDD505-2E9C-101B-9397-08002B2CF9AE}" pid="425" name="FSC#COOELAK@1.1001:ApproverTitle">
    <vt:lpwstr/>
  </property>
  <property fmtid="{D5CDD505-2E9C-101B-9397-08002B2CF9AE}" pid="426" name="FSC#COOELAK@1.1001:ExternalDate">
    <vt:lpwstr/>
  </property>
  <property fmtid="{D5CDD505-2E9C-101B-9397-08002B2CF9AE}" pid="427" name="FSC#COOELAK@1.1001:SettlementApprovedAt">
    <vt:lpwstr/>
  </property>
  <property fmtid="{D5CDD505-2E9C-101B-9397-08002B2CF9AE}" pid="428" name="FSC#COOELAK@1.1001:BaseNumber">
    <vt:lpwstr/>
  </property>
  <property fmtid="{D5CDD505-2E9C-101B-9397-08002B2CF9AE}" pid="429" name="FSC#COOELAK@1.1001:CurrentUserRolePos">
    <vt:lpwstr>vedúci</vt:lpwstr>
  </property>
  <property fmtid="{D5CDD505-2E9C-101B-9397-08002B2CF9AE}" pid="430" name="FSC#COOELAK@1.1001:CurrentUserEmail">
    <vt:lpwstr>Frantisek.Brezovsky@upsvr.gov.sk</vt:lpwstr>
  </property>
  <property fmtid="{D5CDD505-2E9C-101B-9397-08002B2CF9AE}" pid="431" name="FSC#ELAKGOV@1.1001:PersonalSubjGender">
    <vt:lpwstr/>
  </property>
  <property fmtid="{D5CDD505-2E9C-101B-9397-08002B2CF9AE}" pid="432" name="FSC#ELAKGOV@1.1001:PersonalSubjFirstName">
    <vt:lpwstr/>
  </property>
  <property fmtid="{D5CDD505-2E9C-101B-9397-08002B2CF9AE}" pid="433" name="FSC#ELAKGOV@1.1001:PersonalSubjSurName">
    <vt:lpwstr/>
  </property>
  <property fmtid="{D5CDD505-2E9C-101B-9397-08002B2CF9AE}" pid="434" name="FSC#ELAKGOV@1.1001:PersonalSubjSalutation">
    <vt:lpwstr/>
  </property>
  <property fmtid="{D5CDD505-2E9C-101B-9397-08002B2CF9AE}" pid="435" name="FSC#ELAKGOV@1.1001:PersonalSubjAddress">
    <vt:lpwstr/>
  </property>
  <property fmtid="{D5CDD505-2E9C-101B-9397-08002B2CF9AE}" pid="436" name="FSC#ATSTATECFG@1.1001:Office">
    <vt:lpwstr/>
  </property>
  <property fmtid="{D5CDD505-2E9C-101B-9397-08002B2CF9AE}" pid="437" name="FSC#ATSTATECFG@1.1001:Agent">
    <vt:lpwstr/>
  </property>
  <property fmtid="{D5CDD505-2E9C-101B-9397-08002B2CF9AE}" pid="438" name="FSC#ATSTATECFG@1.1001:AgentPhone">
    <vt:lpwstr/>
  </property>
  <property fmtid="{D5CDD505-2E9C-101B-9397-08002B2CF9AE}" pid="439" name="FSC#ATSTATECFG@1.1001:DepartmentFax">
    <vt:lpwstr/>
  </property>
  <property fmtid="{D5CDD505-2E9C-101B-9397-08002B2CF9AE}" pid="440" name="FSC#ATSTATECFG@1.1001:DepartmentEmail">
    <vt:lpwstr/>
  </property>
  <property fmtid="{D5CDD505-2E9C-101B-9397-08002B2CF9AE}" pid="441" name="FSC#ATSTATECFG@1.1001:SubfileDate">
    <vt:lpwstr/>
  </property>
  <property fmtid="{D5CDD505-2E9C-101B-9397-08002B2CF9AE}" pid="442" name="FSC#ATSTATECFG@1.1001:SubfileSubject">
    <vt:lpwstr/>
  </property>
  <property fmtid="{D5CDD505-2E9C-101B-9397-08002B2CF9AE}" pid="443" name="FSC#ATSTATECFG@1.1001:DepartmentZipCode">
    <vt:lpwstr/>
  </property>
  <property fmtid="{D5CDD505-2E9C-101B-9397-08002B2CF9AE}" pid="444" name="FSC#ATSTATECFG@1.1001:DepartmentCountry">
    <vt:lpwstr/>
  </property>
  <property fmtid="{D5CDD505-2E9C-101B-9397-08002B2CF9AE}" pid="445" name="FSC#ATSTATECFG@1.1001:DepartmentCity">
    <vt:lpwstr/>
  </property>
  <property fmtid="{D5CDD505-2E9C-101B-9397-08002B2CF9AE}" pid="446" name="FSC#ATSTATECFG@1.1001:DepartmentStreet">
    <vt:lpwstr/>
  </property>
  <property fmtid="{D5CDD505-2E9C-101B-9397-08002B2CF9AE}" pid="447" name="FSC#ATSTATECFG@1.1001:DepartmentDVR">
    <vt:lpwstr/>
  </property>
  <property fmtid="{D5CDD505-2E9C-101B-9397-08002B2CF9AE}" pid="448" name="FSC#ATSTATECFG@1.1001:DepartmentUID">
    <vt:lpwstr/>
  </property>
  <property fmtid="{D5CDD505-2E9C-101B-9397-08002B2CF9AE}" pid="449" name="FSC#ATSTATECFG@1.1001:SubfileReference">
    <vt:lpwstr/>
  </property>
  <property fmtid="{D5CDD505-2E9C-101B-9397-08002B2CF9AE}" pid="450" name="FSC#ATSTATECFG@1.1001:Clause">
    <vt:lpwstr/>
  </property>
  <property fmtid="{D5CDD505-2E9C-101B-9397-08002B2CF9AE}" pid="451" name="FSC#ATSTATECFG@1.1001:ApprovedSignature">
    <vt:lpwstr/>
  </property>
  <property fmtid="{D5CDD505-2E9C-101B-9397-08002B2CF9AE}" pid="452" name="FSC#ATSTATECFG@1.1001:BankAccount">
    <vt:lpwstr/>
  </property>
  <property fmtid="{D5CDD505-2E9C-101B-9397-08002B2CF9AE}" pid="453" name="FSC#ATSTATECFG@1.1001:BankAccountOwner">
    <vt:lpwstr/>
  </property>
  <property fmtid="{D5CDD505-2E9C-101B-9397-08002B2CF9AE}" pid="454" name="FSC#ATSTATECFG@1.1001:BankInstitute">
    <vt:lpwstr/>
  </property>
  <property fmtid="{D5CDD505-2E9C-101B-9397-08002B2CF9AE}" pid="455" name="FSC#ATSTATECFG@1.1001:BankAccountID">
    <vt:lpwstr/>
  </property>
  <property fmtid="{D5CDD505-2E9C-101B-9397-08002B2CF9AE}" pid="456" name="FSC#ATSTATECFG@1.1001:BankAccountIBAN">
    <vt:lpwstr/>
  </property>
  <property fmtid="{D5CDD505-2E9C-101B-9397-08002B2CF9AE}" pid="457" name="FSC#ATSTATECFG@1.1001:BankAccountBIC">
    <vt:lpwstr/>
  </property>
  <property fmtid="{D5CDD505-2E9C-101B-9397-08002B2CF9AE}" pid="458" name="FSC#ATSTATECFG@1.1001:BankName">
    <vt:lpwstr/>
  </property>
  <property fmtid="{D5CDD505-2E9C-101B-9397-08002B2CF9AE}" pid="459" name="FSC#COOELAK@1.1001:ObjectAddressees">
    <vt:lpwstr/>
  </property>
  <property fmtid="{D5CDD505-2E9C-101B-9397-08002B2CF9AE}" pid="460" name="FSC#SKCONV@103.510:docname">
    <vt:lpwstr/>
  </property>
  <property fmtid="{D5CDD505-2E9C-101B-9397-08002B2CF9AE}" pid="461" name="FSC#COOSYSTEM@1.1:Container">
    <vt:lpwstr>COO.2195.102.3.14025226</vt:lpwstr>
  </property>
  <property fmtid="{D5CDD505-2E9C-101B-9397-08002B2CF9AE}" pid="462" name="FSC#FSCFOLIO@1.1001:docpropproject">
    <vt:lpwstr/>
  </property>
</Properties>
</file>